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hint="eastAsia" w:ascii="黑体" w:hAnsi="黑体" w:eastAsia="黑体" w:cs="黑体"/>
          <w:sz w:val="32"/>
          <w:szCs w:val="32"/>
          <w:lang w:eastAsia="zh-CN"/>
        </w:rPr>
      </w:pPr>
      <w:r>
        <w:rPr>
          <w:rFonts w:hint="eastAsia" w:ascii="黑体" w:hAnsi="黑体" w:eastAsia="黑体" w:cs="黑体"/>
          <w:sz w:val="32"/>
          <w:szCs w:val="32"/>
          <w:lang w:val="en-US" w:eastAsia="zh-CN"/>
        </w:rPr>
        <w:t>再保险规范</w:t>
      </w:r>
      <w:r>
        <w:rPr>
          <w:rFonts w:hint="eastAsia" w:ascii="黑体" w:hAnsi="黑体" w:eastAsia="黑体" w:cs="黑体"/>
          <w:sz w:val="32"/>
          <w:szCs w:val="32"/>
        </w:rPr>
        <w:t>附件</w:t>
      </w:r>
      <w:r>
        <w:rPr>
          <w:rFonts w:hint="eastAsia" w:ascii="黑体" w:hAnsi="黑体" w:eastAsia="黑体" w:cs="黑体"/>
          <w:sz w:val="32"/>
          <w:szCs w:val="32"/>
          <w:lang w:val="en-US" w:eastAsia="zh-CN"/>
        </w:rPr>
        <w:t>2</w:t>
      </w:r>
      <w:bookmarkStart w:id="3" w:name="_GoBack"/>
      <w:bookmarkEnd w:id="3"/>
    </w:p>
    <w:p>
      <w:pPr>
        <w:ind w:firstLine="1440"/>
        <w:jc w:val="center"/>
        <w:rPr>
          <w:rFonts w:ascii="Times New Roman" w:hAnsi="Times New Roman" w:eastAsia="黑体"/>
          <w:sz w:val="72"/>
        </w:rPr>
      </w:pPr>
    </w:p>
    <w:p>
      <w:pPr>
        <w:ind w:firstLine="1440"/>
        <w:jc w:val="center"/>
        <w:rPr>
          <w:rFonts w:ascii="Times New Roman" w:hAnsi="Times New Roman" w:eastAsia="黑体"/>
          <w:sz w:val="72"/>
        </w:rPr>
      </w:pPr>
    </w:p>
    <w:p>
      <w:pPr>
        <w:spacing w:line="240" w:lineRule="auto"/>
        <w:ind w:firstLine="0" w:firstLineChars="0"/>
        <w:jc w:val="center"/>
        <w:rPr>
          <w:rFonts w:hint="eastAsia" w:ascii="黑体" w:hAnsi="黑体" w:eastAsia="黑体" w:cs="黑体"/>
          <w:sz w:val="36"/>
          <w:szCs w:val="36"/>
        </w:rPr>
      </w:pPr>
      <w:r>
        <w:rPr>
          <w:rFonts w:hint="eastAsia" w:ascii="黑体" w:hAnsi="黑体" w:eastAsia="黑体" w:cs="黑体"/>
          <w:sz w:val="36"/>
          <w:szCs w:val="36"/>
        </w:rPr>
        <w:t>中国银保监会保险业监管数据标准化规范</w:t>
      </w:r>
    </w:p>
    <w:p>
      <w:pPr>
        <w:spacing w:line="240" w:lineRule="auto"/>
        <w:ind w:firstLine="0" w:firstLineChars="0"/>
        <w:jc w:val="center"/>
        <w:rPr>
          <w:rFonts w:hint="eastAsia" w:ascii="黑体" w:hAnsi="黑体" w:eastAsia="黑体" w:cs="黑体"/>
          <w:sz w:val="36"/>
          <w:szCs w:val="36"/>
        </w:rPr>
      </w:pPr>
      <w:r>
        <w:rPr>
          <w:rFonts w:hint="eastAsia" w:ascii="黑体" w:hAnsi="黑体" w:eastAsia="黑体" w:cs="黑体"/>
          <w:sz w:val="36"/>
          <w:szCs w:val="36"/>
        </w:rPr>
        <w:t>(再保险公司版)采集技术接口说明</w:t>
      </w: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0" w:firstLineChars="0"/>
        <w:jc w:val="center"/>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202</w:t>
      </w:r>
      <w:r>
        <w:rPr>
          <w:rFonts w:hint="eastAsia" w:ascii="仿宋_GB2312" w:hAnsi="仿宋_GB2312" w:eastAsia="仿宋_GB2312" w:cs="仿宋_GB2312"/>
          <w:bCs/>
          <w:sz w:val="30"/>
          <w:szCs w:val="30"/>
          <w:lang w:eastAsia="zh-CN"/>
        </w:rPr>
        <w:t>1</w:t>
      </w:r>
      <w:r>
        <w:rPr>
          <w:rFonts w:hint="eastAsia" w:ascii="仿宋_GB2312" w:hAnsi="仿宋_GB2312" w:eastAsia="仿宋_GB2312" w:cs="仿宋_GB2312"/>
          <w:bCs/>
          <w:sz w:val="30"/>
          <w:szCs w:val="30"/>
        </w:rPr>
        <w:t>年1月</w:t>
      </w:r>
    </w:p>
    <w:p>
      <w:pPr>
        <w:ind w:firstLine="1120"/>
        <w:jc w:val="center"/>
        <w:rPr>
          <w:rFonts w:ascii="Times New Roman" w:hAnsi="Times New Roman" w:eastAsia="黑体"/>
          <w:sz w:val="56"/>
          <w:szCs w:val="18"/>
        </w:rPr>
      </w:pPr>
    </w:p>
    <w:p>
      <w:pPr>
        <w:ind w:firstLine="0" w:firstLineChars="0"/>
        <w:rPr>
          <w:rFonts w:ascii="Times New Roman" w:hAnsi="Times New Roman" w:eastAsia="黑体"/>
          <w:sz w:val="56"/>
          <w:szCs w:val="18"/>
        </w:rPr>
      </w:pPr>
    </w:p>
    <w:p>
      <w:pPr>
        <w:ind w:firstLine="0" w:firstLineChars="0"/>
        <w:sectPr>
          <w:headerReference r:id="rId5" w:type="first"/>
          <w:footerReference r:id="rId8" w:type="first"/>
          <w:headerReference r:id="rId3" w:type="default"/>
          <w:footerReference r:id="rId6" w:type="default"/>
          <w:headerReference r:id="rId4" w:type="even"/>
          <w:footerReference r:id="rId7" w:type="even"/>
          <w:endnotePr>
            <w:numFmt w:val="decimal"/>
          </w:endnotePr>
          <w:pgSz w:w="11906" w:h="16838"/>
          <w:pgMar w:top="1440" w:right="1418" w:bottom="1440" w:left="1588" w:header="851" w:footer="992" w:gutter="0"/>
          <w:pgNumType w:fmt="numberInDash" w:start="1"/>
          <w:cols w:space="720" w:num="1"/>
          <w:docGrid w:type="lines" w:linePitch="317" w:charSpace="0"/>
        </w:sectPr>
      </w:pPr>
      <w:bookmarkStart w:id="0" w:name="_Toc327522399"/>
      <w:bookmarkStart w:id="1" w:name="_Toc30449"/>
      <w:bookmarkStart w:id="2" w:name="_Toc25945"/>
    </w:p>
    <w:p>
      <w:pPr>
        <w:pStyle w:val="2"/>
        <w:ind w:firstLine="600"/>
      </w:pPr>
      <w:r>
        <w:rPr>
          <w:rFonts w:hint="eastAsia"/>
        </w:rPr>
        <w:t>文档概述</w:t>
      </w:r>
    </w:p>
    <w:p>
      <w:pPr>
        <w:ind w:firstLine="600"/>
        <w:rPr>
          <w:rFonts w:hint="eastAsia"/>
          <w:b/>
          <w:bCs/>
          <w:highlight w:val="none"/>
          <w:lang w:eastAsia="zh-CN"/>
        </w:rPr>
      </w:pPr>
      <w:r>
        <w:rPr>
          <w:rFonts w:hint="eastAsia"/>
        </w:rPr>
        <w:t>本文档定义依据《中国银保监会保险业监管数据标准化规范（再保险公司版）》所采集数据的物理存储、传输形式，即数据的采集技术接口，包括承载数据的文件命名规则、字符集、行分隔符、数据项分隔符、缺省值和隐私保护要求等，以及集中采集和持续采集的模式。</w:t>
      </w:r>
      <w:r>
        <w:rPr>
          <w:rFonts w:hint="eastAsia"/>
          <w:b/>
          <w:bCs/>
          <w:highlight w:val="none"/>
          <w:lang w:eastAsia="zh-CN"/>
        </w:rPr>
        <w:t>技术接口的要求是强制性的。</w:t>
      </w:r>
    </w:p>
    <w:p>
      <w:pPr>
        <w:ind w:firstLine="600"/>
      </w:pPr>
      <w:r>
        <w:rPr>
          <w:rFonts w:hint="eastAsia"/>
        </w:rPr>
        <w:t>本文档还给出了采集频率、报送介质的参考性要求，包括持续采集的频度，集中采集和持续采集采用的介质</w:t>
      </w:r>
      <w:r>
        <w:rPr>
          <w:rFonts w:hint="eastAsia" w:cs="仿宋_GB2312"/>
          <w:sz w:val="30"/>
          <w:szCs w:val="30"/>
          <w:lang w:eastAsia="zh-CN"/>
        </w:rPr>
        <w:t>等</w:t>
      </w:r>
      <w:r>
        <w:rPr>
          <w:rFonts w:hint="eastAsia" w:ascii="仿宋_GB2312" w:hAnsi="仿宋_GB2312" w:eastAsia="仿宋_GB2312" w:cs="仿宋_GB2312"/>
          <w:sz w:val="30"/>
          <w:szCs w:val="30"/>
        </w:rPr>
        <w:t>。</w:t>
      </w:r>
      <w:r>
        <w:rPr>
          <w:rFonts w:hint="eastAsia" w:ascii="仿宋_GB2312" w:hAnsi="仿宋_GB2312" w:eastAsia="仿宋_GB2312" w:cs="仿宋_GB2312"/>
          <w:b/>
          <w:bCs/>
          <w:sz w:val="30"/>
          <w:szCs w:val="30"/>
        </w:rPr>
        <w:t>非技术接口的要求是参考性的</w:t>
      </w:r>
      <w:r>
        <w:rPr>
          <w:rFonts w:hint="eastAsia" w:cs="仿宋_GB2312"/>
          <w:b/>
          <w:bCs/>
          <w:sz w:val="30"/>
          <w:szCs w:val="30"/>
          <w:lang w:val="en-US" w:eastAsia="zh-CN"/>
        </w:rPr>
        <w:t>,</w:t>
      </w:r>
      <w:r>
        <w:rPr>
          <w:rFonts w:hint="eastAsia" w:ascii="仿宋_GB2312" w:hAnsi="仿宋_GB2312" w:eastAsia="仿宋_GB2312" w:cs="仿宋_GB2312"/>
          <w:sz w:val="30"/>
          <w:szCs w:val="30"/>
          <w:lang w:eastAsia="zh-CN"/>
        </w:rPr>
        <w:t>属地银保监局</w:t>
      </w:r>
      <w:r>
        <w:rPr>
          <w:rFonts w:hint="eastAsia" w:ascii="仿宋_GB2312" w:hAnsi="仿宋_GB2312" w:eastAsia="仿宋_GB2312" w:cs="仿宋_GB2312"/>
          <w:sz w:val="30"/>
          <w:szCs w:val="30"/>
        </w:rPr>
        <w:t>可根据辖区实际条件自主确定或调整</w:t>
      </w:r>
      <w:r>
        <w:rPr>
          <w:rFonts w:hint="eastAsia"/>
        </w:rPr>
        <w:t>。</w:t>
      </w:r>
    </w:p>
    <w:p>
      <w:pPr>
        <w:pStyle w:val="2"/>
        <w:ind w:firstLine="600"/>
      </w:pPr>
      <w:r>
        <w:rPr>
          <w:rFonts w:hint="eastAsia"/>
        </w:rPr>
        <w:t>技术接口要求</w:t>
      </w:r>
    </w:p>
    <w:p>
      <w:pPr>
        <w:pStyle w:val="3"/>
        <w:numPr>
          <w:ilvl w:val="1"/>
          <w:numId w:val="0"/>
        </w:numPr>
        <w:ind w:left="600" w:leftChars="200"/>
      </w:pPr>
      <w:r>
        <w:rPr>
          <w:rFonts w:hint="eastAsia"/>
        </w:rPr>
        <w:t>（一）文件格式</w:t>
      </w:r>
    </w:p>
    <w:p>
      <w:pPr>
        <w:ind w:firstLine="600"/>
      </w:pPr>
      <w:r>
        <w:t>UTF-8</w:t>
      </w:r>
      <w:r>
        <w:rPr>
          <w:rFonts w:hint="eastAsia"/>
        </w:rPr>
        <w:t>编码（无</w:t>
      </w:r>
      <w:r>
        <w:t>BOM</w:t>
      </w:r>
      <w:r>
        <w:rPr>
          <w:rFonts w:hint="eastAsia"/>
        </w:rPr>
        <w:t>）的纯文本文件，扩展名为</w:t>
      </w:r>
      <w:r>
        <w:t>.txt</w:t>
      </w:r>
      <w:r>
        <w:rPr>
          <w:rFonts w:hint="eastAsia"/>
        </w:rPr>
        <w:t>。</w:t>
      </w:r>
    </w:p>
    <w:p>
      <w:pPr>
        <w:pStyle w:val="3"/>
        <w:numPr>
          <w:ilvl w:val="1"/>
          <w:numId w:val="0"/>
        </w:numPr>
        <w:ind w:left="600" w:leftChars="200"/>
      </w:pPr>
      <w:r>
        <w:rPr>
          <w:rFonts w:hint="eastAsia"/>
        </w:rPr>
        <w:t>（二）文件命名</w:t>
      </w:r>
    </w:p>
    <w:p>
      <w:pPr>
        <w:ind w:firstLine="600"/>
      </w:pPr>
      <w:r>
        <w:rPr>
          <w:rFonts w:hint="eastAsia"/>
        </w:rPr>
        <w:t>原则上每个数据表生成一个数据文件，文件命名规则是：机构代码-表名对应字符串-YYYYMMDD.txt，其中分隔符“-”为英文短横线（ASCII码0x2D），“YYYYMMDD”为本次/本期采集的截至日期。表名对应字符串见表1，如中国财产再保险有限责任公司报送截至2019年3月31日的机构股权信息表数据时，文件名称应为：</w:t>
      </w:r>
    </w:p>
    <w:p>
      <w:pPr>
        <w:ind w:firstLine="600"/>
      </w:pPr>
      <w:r>
        <w:rPr>
          <w:rFonts w:hint="eastAsia"/>
        </w:rPr>
        <w:t>000005-JGGQXXB-20190331.txt</w:t>
      </w:r>
    </w:p>
    <w:p>
      <w:pPr>
        <w:ind w:firstLine="600"/>
      </w:pPr>
      <w:r>
        <w:rPr>
          <w:rFonts w:hint="eastAsia"/>
        </w:rPr>
        <w:t>每一个数据文件要同时生成一个同名的数据校验文件，数据校验文件的编码格式同数据文件，后缀名为.log，数据校验文件需要包含以下5行信息，定义如下：</w:t>
      </w:r>
    </w:p>
    <w:p>
      <w:pPr>
        <w:ind w:firstLine="600"/>
      </w:pPr>
      <w:r>
        <w:rPr>
          <w:rFonts w:hint="eastAsia"/>
        </w:rPr>
        <w:t>文件名</w:t>
      </w:r>
    </w:p>
    <w:p>
      <w:pPr>
        <w:ind w:firstLine="600"/>
      </w:pPr>
      <w:r>
        <w:rPr>
          <w:rFonts w:hint="eastAsia"/>
        </w:rPr>
        <w:t>文件大小（字节）</w:t>
      </w:r>
    </w:p>
    <w:p>
      <w:pPr>
        <w:ind w:firstLine="600"/>
      </w:pPr>
      <w:r>
        <w:rPr>
          <w:rFonts w:hint="eastAsia"/>
        </w:rPr>
        <w:t>文件创建完成时间（YYYY-MM-DD HH:MM:SS）</w:t>
      </w:r>
    </w:p>
    <w:p>
      <w:pPr>
        <w:ind w:firstLine="600"/>
      </w:pPr>
      <w:r>
        <w:rPr>
          <w:rFonts w:hint="eastAsia"/>
        </w:rPr>
        <w:t>文件是否正常生成（Y或N）</w:t>
      </w:r>
    </w:p>
    <w:p>
      <w:pPr>
        <w:ind w:firstLine="600"/>
      </w:pPr>
      <w:r>
        <w:rPr>
          <w:rFonts w:hint="eastAsia"/>
        </w:rPr>
        <w:t>文件记录数（行数）</w:t>
      </w:r>
    </w:p>
    <w:p>
      <w:pPr>
        <w:ind w:firstLine="600"/>
      </w:pPr>
      <w:r>
        <w:rPr>
          <w:rFonts w:hint="eastAsia"/>
        </w:rPr>
        <w:t>例如：</w:t>
      </w:r>
    </w:p>
    <w:p>
      <w:pPr>
        <w:ind w:firstLine="600"/>
      </w:pPr>
      <w:r>
        <w:rPr>
          <w:rFonts w:hint="eastAsia"/>
        </w:rPr>
        <w:t>000005-JGGQXXB-20190331.txt</w:t>
      </w:r>
    </w:p>
    <w:p>
      <w:pPr>
        <w:ind w:firstLine="600"/>
      </w:pPr>
      <w:r>
        <w:rPr>
          <w:rFonts w:hint="eastAsia"/>
        </w:rPr>
        <w:t>80896</w:t>
      </w:r>
    </w:p>
    <w:p>
      <w:pPr>
        <w:ind w:firstLine="600"/>
      </w:pPr>
      <w:r>
        <w:rPr>
          <w:rFonts w:hint="eastAsia"/>
        </w:rPr>
        <w:t>2019-04-01 00:29:02</w:t>
      </w:r>
    </w:p>
    <w:p>
      <w:pPr>
        <w:ind w:firstLine="600"/>
      </w:pPr>
      <w:r>
        <w:rPr>
          <w:rFonts w:hint="eastAsia"/>
        </w:rPr>
        <w:t>Y</w:t>
      </w:r>
    </w:p>
    <w:p>
      <w:pPr>
        <w:ind w:firstLine="600"/>
      </w:pPr>
      <w:r>
        <w:rPr>
          <w:rFonts w:hint="eastAsia"/>
        </w:rPr>
        <w:t>25</w:t>
      </w:r>
    </w:p>
    <w:p>
      <w:pPr>
        <w:pStyle w:val="16"/>
        <w:spacing w:before="0" w:line="240" w:lineRule="auto"/>
        <w:ind w:firstLine="0" w:firstLineChars="0"/>
        <w:jc w:val="center"/>
        <w:rPr>
          <w:rFonts w:ascii="宋体" w:hAnsi="宋体"/>
          <w:sz w:val="24"/>
          <w:szCs w:val="24"/>
        </w:rPr>
      </w:pPr>
      <w:r>
        <w:rPr>
          <w:rFonts w:ascii="宋体" w:hAnsi="宋体"/>
          <w:sz w:val="24"/>
          <w:szCs w:val="24"/>
        </w:rPr>
        <w:t>表</w:t>
      </w:r>
      <w:r>
        <w:rPr>
          <w:rFonts w:ascii="宋体" w:hAnsi="宋体"/>
          <w:sz w:val="24"/>
          <w:szCs w:val="24"/>
        </w:rPr>
        <w:fldChar w:fldCharType="begin"/>
      </w:r>
      <w:r>
        <w:rPr>
          <w:rFonts w:ascii="宋体" w:hAnsi="宋体"/>
          <w:sz w:val="24"/>
          <w:szCs w:val="24"/>
        </w:rPr>
        <w:instrText xml:space="preserve"> SEQ 表 \* ARABIC </w:instrText>
      </w:r>
      <w:r>
        <w:rPr>
          <w:rFonts w:ascii="宋体" w:hAnsi="宋体"/>
          <w:sz w:val="24"/>
          <w:szCs w:val="24"/>
        </w:rPr>
        <w:fldChar w:fldCharType="separate"/>
      </w:r>
      <w:r>
        <w:rPr>
          <w:rFonts w:ascii="宋体" w:hAnsi="宋体"/>
          <w:sz w:val="24"/>
          <w:szCs w:val="24"/>
        </w:rPr>
        <w:t>1</w:t>
      </w:r>
      <w:r>
        <w:rPr>
          <w:rFonts w:ascii="宋体" w:hAnsi="宋体"/>
          <w:sz w:val="24"/>
          <w:szCs w:val="24"/>
        </w:rPr>
        <w:fldChar w:fldCharType="end"/>
      </w:r>
      <w:r>
        <w:rPr>
          <w:rFonts w:hint="eastAsia" w:ascii="宋体" w:hAnsi="宋体"/>
          <w:sz w:val="24"/>
          <w:szCs w:val="24"/>
        </w:rPr>
        <w:t xml:space="preserve"> 表名与字符串</w:t>
      </w:r>
      <w:r>
        <w:rPr>
          <w:rFonts w:ascii="宋体" w:hAnsi="宋体"/>
          <w:sz w:val="24"/>
          <w:szCs w:val="24"/>
        </w:rPr>
        <w:t>对应</w:t>
      </w:r>
      <w:r>
        <w:rPr>
          <w:rFonts w:hint="eastAsia" w:ascii="宋体" w:hAnsi="宋体"/>
          <w:sz w:val="24"/>
          <w:szCs w:val="24"/>
        </w:rPr>
        <w:t>表</w:t>
      </w:r>
    </w:p>
    <w:tbl>
      <w:tblPr>
        <w:tblStyle w:val="45"/>
        <w:tblW w:w="7659" w:type="dxa"/>
        <w:jc w:val="center"/>
        <w:tblInd w:w="0" w:type="dxa"/>
        <w:tblLayout w:type="fixed"/>
        <w:tblCellMar>
          <w:top w:w="0" w:type="dxa"/>
          <w:left w:w="0" w:type="dxa"/>
          <w:bottom w:w="0" w:type="dxa"/>
          <w:right w:w="0" w:type="dxa"/>
        </w:tblCellMar>
      </w:tblPr>
      <w:tblGrid>
        <w:gridCol w:w="1539"/>
        <w:gridCol w:w="4126"/>
        <w:gridCol w:w="1994"/>
      </w:tblGrid>
      <w:tr>
        <w:tblPrEx>
          <w:tblLayout w:type="fixed"/>
          <w:tblCellMar>
            <w:top w:w="0" w:type="dxa"/>
            <w:left w:w="0" w:type="dxa"/>
            <w:bottom w:w="0" w:type="dxa"/>
            <w:right w:w="0" w:type="dxa"/>
          </w:tblCellMar>
        </w:tblPrEx>
        <w:trPr>
          <w:trHeight w:val="278" w:hRule="atLeast"/>
          <w:tblHeader/>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b/>
                <w:bCs/>
                <w:color w:val="000000"/>
                <w:sz w:val="22"/>
                <w:szCs w:val="22"/>
                <w:lang w:bidi="ar"/>
              </w:rPr>
            </w:pPr>
            <w:r>
              <w:rPr>
                <w:rFonts w:hint="eastAsia" w:ascii="宋体" w:hAnsi="宋体" w:eastAsia="宋体" w:cs="宋体"/>
                <w:b/>
                <w:bCs/>
                <w:color w:val="000000"/>
                <w:sz w:val="22"/>
                <w:szCs w:val="22"/>
                <w:lang w:bidi="ar"/>
              </w:rPr>
              <w:t>表编号</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b/>
                <w:bCs/>
                <w:color w:val="000000"/>
                <w:sz w:val="22"/>
                <w:szCs w:val="22"/>
                <w:lang w:bidi="ar"/>
              </w:rPr>
            </w:pPr>
            <w:r>
              <w:rPr>
                <w:rFonts w:hint="eastAsia" w:ascii="宋体" w:hAnsi="宋体" w:eastAsia="宋体" w:cs="宋体"/>
                <w:b/>
                <w:bCs/>
                <w:color w:val="000000"/>
                <w:sz w:val="22"/>
                <w:szCs w:val="22"/>
                <w:lang w:bidi="ar"/>
              </w:rPr>
              <w:t>表中文名</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b/>
                <w:bCs/>
                <w:color w:val="000000"/>
                <w:sz w:val="22"/>
                <w:szCs w:val="22"/>
                <w:lang w:bidi="ar"/>
              </w:rPr>
            </w:pPr>
            <w:r>
              <w:rPr>
                <w:rFonts w:hint="eastAsia" w:ascii="宋体" w:hAnsi="宋体" w:eastAsia="宋体" w:cs="宋体"/>
                <w:b/>
                <w:bCs/>
                <w:color w:val="000000"/>
                <w:sz w:val="22"/>
                <w:szCs w:val="22"/>
                <w:lang w:bidi="ar"/>
              </w:rPr>
              <w:t>对应字符串</w:t>
            </w:r>
          </w:p>
        </w:tc>
      </w:tr>
      <w:tr>
        <w:tblPrEx>
          <w:tblLayout w:type="fixed"/>
          <w:tblCellMar>
            <w:top w:w="0" w:type="dxa"/>
            <w:left w:w="0" w:type="dxa"/>
            <w:bottom w:w="0" w:type="dxa"/>
            <w:right w:w="0" w:type="dxa"/>
          </w:tblCellMar>
        </w:tblPrEx>
        <w:trPr>
          <w:trHeight w:val="42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0101</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机构信息表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JGXXB</w:t>
            </w:r>
          </w:p>
        </w:tc>
      </w:tr>
      <w:tr>
        <w:tblPrEx>
          <w:tblLayout w:type="fixed"/>
          <w:tblCellMar>
            <w:top w:w="0" w:type="dxa"/>
            <w:left w:w="0" w:type="dxa"/>
            <w:bottom w:w="0" w:type="dxa"/>
            <w:right w:w="0" w:type="dxa"/>
          </w:tblCellMar>
        </w:tblPrEx>
        <w:trPr>
          <w:trHeight w:val="42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0102</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股权信息表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GQXXB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0103</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分支机构信息表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FZJGXXB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0104</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员工信息表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YGXXB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0105</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董监高履职信息表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DJGLZXXB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0106</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董监高处罚信息表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DJGCFXXB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0201</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总账会计全科目表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ZZKJQKMB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0202</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内部科目对照表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NBKMDZB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0203</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财务凭证信息表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CWPZXXB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0204</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银行账户信息表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YHZHXXB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0301</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客户信息表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KHXXB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0302</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合同基本信息表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HTJBXXB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0303</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比例合同产品信息表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BLHTCPXXB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0304</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比例合同分项信息表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BLHTFXXXB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0305</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240" w:lineRule="auto"/>
              <w:ind w:firstLine="0" w:firstLineChars="0"/>
              <w:jc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非比例合同分层信息表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FBLHTFCXXB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0306</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240" w:lineRule="auto"/>
              <w:ind w:firstLine="0" w:firstLineChars="0"/>
              <w:jc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账单信息表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ZDXXB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0307</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收付费明细表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SFFXXB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0401</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资金运用规模统计表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ZJYYGMTJB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0402</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投资账户持仓明细表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TZZHCCMXB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0403</w:t>
            </w:r>
          </w:p>
        </w:tc>
        <w:tc>
          <w:tcPr>
            <w:tcW w:w="41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自主投资交易流水表</w:t>
            </w:r>
          </w:p>
        </w:tc>
        <w:tc>
          <w:tcPr>
            <w:tcW w:w="19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ZZTZJYLSB</w:t>
            </w:r>
          </w:p>
        </w:tc>
      </w:tr>
      <w:tr>
        <w:tblPrEx>
          <w:tblLayout w:type="fixed"/>
          <w:tblCellMar>
            <w:top w:w="0" w:type="dxa"/>
            <w:left w:w="0" w:type="dxa"/>
            <w:bottom w:w="0" w:type="dxa"/>
            <w:right w:w="0" w:type="dxa"/>
          </w:tblCellMar>
        </w:tblPrEx>
        <w:trPr>
          <w:trHeight w:val="113" w:hRule="atLeast"/>
          <w:jc w:val="center"/>
        </w:trPr>
        <w:tc>
          <w:tcPr>
            <w:tcW w:w="1539"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0404</w:t>
            </w:r>
          </w:p>
        </w:tc>
        <w:tc>
          <w:tcPr>
            <w:tcW w:w="4126"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委托投资情况统计表</w:t>
            </w:r>
          </w:p>
        </w:tc>
        <w:tc>
          <w:tcPr>
            <w:tcW w:w="1994"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WTTZQKTJB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0501</w:t>
            </w:r>
          </w:p>
        </w:tc>
        <w:tc>
          <w:tcPr>
            <w:tcW w:w="412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关联方信息表</w:t>
            </w:r>
          </w:p>
        </w:tc>
        <w:tc>
          <w:tcPr>
            <w:tcW w:w="1994"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GLFXXB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0502</w:t>
            </w:r>
          </w:p>
        </w:tc>
        <w:tc>
          <w:tcPr>
            <w:tcW w:w="412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金融产品信息表</w:t>
            </w:r>
          </w:p>
        </w:tc>
        <w:tc>
          <w:tcPr>
            <w:tcW w:w="1994"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JRCPXXB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0503</w:t>
            </w:r>
          </w:p>
        </w:tc>
        <w:tc>
          <w:tcPr>
            <w:tcW w:w="412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关联关系表</w:t>
            </w:r>
          </w:p>
        </w:tc>
        <w:tc>
          <w:tcPr>
            <w:tcW w:w="1994"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GLGXB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0504</w:t>
            </w:r>
          </w:p>
        </w:tc>
        <w:tc>
          <w:tcPr>
            <w:tcW w:w="412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eastAsia="zh-CN" w:bidi="ar"/>
              </w:rPr>
              <w:t>重大</w:t>
            </w:r>
            <w:r>
              <w:rPr>
                <w:rFonts w:hint="eastAsia" w:ascii="宋体" w:hAnsi="宋体" w:eastAsia="宋体" w:cs="宋体"/>
                <w:color w:val="000000"/>
                <w:sz w:val="22"/>
                <w:szCs w:val="22"/>
                <w:lang w:bidi="ar"/>
              </w:rPr>
              <w:t>关联交易明细表</w:t>
            </w:r>
          </w:p>
        </w:tc>
        <w:tc>
          <w:tcPr>
            <w:tcW w:w="1994"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val="en-US" w:eastAsia="zh-CN" w:bidi="ar"/>
              </w:rPr>
              <w:t>ZD</w:t>
            </w:r>
            <w:r>
              <w:rPr>
                <w:rFonts w:ascii="宋体" w:hAnsi="宋体" w:eastAsia="宋体" w:cs="宋体"/>
                <w:color w:val="000000"/>
                <w:sz w:val="22"/>
                <w:szCs w:val="22"/>
                <w:lang w:bidi="ar"/>
              </w:rPr>
              <w:t>GLJYMXB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05</w:t>
            </w:r>
            <w:r>
              <w:rPr>
                <w:rFonts w:hint="eastAsia" w:ascii="宋体" w:hAnsi="宋体" w:eastAsia="宋体" w:cs="宋体"/>
                <w:color w:val="000000"/>
                <w:sz w:val="22"/>
                <w:szCs w:val="22"/>
                <w:lang w:bidi="ar"/>
              </w:rPr>
              <w:t>05</w:t>
            </w:r>
          </w:p>
        </w:tc>
        <w:tc>
          <w:tcPr>
            <w:tcW w:w="412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hint="eastAsia" w:ascii="宋体" w:hAnsi="宋体" w:eastAsia="宋体" w:cs="宋体"/>
                <w:color w:val="000000"/>
                <w:sz w:val="22"/>
                <w:szCs w:val="22"/>
                <w:lang w:bidi="ar"/>
              </w:rPr>
              <w:t>关联交易统计表</w:t>
            </w:r>
          </w:p>
        </w:tc>
        <w:tc>
          <w:tcPr>
            <w:tcW w:w="1994"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spacing w:line="312" w:lineRule="auto"/>
              <w:ind w:firstLine="0" w:firstLineChars="0"/>
              <w:jc w:val="center"/>
              <w:textAlignment w:val="center"/>
              <w:rPr>
                <w:rFonts w:ascii="宋体" w:hAnsi="宋体" w:eastAsia="宋体" w:cs="宋体"/>
                <w:color w:val="000000"/>
                <w:sz w:val="22"/>
                <w:szCs w:val="22"/>
                <w:lang w:bidi="ar"/>
              </w:rPr>
            </w:pPr>
            <w:r>
              <w:rPr>
                <w:rFonts w:ascii="宋体" w:hAnsi="宋体" w:eastAsia="宋体" w:cs="宋体"/>
                <w:color w:val="000000"/>
                <w:sz w:val="22"/>
                <w:szCs w:val="22"/>
                <w:lang w:bidi="ar"/>
              </w:rPr>
              <w:t>GLJY</w:t>
            </w:r>
            <w:r>
              <w:rPr>
                <w:rFonts w:hint="eastAsia" w:ascii="宋体" w:hAnsi="宋体" w:eastAsia="宋体" w:cs="宋体"/>
                <w:color w:val="000000"/>
                <w:sz w:val="22"/>
                <w:szCs w:val="22"/>
                <w:lang w:bidi="ar"/>
              </w:rPr>
              <w:t>TJ</w:t>
            </w:r>
            <w:r>
              <w:rPr>
                <w:rFonts w:ascii="宋体" w:hAnsi="宋体" w:eastAsia="宋体" w:cs="宋体"/>
                <w:color w:val="000000"/>
                <w:sz w:val="22"/>
                <w:szCs w:val="22"/>
                <w:lang w:bidi="ar"/>
              </w:rPr>
              <w:t>B</w:t>
            </w:r>
          </w:p>
        </w:tc>
      </w:tr>
    </w:tbl>
    <w:p>
      <w:pPr>
        <w:pStyle w:val="3"/>
        <w:numPr>
          <w:ilvl w:val="1"/>
          <w:numId w:val="0"/>
        </w:numPr>
        <w:ind w:left="600" w:leftChars="200"/>
      </w:pPr>
      <w:r>
        <w:rPr>
          <w:rFonts w:hint="eastAsia"/>
        </w:rPr>
        <w:t>（三）数据项分隔与特殊字符处理</w:t>
      </w:r>
    </w:p>
    <w:p>
      <w:pPr>
        <w:ind w:firstLine="600"/>
      </w:pPr>
      <w:r>
        <w:rPr>
          <w:rFonts w:hint="eastAsia"/>
        </w:rPr>
        <w:t>1</w:t>
      </w:r>
      <w:r>
        <w:t>.</w:t>
      </w:r>
      <w:r>
        <w:rPr>
          <w:rFonts w:hint="eastAsia"/>
        </w:rPr>
        <w:t>行分隔符：数据文件的一行数据对应一条数据库记录，各行之间分隔符为UNIX样式的换行符（ASCII码0x0A）。</w:t>
      </w:r>
    </w:p>
    <w:p>
      <w:pPr>
        <w:ind w:firstLine="600"/>
      </w:pPr>
      <w:r>
        <w:rPr>
          <w:rFonts w:hint="eastAsia"/>
        </w:rPr>
        <w:t>2</w:t>
      </w:r>
      <w:r>
        <w:t>.</w:t>
      </w:r>
      <w:r>
        <w:rPr>
          <w:rFonts w:hint="eastAsia"/>
        </w:rPr>
        <w:t>数据项分隔符：数据项之间以^A（SOH，ASCII码0x01）进行分隔，每行末尾不需要添加数据项分隔符。</w:t>
      </w:r>
    </w:p>
    <w:p>
      <w:pPr>
        <w:ind w:firstLine="600"/>
      </w:pPr>
      <w:r>
        <w:rPr>
          <w:rFonts w:hint="eastAsia"/>
        </w:rPr>
        <w:t>3</w:t>
      </w:r>
      <w:r>
        <w:t>.</w:t>
      </w:r>
      <w:r>
        <w:rPr>
          <w:rFonts w:hint="eastAsia"/>
        </w:rPr>
        <w:t>数据项首尾禁止使用双引号（ASCII码0x22）包夹，但数据项内容可以有双引号，且不需要进行转义。</w:t>
      </w:r>
    </w:p>
    <w:p>
      <w:pPr>
        <w:ind w:firstLine="600"/>
      </w:pPr>
      <w:r>
        <w:rPr>
          <w:rFonts w:hint="eastAsia"/>
        </w:rPr>
        <w:t>4</w:t>
      </w:r>
      <w:r>
        <w:t>.</w:t>
      </w:r>
      <w:r>
        <w:rPr>
          <w:rFonts w:hint="eastAsia"/>
        </w:rPr>
        <w:t>数据项内子项分隔符：单个数据项中需要填报多个子项内容时，子项内容之间使用英文分号“;”（ASCII码0x3B）隔开。</w:t>
      </w:r>
    </w:p>
    <w:p>
      <w:pPr>
        <w:ind w:firstLine="600"/>
      </w:pPr>
      <w:r>
        <w:rPr>
          <w:rFonts w:hint="eastAsia"/>
        </w:rPr>
        <w:t>5</w:t>
      </w:r>
      <w:r>
        <w:t>.</w:t>
      </w:r>
      <w:r>
        <w:rPr>
          <w:rFonts w:hint="eastAsia"/>
        </w:rPr>
        <w:t>在数据项中不允许出现ASCII码为0x00</w:t>
      </w:r>
      <w:r>
        <w:rPr>
          <w:rFonts w:hint="eastAsia" w:ascii="Arial" w:hAnsi="Arial" w:eastAsia="宋体"/>
          <w:sz w:val="20"/>
        </w:rPr>
        <w:t>~</w:t>
      </w:r>
      <w:r>
        <w:rPr>
          <w:rFonts w:hint="eastAsia"/>
        </w:rPr>
        <w:t>0x1F、0x7F的各类控制字符和非可打印字符；若出现则统一替换为空格（ASCII码0x20）。</w:t>
      </w:r>
    </w:p>
    <w:p>
      <w:pPr>
        <w:pStyle w:val="3"/>
        <w:numPr>
          <w:ilvl w:val="1"/>
          <w:numId w:val="0"/>
        </w:numPr>
        <w:ind w:left="600" w:leftChars="200"/>
      </w:pPr>
      <w:r>
        <w:rPr>
          <w:rFonts w:hint="eastAsia"/>
        </w:rPr>
        <w:t>（四）小数值、空值与默认值处理</w:t>
      </w:r>
    </w:p>
    <w:p>
      <w:pPr>
        <w:ind w:firstLine="600"/>
      </w:pPr>
      <w:r>
        <w:rPr>
          <w:rFonts w:hint="eastAsia"/>
        </w:rPr>
        <w:t>所有数据项</w:t>
      </w:r>
      <w:r>
        <w:t>在取小数近似数的时候，采用“四舍五入”法。</w:t>
      </w:r>
    </w:p>
    <w:p>
      <w:pPr>
        <w:ind w:firstLine="600"/>
      </w:pPr>
      <w:r>
        <w:rPr>
          <w:rFonts w:hint="eastAsia"/>
        </w:rPr>
        <w:t>当如下数据类型出现空值时，如数据项备注无特殊说明，请按默认值填写，处理方式为：</w:t>
      </w:r>
    </w:p>
    <w:p>
      <w:pPr>
        <w:ind w:firstLine="600"/>
        <w:rPr>
          <w:rFonts w:hint="eastAsia"/>
        </w:rPr>
      </w:pPr>
      <w:r>
        <w:rPr>
          <w:rFonts w:hint="eastAsia"/>
        </w:rPr>
        <w:t>字符类型——填写“未记录”或“不适用”，实际业务场景中不按照该字段进行管理的，填写“不适用”，业务场景中可以按照该字段进行管理但是公司未采集的，填写“未记录”</w:t>
      </w:r>
    </w:p>
    <w:p>
      <w:pPr>
        <w:ind w:firstLine="600"/>
        <w:rPr>
          <w:rFonts w:hint="eastAsia"/>
          <w:b/>
          <w:bCs/>
        </w:rPr>
      </w:pPr>
      <w:r>
        <w:rPr>
          <w:rFonts w:hint="eastAsia"/>
        </w:rPr>
        <w:t>日期类型——默认值设为</w:t>
      </w:r>
      <w:r>
        <w:rPr>
          <w:bCs/>
        </w:rPr>
        <w:t>99991231</w:t>
      </w:r>
    </w:p>
    <w:p>
      <w:pPr>
        <w:ind w:firstLine="600"/>
        <w:rPr>
          <w:rFonts w:hint="eastAsia"/>
        </w:rPr>
      </w:pPr>
      <w:r>
        <w:rPr>
          <w:rFonts w:hint="eastAsia"/>
        </w:rPr>
        <w:t>年月类型——默认值设为</w:t>
      </w:r>
      <w:r>
        <w:t>999912</w:t>
      </w:r>
    </w:p>
    <w:p>
      <w:pPr>
        <w:ind w:firstLine="600"/>
        <w:rPr>
          <w:rFonts w:hint="eastAsia"/>
        </w:rPr>
      </w:pPr>
      <w:r>
        <w:rPr>
          <w:rFonts w:hint="eastAsia"/>
        </w:rPr>
        <w:t>数字类型（整型）——默认值设为</w:t>
      </w:r>
      <w:r>
        <w:t>9999999999</w:t>
      </w:r>
    </w:p>
    <w:p>
      <w:pPr>
        <w:ind w:firstLine="600"/>
        <w:rPr>
          <w:rFonts w:hint="eastAsia"/>
        </w:rPr>
      </w:pPr>
      <w:r>
        <w:rPr>
          <w:rFonts w:hint="eastAsia"/>
        </w:rPr>
        <w:t>数字类型（小数型）——默认值设为</w:t>
      </w:r>
      <w:r>
        <w:t>0.0001</w:t>
      </w:r>
    </w:p>
    <w:p>
      <w:pPr>
        <w:pStyle w:val="3"/>
        <w:pageBreakBefore w:val="0"/>
        <w:numPr>
          <w:ilvl w:val="1"/>
          <w:numId w:val="0"/>
        </w:numPr>
        <w:kinsoku/>
        <w:wordWrap/>
        <w:overflowPunct/>
        <w:topLinePunct w:val="0"/>
        <w:autoSpaceDE/>
        <w:autoSpaceDN/>
        <w:bidi w:val="0"/>
        <w:adjustRightInd/>
        <w:snapToGrid/>
        <w:spacing w:line="560" w:lineRule="exact"/>
        <w:ind w:left="600" w:leftChars="200"/>
        <w:rPr>
          <w:highlight w:val="none"/>
        </w:rPr>
      </w:pPr>
      <w:r>
        <w:rPr>
          <w:rFonts w:hint="eastAsia"/>
          <w:highlight w:val="none"/>
        </w:rPr>
        <w:t>（五）隐私保护说明</w:t>
      </w:r>
    </w:p>
    <w:p>
      <w:pPr>
        <w:keepNext w:val="0"/>
        <w:keepLines w:val="0"/>
        <w:pageBreakBefore w:val="0"/>
        <w:widowControl w:val="0"/>
        <w:tabs>
          <w:tab w:val="left" w:pos="7560"/>
        </w:tabs>
        <w:kinsoku/>
        <w:wordWrap/>
        <w:overflowPunct/>
        <w:topLinePunct w:val="0"/>
        <w:autoSpaceDE/>
        <w:autoSpaceDN/>
        <w:bidi w:val="0"/>
        <w:adjustRightInd/>
        <w:snapToGrid/>
        <w:spacing w:line="560" w:lineRule="exact"/>
        <w:ind w:firstLine="600" w:firstLineChars="200"/>
        <w:textAlignment w:val="auto"/>
        <w:outlineLvl w:val="9"/>
        <w:rPr>
          <w:rFonts w:hint="eastAsia"/>
          <w:highlight w:val="none"/>
        </w:rPr>
      </w:pPr>
      <w:r>
        <w:rPr>
          <w:rFonts w:hint="eastAsia"/>
          <w:highlight w:val="none"/>
        </w:rPr>
        <w:t>涉及个人隐私数据的数据项详见《中国银保监会保险业监管数据标准化规范（</w:t>
      </w:r>
      <w:r>
        <w:rPr>
          <w:rFonts w:hint="eastAsia"/>
          <w:highlight w:val="none"/>
          <w:lang w:eastAsia="zh-CN"/>
        </w:rPr>
        <w:t>再</w:t>
      </w:r>
      <w:r>
        <w:rPr>
          <w:rFonts w:hint="eastAsia"/>
          <w:highlight w:val="none"/>
        </w:rPr>
        <w:t>保险公司版）》及其报送说明，由</w:t>
      </w:r>
      <w:r>
        <w:rPr>
          <w:rFonts w:hint="eastAsia"/>
          <w:highlight w:val="none"/>
          <w:lang w:eastAsia="zh-CN"/>
        </w:rPr>
        <w:t>再</w:t>
      </w:r>
      <w:r>
        <w:rPr>
          <w:rFonts w:hint="eastAsia"/>
          <w:highlight w:val="none"/>
        </w:rPr>
        <w:t>保险</w:t>
      </w:r>
      <w:r>
        <w:rPr>
          <w:rFonts w:hint="eastAsia"/>
          <w:highlight w:val="none"/>
          <w:lang w:eastAsia="zh-CN"/>
        </w:rPr>
        <w:t>公司</w:t>
      </w:r>
      <w:r>
        <w:rPr>
          <w:rFonts w:hint="eastAsia"/>
          <w:highlight w:val="none"/>
        </w:rPr>
        <w:t>在报送前进行脱敏处理，并保留一份未脱敏版本以备核查。</w:t>
      </w:r>
    </w:p>
    <w:p>
      <w:pPr>
        <w:pageBreakBefore w:val="0"/>
        <w:numPr>
          <w:ilvl w:val="-1"/>
          <w:numId w:val="0"/>
        </w:numPr>
        <w:kinsoku/>
        <w:wordWrap/>
        <w:overflowPunct/>
        <w:topLinePunct w:val="0"/>
        <w:autoSpaceDE/>
        <w:autoSpaceDN/>
        <w:bidi w:val="0"/>
        <w:adjustRightInd/>
        <w:snapToGrid/>
        <w:spacing w:line="560" w:lineRule="exact"/>
        <w:ind w:firstLine="600" w:firstLineChars="200"/>
        <w:rPr>
          <w:rFonts w:hint="eastAsia" w:eastAsia="仿宋_GB2312" w:cs="仿宋_GB2312"/>
          <w:color w:val="0000FF"/>
          <w:szCs w:val="30"/>
          <w:highlight w:val="none"/>
          <w:lang w:eastAsia="zh-CN"/>
        </w:rPr>
      </w:pPr>
      <w:r>
        <w:rPr>
          <w:rFonts w:hint="eastAsia" w:ascii="仿宋_GB2312" w:hAnsi="仿宋_GB2312" w:eastAsia="仿宋_GB2312" w:cs="仿宋_GB2312"/>
          <w:sz w:val="30"/>
          <w:szCs w:val="30"/>
          <w:lang w:eastAsia="zh-CN"/>
        </w:rPr>
        <w:t>脱敏规则参见《中国银保监会</w:t>
      </w:r>
      <w:r>
        <w:rPr>
          <w:rFonts w:hint="eastAsia" w:ascii="仿宋_GB2312" w:hAnsi="仿宋_GB2312" w:cs="仿宋_GB2312"/>
          <w:sz w:val="30"/>
          <w:szCs w:val="30"/>
          <w:lang w:eastAsia="zh-CN"/>
        </w:rPr>
        <w:t>保险业</w:t>
      </w:r>
      <w:r>
        <w:rPr>
          <w:rFonts w:hint="eastAsia" w:ascii="仿宋_GB2312" w:hAnsi="仿宋_GB2312" w:eastAsia="仿宋_GB2312" w:cs="仿宋_GB2312"/>
          <w:sz w:val="30"/>
          <w:szCs w:val="30"/>
          <w:lang w:eastAsia="zh-CN"/>
        </w:rPr>
        <w:t>监管数据标准化规范</w:t>
      </w:r>
      <w:r>
        <w:rPr>
          <w:rFonts w:hint="eastAsia" w:ascii="仿宋_GB2312" w:hAnsi="仿宋_GB2312" w:cs="仿宋_GB2312"/>
          <w:sz w:val="30"/>
          <w:szCs w:val="30"/>
          <w:lang w:eastAsia="zh-CN"/>
        </w:rPr>
        <w:t>（</w:t>
      </w:r>
      <w:r>
        <w:rPr>
          <w:rFonts w:hint="eastAsia" w:cs="仿宋_GB2312"/>
          <w:sz w:val="30"/>
          <w:szCs w:val="30"/>
          <w:lang w:val="en-US" w:eastAsia="zh-CN"/>
        </w:rPr>
        <w:t>再</w:t>
      </w:r>
      <w:r>
        <w:rPr>
          <w:rFonts w:hint="eastAsia" w:ascii="仿宋_GB2312" w:hAnsi="仿宋_GB2312" w:cs="仿宋_GB2312"/>
          <w:sz w:val="30"/>
          <w:szCs w:val="30"/>
          <w:lang w:eastAsia="zh-CN"/>
        </w:rPr>
        <w:t>保险公司版）报送</w:t>
      </w:r>
      <w:r>
        <w:rPr>
          <w:rFonts w:hint="eastAsia" w:ascii="仿宋_GB2312" w:hAnsi="仿宋_GB2312" w:eastAsia="仿宋_GB2312" w:cs="仿宋_GB2312"/>
          <w:sz w:val="30"/>
          <w:szCs w:val="30"/>
          <w:lang w:eastAsia="zh-CN"/>
        </w:rPr>
        <w:t>说明》。</w:t>
      </w:r>
    </w:p>
    <w:p>
      <w:pPr>
        <w:pStyle w:val="3"/>
        <w:numPr>
          <w:ilvl w:val="1"/>
          <w:numId w:val="0"/>
        </w:numPr>
        <w:ind w:firstLine="602" w:firstLineChars="200"/>
        <w:rPr>
          <w:rFonts w:hint="eastAsia"/>
          <w:b/>
        </w:rPr>
      </w:pPr>
      <w:r>
        <w:rPr>
          <w:rFonts w:hint="eastAsia"/>
          <w:b/>
        </w:rPr>
        <w:t>（</w:t>
      </w:r>
      <w:r>
        <w:rPr>
          <w:rFonts w:hint="eastAsia"/>
          <w:b/>
          <w:lang w:eastAsia="zh-CN"/>
        </w:rPr>
        <w:t>六</w:t>
      </w:r>
      <w:r>
        <w:rPr>
          <w:rFonts w:hint="eastAsia"/>
          <w:b/>
        </w:rPr>
        <w:t>）采集模式</w:t>
      </w:r>
    </w:p>
    <w:p>
      <w:pPr>
        <w:ind w:firstLine="600"/>
        <w:rPr>
          <w:szCs w:val="22"/>
        </w:rPr>
      </w:pPr>
      <w:r>
        <w:rPr>
          <w:rFonts w:hint="eastAsia"/>
        </w:rPr>
        <w:t>数据表根据性质，可以分为状态类和明细类两种。其中明细类包括以下11张表：总账会计全科目表、内部科目对照表、财务凭证信息表、账单信息表、收付费明细表、资金运用规模汇总表、自主投资账户持仓明细表、自主投资交易流水表、</w:t>
      </w:r>
      <w:r>
        <w:rPr>
          <w:rFonts w:hint="eastAsia"/>
          <w:szCs w:val="22"/>
        </w:rPr>
        <w:t>委托投资情况汇总表、</w:t>
      </w:r>
      <w:r>
        <w:rPr>
          <w:rFonts w:hint="eastAsia"/>
          <w:szCs w:val="22"/>
          <w:lang w:eastAsia="zh-CN"/>
        </w:rPr>
        <w:t>重大</w:t>
      </w:r>
      <w:r>
        <w:rPr>
          <w:rFonts w:hint="eastAsia"/>
          <w:szCs w:val="22"/>
        </w:rPr>
        <w:t>关联交易明细表、关联交易汇总表；</w:t>
      </w:r>
      <w:r>
        <w:rPr>
          <w:rFonts w:hint="eastAsia"/>
        </w:rPr>
        <w:t>其他表属于状态类。</w:t>
      </w:r>
    </w:p>
    <w:p>
      <w:pPr>
        <w:ind w:firstLine="602"/>
        <w:rPr>
          <w:rFonts w:cs="仿宋_GB2312"/>
          <w:b/>
          <w:bCs/>
          <w:szCs w:val="32"/>
        </w:rPr>
      </w:pPr>
      <w:r>
        <w:rPr>
          <w:rFonts w:hint="eastAsia" w:cs="仿宋_GB2312"/>
          <w:b/>
          <w:bCs/>
          <w:szCs w:val="32"/>
        </w:rPr>
        <w:t>1.集中采集</w:t>
      </w:r>
    </w:p>
    <w:p>
      <w:pPr>
        <w:ind w:firstLine="600"/>
      </w:pPr>
      <w:r>
        <w:rPr>
          <w:rFonts w:hint="eastAsia"/>
        </w:rPr>
        <w:t>集中采集时，所有状态类表采用全量采集，指采集时间段内所有发生业务及存续业务的全量数据在采集截至时间点上的状态，不追溯采集时间段前已结清业务在采集截至时间点上的状态。例如，集中采集时间段为2019年1月1日至2021年12月31日，则2019年关停的分支机构应当报送一条状态为“停业”的记录，而2018年关停的分支机构则不在采集范围内。</w:t>
      </w:r>
    </w:p>
    <w:p>
      <w:pPr>
        <w:ind w:firstLine="600"/>
      </w:pPr>
      <w:r>
        <w:rPr>
          <w:rFonts w:hint="eastAsia"/>
        </w:rPr>
        <w:t>明细类表按照集中采集通知定义的时间范围采集具体时间段内所有数据。例如，集中采集时间段为2019年1月1日至2021年12月31日，则总账会计全科目表需报送会计期间为2019年1月至2021年12月的所有科目的数据（包括中期审计、年度审计数据），资金运用规模统计表等报送2019年1月至2021年12月期间每月末对应的资金运用规模。</w:t>
      </w:r>
    </w:p>
    <w:p>
      <w:pPr>
        <w:ind w:firstLine="602"/>
        <w:rPr>
          <w:rFonts w:cs="仿宋_GB2312"/>
          <w:b/>
          <w:bCs/>
          <w:szCs w:val="32"/>
        </w:rPr>
      </w:pPr>
      <w:r>
        <w:rPr>
          <w:rFonts w:hint="eastAsia" w:cs="仿宋_GB2312"/>
          <w:b/>
          <w:bCs/>
          <w:szCs w:val="32"/>
        </w:rPr>
        <w:t>2.持续采集</w:t>
      </w:r>
    </w:p>
    <w:p>
      <w:pPr>
        <w:ind w:firstLine="600"/>
      </w:pPr>
      <w:r>
        <w:rPr>
          <w:rFonts w:hint="eastAsia"/>
        </w:rPr>
        <w:t>集中采集时，所有状态类表采用全量采集，所有明细类表采用增量采集。</w:t>
      </w:r>
    </w:p>
    <w:p>
      <w:pPr>
        <w:ind w:firstLine="600"/>
      </w:pPr>
      <w:r>
        <w:rPr>
          <w:rFonts w:hint="eastAsia"/>
        </w:rPr>
        <w:t>全量采集方式同集中采集的全量采集方式，指本次报送时间范围内发生及存续业务在采集截止时间点的状态。例如，2021年10月份应报送2021年9月份的数据，则员工信息表需报送2021年9月底仍在职的员工及2019年9月期间离职的员工信息，2019年8月已离职的员工不需报送。</w:t>
      </w:r>
    </w:p>
    <w:p>
      <w:pPr>
        <w:ind w:firstLine="600"/>
      </w:pPr>
      <w:r>
        <w:rPr>
          <w:rFonts w:hint="eastAsia"/>
        </w:rPr>
        <w:t>增量采集指本次报送时间范围内产生的数据。例如，2021年10月份应报送2021年9月份的数据，则总账会计全科目表需报送会计期间为2021年9月的所有科目的数据，</w:t>
      </w:r>
      <w:r>
        <w:t>财务凭证信息表</w:t>
      </w:r>
      <w:r>
        <w:rPr>
          <w:rFonts w:hint="eastAsia"/>
        </w:rPr>
        <w:t>需报送记账日期为2019年9月1日-2019年9月30日的数据，资金运用规模统计表等报送2019年9月30日对应的资金运用规模。</w:t>
      </w:r>
    </w:p>
    <w:p>
      <w:pPr>
        <w:ind w:firstLine="0" w:firstLineChars="0"/>
        <w:jc w:val="center"/>
        <w:rPr>
          <w:rFonts w:ascii="宋体" w:hAnsi="宋体"/>
          <w:sz w:val="24"/>
          <w:szCs w:val="24"/>
        </w:rPr>
      </w:pPr>
      <w:r>
        <w:rPr>
          <w:rFonts w:hint="eastAsia" w:ascii="宋体" w:hAnsi="宋体"/>
          <w:sz w:val="24"/>
          <w:szCs w:val="24"/>
        </w:rPr>
        <w:t>表</w:t>
      </w:r>
      <w:r>
        <w:rPr>
          <w:rFonts w:hint="eastAsia" w:ascii="宋体" w:hAnsi="宋体"/>
          <w:sz w:val="24"/>
          <w:szCs w:val="24"/>
        </w:rPr>
        <w:fldChar w:fldCharType="begin"/>
      </w:r>
      <w:r>
        <w:rPr>
          <w:rFonts w:hint="eastAsia" w:ascii="宋体" w:hAnsi="宋体"/>
          <w:sz w:val="24"/>
          <w:szCs w:val="24"/>
        </w:rPr>
        <w:instrText xml:space="preserve"> SEQ 表 \* ARABIC </w:instrText>
      </w:r>
      <w:r>
        <w:rPr>
          <w:rFonts w:hint="eastAsia" w:ascii="宋体" w:hAnsi="宋体"/>
          <w:sz w:val="24"/>
          <w:szCs w:val="24"/>
        </w:rPr>
        <w:fldChar w:fldCharType="separate"/>
      </w:r>
      <w:r>
        <w:rPr>
          <w:rFonts w:hint="eastAsia" w:ascii="宋体" w:hAnsi="宋体"/>
          <w:sz w:val="24"/>
          <w:szCs w:val="24"/>
        </w:rPr>
        <w:t>2</w:t>
      </w:r>
      <w:r>
        <w:rPr>
          <w:rFonts w:hint="eastAsia" w:ascii="宋体" w:hAnsi="宋体"/>
          <w:sz w:val="24"/>
          <w:szCs w:val="24"/>
        </w:rPr>
        <w:fldChar w:fldCharType="end"/>
      </w:r>
      <w:r>
        <w:rPr>
          <w:rFonts w:hint="eastAsia" w:ascii="宋体" w:hAnsi="宋体"/>
          <w:sz w:val="24"/>
          <w:szCs w:val="24"/>
        </w:rPr>
        <w:t xml:space="preserve"> 监管标准化数据采集表</w:t>
      </w:r>
    </w:p>
    <w:tbl>
      <w:tblPr>
        <w:tblStyle w:val="45"/>
        <w:tblW w:w="94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2324"/>
        <w:gridCol w:w="955"/>
        <w:gridCol w:w="2537"/>
        <w:gridCol w:w="1077"/>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794" w:type="dxa"/>
            <w:vAlign w:val="center"/>
          </w:tcPr>
          <w:p>
            <w:pPr>
              <w:pStyle w:val="58"/>
              <w:spacing w:line="240" w:lineRule="auto"/>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编号</w:t>
            </w:r>
          </w:p>
        </w:tc>
        <w:tc>
          <w:tcPr>
            <w:tcW w:w="2324" w:type="dxa"/>
            <w:vAlign w:val="center"/>
          </w:tcPr>
          <w:p>
            <w:pPr>
              <w:pStyle w:val="58"/>
              <w:spacing w:line="240" w:lineRule="auto"/>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表中文名</w:t>
            </w:r>
          </w:p>
        </w:tc>
        <w:tc>
          <w:tcPr>
            <w:tcW w:w="955" w:type="dxa"/>
            <w:vAlign w:val="center"/>
          </w:tcPr>
          <w:p>
            <w:pPr>
              <w:pStyle w:val="58"/>
              <w:spacing w:line="240" w:lineRule="auto"/>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表类型</w:t>
            </w:r>
          </w:p>
        </w:tc>
        <w:tc>
          <w:tcPr>
            <w:tcW w:w="2537" w:type="dxa"/>
            <w:vAlign w:val="center"/>
          </w:tcPr>
          <w:p>
            <w:pPr>
              <w:pStyle w:val="58"/>
              <w:spacing w:line="240" w:lineRule="auto"/>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集中采集</w:t>
            </w:r>
          </w:p>
        </w:tc>
        <w:tc>
          <w:tcPr>
            <w:tcW w:w="1077" w:type="dxa"/>
            <w:vAlign w:val="center"/>
          </w:tcPr>
          <w:p>
            <w:pPr>
              <w:pStyle w:val="58"/>
              <w:spacing w:line="240" w:lineRule="auto"/>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持续采集</w:t>
            </w:r>
          </w:p>
        </w:tc>
        <w:tc>
          <w:tcPr>
            <w:tcW w:w="1746" w:type="dxa"/>
          </w:tcPr>
          <w:p>
            <w:pPr>
              <w:pStyle w:val="58"/>
              <w:spacing w:line="240" w:lineRule="auto"/>
              <w:ind w:firstLine="0" w:firstLineChars="0"/>
            </w:pPr>
            <w:r>
              <w:rPr>
                <w:rFonts w:hint="eastAsia" w:ascii="仿宋_GB2312" w:hAnsi="仿宋_GB2312" w:eastAsia="仿宋_GB2312" w:cs="仿宋_GB2312"/>
                <w:sz w:val="21"/>
                <w:szCs w:val="21"/>
              </w:rPr>
              <w:t>状态数据项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0101</w:t>
            </w:r>
          </w:p>
        </w:tc>
        <w:tc>
          <w:tcPr>
            <w:tcW w:w="2324" w:type="dxa"/>
          </w:tcPr>
          <w:p>
            <w:pPr>
              <w:pStyle w:val="47"/>
              <w:spacing w:line="240" w:lineRule="auto"/>
              <w:ind w:firstLine="0" w:firstLineChars="0"/>
              <w:jc w:val="left"/>
            </w:pPr>
            <w:r>
              <w:t>机构信息表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pPr>
            <w:r>
              <w:rPr>
                <w:rFonts w:hint="eastAsia"/>
              </w:rPr>
              <w:t>0102</w:t>
            </w:r>
          </w:p>
        </w:tc>
        <w:tc>
          <w:tcPr>
            <w:tcW w:w="2324" w:type="dxa"/>
          </w:tcPr>
          <w:p>
            <w:pPr>
              <w:pStyle w:val="47"/>
              <w:spacing w:line="240" w:lineRule="auto"/>
              <w:ind w:firstLine="0" w:firstLineChars="0"/>
              <w:jc w:val="left"/>
            </w:pPr>
            <w:r>
              <w:t>股权信息表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010</w:t>
            </w:r>
            <w:r>
              <w:rPr>
                <w:rFonts w:hint="eastAsia"/>
              </w:rPr>
              <w:t>3</w:t>
            </w:r>
          </w:p>
        </w:tc>
        <w:tc>
          <w:tcPr>
            <w:tcW w:w="2324" w:type="dxa"/>
          </w:tcPr>
          <w:p>
            <w:pPr>
              <w:pStyle w:val="47"/>
              <w:spacing w:line="240" w:lineRule="auto"/>
              <w:ind w:firstLine="0" w:firstLineChars="0"/>
              <w:jc w:val="left"/>
            </w:pPr>
            <w:r>
              <w:t>分支机构信息表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分支机构状态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010</w:t>
            </w:r>
            <w:r>
              <w:rPr>
                <w:rFonts w:hint="eastAsia"/>
              </w:rPr>
              <w:t>4</w:t>
            </w:r>
          </w:p>
        </w:tc>
        <w:tc>
          <w:tcPr>
            <w:tcW w:w="2324" w:type="dxa"/>
          </w:tcPr>
          <w:p>
            <w:pPr>
              <w:pStyle w:val="47"/>
              <w:spacing w:line="240" w:lineRule="auto"/>
              <w:ind w:firstLine="0" w:firstLineChars="0"/>
              <w:jc w:val="left"/>
            </w:pPr>
            <w:r>
              <w:t>员工信息表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离司日期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010</w:t>
            </w:r>
            <w:r>
              <w:rPr>
                <w:rFonts w:hint="eastAsia"/>
              </w:rPr>
              <w:t>5</w:t>
            </w:r>
          </w:p>
        </w:tc>
        <w:tc>
          <w:tcPr>
            <w:tcW w:w="2324" w:type="dxa"/>
          </w:tcPr>
          <w:p>
            <w:pPr>
              <w:pStyle w:val="47"/>
              <w:spacing w:line="240" w:lineRule="auto"/>
              <w:ind w:firstLine="0" w:firstLineChars="0"/>
              <w:jc w:val="left"/>
            </w:pPr>
            <w:r>
              <w:t>董监高履职信息表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结束日期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010</w:t>
            </w:r>
            <w:r>
              <w:rPr>
                <w:rFonts w:hint="eastAsia"/>
              </w:rPr>
              <w:t>6</w:t>
            </w:r>
          </w:p>
        </w:tc>
        <w:tc>
          <w:tcPr>
            <w:tcW w:w="2324" w:type="dxa"/>
          </w:tcPr>
          <w:p>
            <w:pPr>
              <w:pStyle w:val="47"/>
              <w:spacing w:line="240" w:lineRule="auto"/>
              <w:ind w:firstLine="0" w:firstLineChars="0"/>
              <w:jc w:val="left"/>
            </w:pPr>
            <w:r>
              <w:t>董监高处罚信息表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pPr>
            <w:r>
              <w:rPr>
                <w:rFonts w:hint="eastAsia"/>
              </w:rPr>
              <w:t>0107</w:t>
            </w:r>
          </w:p>
        </w:tc>
        <w:tc>
          <w:tcPr>
            <w:tcW w:w="2324" w:type="dxa"/>
          </w:tcPr>
          <w:p>
            <w:pPr>
              <w:pStyle w:val="47"/>
              <w:spacing w:line="240" w:lineRule="auto"/>
              <w:ind w:firstLine="0" w:firstLineChars="0"/>
              <w:jc w:val="left"/>
            </w:pPr>
            <w:r>
              <w:rPr>
                <w:rFonts w:hint="eastAsia"/>
              </w:rPr>
              <w:t>员工问责信息表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0201</w:t>
            </w:r>
          </w:p>
        </w:tc>
        <w:tc>
          <w:tcPr>
            <w:tcW w:w="2324" w:type="dxa"/>
          </w:tcPr>
          <w:p>
            <w:pPr>
              <w:pStyle w:val="47"/>
              <w:spacing w:line="240" w:lineRule="auto"/>
              <w:ind w:firstLine="0" w:firstLineChars="0"/>
              <w:jc w:val="left"/>
            </w:pPr>
            <w:r>
              <w:t>总账会计全科目表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明细表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通知定义的时间范围</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增量</w:t>
            </w:r>
          </w:p>
        </w:tc>
        <w:tc>
          <w:tcPr>
            <w:tcW w:w="1746" w:type="dxa"/>
            <w:vAlign w:val="center"/>
          </w:tcPr>
          <w:p>
            <w:pPr>
              <w:pStyle w:val="47"/>
              <w:spacing w:line="240" w:lineRule="auto"/>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0202</w:t>
            </w:r>
          </w:p>
        </w:tc>
        <w:tc>
          <w:tcPr>
            <w:tcW w:w="2324" w:type="dxa"/>
          </w:tcPr>
          <w:p>
            <w:pPr>
              <w:pStyle w:val="47"/>
              <w:spacing w:line="240" w:lineRule="auto"/>
              <w:ind w:firstLine="0" w:firstLineChars="0"/>
              <w:jc w:val="left"/>
            </w:pPr>
            <w:r>
              <w:t>内部科目对照表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明细表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通知定义的时间范围</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增量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0203</w:t>
            </w:r>
          </w:p>
        </w:tc>
        <w:tc>
          <w:tcPr>
            <w:tcW w:w="2324" w:type="dxa"/>
          </w:tcPr>
          <w:p>
            <w:pPr>
              <w:pStyle w:val="47"/>
              <w:spacing w:line="240" w:lineRule="auto"/>
              <w:ind w:firstLine="0" w:firstLineChars="0"/>
              <w:jc w:val="left"/>
            </w:pPr>
            <w:r>
              <w:t>财务凭证信息表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明细表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通知定义的时间范围</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增量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0204</w:t>
            </w:r>
          </w:p>
        </w:tc>
        <w:tc>
          <w:tcPr>
            <w:tcW w:w="2324" w:type="dxa"/>
          </w:tcPr>
          <w:p>
            <w:pPr>
              <w:pStyle w:val="47"/>
              <w:spacing w:line="240" w:lineRule="auto"/>
              <w:ind w:firstLine="0" w:firstLineChars="0"/>
              <w:jc w:val="left"/>
            </w:pPr>
            <w:r>
              <w:t>银行账户信息表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银行账户状态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0301</w:t>
            </w:r>
          </w:p>
        </w:tc>
        <w:tc>
          <w:tcPr>
            <w:tcW w:w="2324" w:type="dxa"/>
          </w:tcPr>
          <w:p>
            <w:pPr>
              <w:pStyle w:val="47"/>
              <w:spacing w:line="240" w:lineRule="auto"/>
              <w:ind w:firstLine="0" w:firstLineChars="0"/>
              <w:jc w:val="left"/>
            </w:pPr>
            <w:r>
              <w:t>客户信息表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客户状态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0302</w:t>
            </w:r>
          </w:p>
        </w:tc>
        <w:tc>
          <w:tcPr>
            <w:tcW w:w="2324" w:type="dxa"/>
          </w:tcPr>
          <w:p>
            <w:pPr>
              <w:pStyle w:val="47"/>
              <w:spacing w:line="240" w:lineRule="auto"/>
              <w:ind w:firstLine="0" w:firstLineChars="0"/>
              <w:jc w:val="left"/>
            </w:pPr>
            <w:r>
              <w:t>合同基本信息表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合同</w:t>
            </w:r>
            <w:r>
              <w:rPr>
                <w:rFonts w:hint="eastAsia" w:ascii="仿宋_GB2312" w:hAnsi="仿宋_GB2312" w:eastAsia="仿宋_GB2312" w:cs="仿宋_GB2312"/>
                <w:szCs w:val="21"/>
                <w:lang w:eastAsia="zh-CN"/>
              </w:rPr>
              <w:t>有效标志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0303</w:t>
            </w:r>
          </w:p>
        </w:tc>
        <w:tc>
          <w:tcPr>
            <w:tcW w:w="2324" w:type="dxa"/>
          </w:tcPr>
          <w:p>
            <w:pPr>
              <w:pStyle w:val="47"/>
              <w:spacing w:line="240" w:lineRule="auto"/>
              <w:ind w:firstLine="0" w:firstLineChars="0"/>
              <w:jc w:val="left"/>
            </w:pPr>
            <w:r>
              <w:t>比例合同产品信息表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0304</w:t>
            </w:r>
          </w:p>
        </w:tc>
        <w:tc>
          <w:tcPr>
            <w:tcW w:w="2324" w:type="dxa"/>
          </w:tcPr>
          <w:p>
            <w:pPr>
              <w:pStyle w:val="47"/>
              <w:spacing w:line="240" w:lineRule="auto"/>
              <w:ind w:firstLine="0" w:firstLineChars="0"/>
              <w:jc w:val="left"/>
            </w:pPr>
            <w:r>
              <w:t>比例合同分项信息表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0305</w:t>
            </w:r>
          </w:p>
        </w:tc>
        <w:tc>
          <w:tcPr>
            <w:tcW w:w="2324" w:type="dxa"/>
          </w:tcPr>
          <w:p>
            <w:pPr>
              <w:pStyle w:val="47"/>
              <w:spacing w:line="240" w:lineRule="auto"/>
              <w:ind w:firstLine="0" w:firstLineChars="0"/>
              <w:jc w:val="left"/>
            </w:pPr>
            <w:r>
              <w:t>非比例合同分层信息表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0306</w:t>
            </w:r>
          </w:p>
        </w:tc>
        <w:tc>
          <w:tcPr>
            <w:tcW w:w="2324" w:type="dxa"/>
          </w:tcPr>
          <w:p>
            <w:pPr>
              <w:pStyle w:val="47"/>
              <w:spacing w:line="240" w:lineRule="auto"/>
              <w:ind w:firstLine="0" w:firstLineChars="0"/>
              <w:jc w:val="left"/>
            </w:pPr>
            <w:r>
              <w:t>账单信息表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明细表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通知定义的时间范围</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增量</w:t>
            </w:r>
          </w:p>
        </w:tc>
        <w:tc>
          <w:tcPr>
            <w:tcW w:w="1746" w:type="dxa"/>
            <w:vAlign w:val="center"/>
          </w:tcPr>
          <w:p>
            <w:pPr>
              <w:pStyle w:val="47"/>
              <w:spacing w:line="240" w:lineRule="auto"/>
              <w:ind w:firstLine="0" w:firstLineChars="0"/>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rPr>
                <w:rFonts w:ascii="仿宋_GB2312" w:hAnsi="仿宋_GB2312" w:eastAsia="仿宋_GB2312" w:cs="仿宋_GB2312"/>
                <w:szCs w:val="21"/>
              </w:rPr>
            </w:pPr>
            <w:r>
              <w:t>0307</w:t>
            </w:r>
          </w:p>
        </w:tc>
        <w:tc>
          <w:tcPr>
            <w:tcW w:w="2324" w:type="dxa"/>
          </w:tcPr>
          <w:p>
            <w:pPr>
              <w:pStyle w:val="47"/>
              <w:spacing w:line="240" w:lineRule="auto"/>
              <w:ind w:firstLine="0" w:firstLineChars="0"/>
              <w:jc w:val="left"/>
            </w:pPr>
            <w:r>
              <w:t>收付费明细表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明细表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通知定义的时间范围</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增量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pPr>
            <w:r>
              <w:rPr>
                <w:rFonts w:hint="eastAsia"/>
              </w:rPr>
              <w:t>0401</w:t>
            </w:r>
          </w:p>
        </w:tc>
        <w:tc>
          <w:tcPr>
            <w:tcW w:w="2324" w:type="dxa"/>
          </w:tcPr>
          <w:p>
            <w:pPr>
              <w:pStyle w:val="47"/>
              <w:spacing w:line="240" w:lineRule="auto"/>
              <w:ind w:firstLine="0" w:firstLineChars="0"/>
              <w:jc w:val="left"/>
            </w:pPr>
            <w:r>
              <w:rPr>
                <w:rFonts w:hint="eastAsia"/>
              </w:rPr>
              <w:t>资金运用规模汇总表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明细表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通知定义的时间范围</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增量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pPr>
            <w:r>
              <w:rPr>
                <w:rFonts w:hint="eastAsia"/>
              </w:rPr>
              <w:t>0402</w:t>
            </w:r>
          </w:p>
        </w:tc>
        <w:tc>
          <w:tcPr>
            <w:tcW w:w="2324" w:type="dxa"/>
          </w:tcPr>
          <w:p>
            <w:pPr>
              <w:pStyle w:val="47"/>
              <w:spacing w:line="240" w:lineRule="auto"/>
              <w:ind w:firstLine="0" w:firstLineChars="0"/>
              <w:jc w:val="left"/>
            </w:pPr>
            <w:r>
              <w:rPr>
                <w:rFonts w:hint="eastAsia"/>
              </w:rPr>
              <w:t>投资账户持仓明细表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明细表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通知定义的时间范围</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增量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pPr>
            <w:r>
              <w:rPr>
                <w:rFonts w:hint="eastAsia"/>
              </w:rPr>
              <w:t>0403</w:t>
            </w:r>
          </w:p>
        </w:tc>
        <w:tc>
          <w:tcPr>
            <w:tcW w:w="2324" w:type="dxa"/>
          </w:tcPr>
          <w:p>
            <w:pPr>
              <w:pStyle w:val="47"/>
              <w:spacing w:line="240" w:lineRule="auto"/>
              <w:ind w:firstLine="0" w:firstLineChars="0"/>
              <w:jc w:val="left"/>
            </w:pPr>
            <w:r>
              <w:rPr>
                <w:rFonts w:hint="eastAsia"/>
              </w:rPr>
              <w:t>自主投资交易流水表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明细表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通知定义的时间范围</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增量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pPr>
            <w:r>
              <w:rPr>
                <w:rFonts w:hint="eastAsia"/>
              </w:rPr>
              <w:t>0404</w:t>
            </w:r>
          </w:p>
        </w:tc>
        <w:tc>
          <w:tcPr>
            <w:tcW w:w="2324" w:type="dxa"/>
          </w:tcPr>
          <w:p>
            <w:pPr>
              <w:pStyle w:val="47"/>
              <w:spacing w:line="240" w:lineRule="auto"/>
              <w:ind w:firstLine="0" w:firstLineChars="0"/>
              <w:jc w:val="left"/>
            </w:pPr>
            <w:r>
              <w:rPr>
                <w:rFonts w:hint="eastAsia"/>
              </w:rPr>
              <w:t>委托投资情况汇总表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明细表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通知定义的时间范围</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增量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pPr>
            <w:r>
              <w:t>0501</w:t>
            </w:r>
          </w:p>
        </w:tc>
        <w:tc>
          <w:tcPr>
            <w:tcW w:w="2324" w:type="dxa"/>
          </w:tcPr>
          <w:p>
            <w:pPr>
              <w:pStyle w:val="47"/>
              <w:spacing w:line="240" w:lineRule="auto"/>
              <w:ind w:firstLine="0" w:firstLineChars="0"/>
              <w:jc w:val="left"/>
            </w:pPr>
            <w:r>
              <w:rPr>
                <w:rFonts w:hint="eastAsia"/>
              </w:rPr>
              <w:t>关联方信息表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有效标志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pPr>
            <w:r>
              <w:t>0502</w:t>
            </w:r>
          </w:p>
        </w:tc>
        <w:tc>
          <w:tcPr>
            <w:tcW w:w="2324" w:type="dxa"/>
          </w:tcPr>
          <w:p>
            <w:pPr>
              <w:pStyle w:val="47"/>
              <w:spacing w:line="240" w:lineRule="auto"/>
              <w:ind w:firstLine="0" w:firstLineChars="0"/>
              <w:jc w:val="left"/>
            </w:pPr>
            <w:r>
              <w:rPr>
                <w:rFonts w:hint="eastAsia"/>
              </w:rPr>
              <w:t>金融产品信息表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pPr>
            <w:r>
              <w:t>0503</w:t>
            </w:r>
          </w:p>
        </w:tc>
        <w:tc>
          <w:tcPr>
            <w:tcW w:w="2324" w:type="dxa"/>
          </w:tcPr>
          <w:p>
            <w:pPr>
              <w:pStyle w:val="47"/>
              <w:spacing w:line="240" w:lineRule="auto"/>
              <w:ind w:firstLine="0" w:firstLineChars="0"/>
              <w:jc w:val="left"/>
            </w:pPr>
            <w:r>
              <w:rPr>
                <w:rFonts w:hint="eastAsia"/>
              </w:rPr>
              <w:t>关联关系表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状态表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全量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关系有效标志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pPr>
            <w:r>
              <w:t>0504</w:t>
            </w:r>
          </w:p>
        </w:tc>
        <w:tc>
          <w:tcPr>
            <w:tcW w:w="2324" w:type="dxa"/>
          </w:tcPr>
          <w:p>
            <w:pPr>
              <w:spacing w:line="312" w:lineRule="auto"/>
              <w:ind w:firstLine="0" w:firstLineChars="0"/>
              <w:jc w:val="left"/>
              <w:textAlignment w:val="center"/>
              <w:rPr>
                <w:rFonts w:ascii="Times New Roman" w:hAnsi="Times New Roman" w:eastAsia="宋体"/>
                <w:sz w:val="21"/>
              </w:rPr>
            </w:pPr>
            <w:r>
              <w:rPr>
                <w:rFonts w:hint="eastAsia" w:ascii="Times New Roman" w:hAnsi="Times New Roman" w:eastAsia="宋体"/>
                <w:sz w:val="21"/>
                <w:lang w:eastAsia="zh-CN"/>
              </w:rPr>
              <w:t>重大</w:t>
            </w:r>
            <w:r>
              <w:rPr>
                <w:rFonts w:hint="eastAsia" w:ascii="Times New Roman" w:hAnsi="Times New Roman" w:eastAsia="宋体"/>
                <w:sz w:val="21"/>
              </w:rPr>
              <w:t>关联交易明细表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明细表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通知定义的时间范围</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增量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4" w:type="dxa"/>
          </w:tcPr>
          <w:p>
            <w:pPr>
              <w:pStyle w:val="47"/>
              <w:spacing w:line="240" w:lineRule="auto"/>
              <w:ind w:firstLine="0" w:firstLineChars="0"/>
              <w:jc w:val="center"/>
            </w:pPr>
            <w:r>
              <w:t>0505</w:t>
            </w:r>
          </w:p>
        </w:tc>
        <w:tc>
          <w:tcPr>
            <w:tcW w:w="2324" w:type="dxa"/>
          </w:tcPr>
          <w:p>
            <w:pPr>
              <w:spacing w:line="312" w:lineRule="auto"/>
              <w:ind w:firstLine="0" w:firstLineChars="0"/>
              <w:jc w:val="left"/>
              <w:textAlignment w:val="center"/>
              <w:rPr>
                <w:rFonts w:ascii="宋体" w:hAnsi="宋体" w:eastAsia="宋体" w:cs="宋体"/>
                <w:color w:val="000000"/>
                <w:sz w:val="22"/>
                <w:szCs w:val="22"/>
                <w:lang w:bidi="ar"/>
              </w:rPr>
            </w:pPr>
            <w:r>
              <w:rPr>
                <w:rFonts w:hint="eastAsia" w:ascii="Times New Roman" w:hAnsi="Times New Roman" w:eastAsia="宋体"/>
                <w:sz w:val="21"/>
              </w:rPr>
              <w:t>关联交易汇总表</w:t>
            </w:r>
          </w:p>
        </w:tc>
        <w:tc>
          <w:tcPr>
            <w:tcW w:w="955"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明细表</w:t>
            </w:r>
          </w:p>
        </w:tc>
        <w:tc>
          <w:tcPr>
            <w:tcW w:w="253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通知定义的时间范围</w:t>
            </w:r>
          </w:p>
        </w:tc>
        <w:tc>
          <w:tcPr>
            <w:tcW w:w="1077" w:type="dxa"/>
            <w:vAlign w:val="center"/>
          </w:tcPr>
          <w:p>
            <w:pPr>
              <w:pStyle w:val="47"/>
              <w:spacing w:line="240" w:lineRule="auto"/>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增量</w:t>
            </w:r>
          </w:p>
        </w:tc>
        <w:tc>
          <w:tcPr>
            <w:tcW w:w="1746" w:type="dxa"/>
            <w:vAlign w:val="center"/>
          </w:tcPr>
          <w:p>
            <w:pPr>
              <w:pStyle w:val="47"/>
              <w:spacing w:line="240" w:lineRule="auto"/>
              <w:ind w:firstLine="0" w:firstLineChars="0"/>
              <w:jc w:val="center"/>
              <w:rPr>
                <w:rFonts w:ascii="仿宋_GB2312" w:hAnsi="仿宋_GB2312" w:eastAsia="仿宋_GB2312" w:cs="仿宋_GB2312"/>
                <w:szCs w:val="21"/>
              </w:rPr>
            </w:pPr>
          </w:p>
        </w:tc>
      </w:tr>
    </w:tbl>
    <w:p>
      <w:pPr>
        <w:pStyle w:val="2"/>
        <w:ind w:firstLine="600"/>
      </w:pPr>
      <w:r>
        <w:rPr>
          <w:rFonts w:hint="eastAsia"/>
        </w:rPr>
        <w:t>非技术接口要求</w:t>
      </w:r>
    </w:p>
    <w:p>
      <w:pPr>
        <w:pStyle w:val="3"/>
        <w:numPr>
          <w:ilvl w:val="1"/>
          <w:numId w:val="0"/>
        </w:numPr>
        <w:ind w:left="600" w:leftChars="200"/>
      </w:pPr>
      <w:r>
        <w:rPr>
          <w:rFonts w:hint="eastAsia"/>
        </w:rPr>
        <w:t>（一）持续采集频率</w:t>
      </w:r>
    </w:p>
    <w:p>
      <w:pPr>
        <w:ind w:firstLine="600"/>
      </w:pPr>
      <w:r>
        <w:rPr>
          <w:rFonts w:hint="eastAsia"/>
        </w:rPr>
        <w:t>首次报送后，各再保险公司按照表2要求，于每月15日前报送截至上月底各表的全量、增量数据。</w:t>
      </w:r>
    </w:p>
    <w:p>
      <w:pPr>
        <w:ind w:firstLine="600"/>
      </w:pPr>
      <w:r>
        <w:rPr>
          <w:rFonts w:hint="eastAsia"/>
        </w:rPr>
        <w:t>监管部门可根据监管工作需求，调整报表报送频度。</w:t>
      </w:r>
    </w:p>
    <w:p>
      <w:pPr>
        <w:pStyle w:val="3"/>
        <w:numPr>
          <w:ilvl w:val="1"/>
          <w:numId w:val="0"/>
        </w:numPr>
        <w:ind w:left="600" w:leftChars="200"/>
      </w:pPr>
      <w:r>
        <w:rPr>
          <w:rFonts w:hint="eastAsia"/>
        </w:rPr>
        <w:t>（二）采集介质</w:t>
      </w:r>
    </w:p>
    <w:bookmarkEnd w:id="0"/>
    <w:bookmarkEnd w:id="1"/>
    <w:bookmarkEnd w:id="2"/>
    <w:p>
      <w:pPr>
        <w:pStyle w:val="69"/>
        <w:ind w:firstLine="602"/>
        <w:rPr>
          <w:b/>
          <w:bCs/>
        </w:rPr>
      </w:pPr>
      <w:r>
        <w:rPr>
          <w:rFonts w:hint="eastAsia"/>
          <w:b/>
          <w:bCs/>
        </w:rPr>
        <w:t>1.使用移动存储介质</w:t>
      </w:r>
    </w:p>
    <w:p>
      <w:pPr>
        <w:pStyle w:val="69"/>
      </w:pPr>
      <w:r>
        <w:rPr>
          <w:rFonts w:hint="eastAsia"/>
        </w:rPr>
        <w:t>集中采集或数据量巨大，不便于通过金融专网传输时，再保险公司可使用移动存储介质向监管部门报送数据。</w:t>
      </w:r>
      <w:r>
        <w:t>报送</w:t>
      </w:r>
      <w:r>
        <w:rPr>
          <w:rFonts w:hint="eastAsia"/>
        </w:rPr>
        <w:t>过程应采取必要措施保障数据安全，做好与监管部门数据交接工作。相关要求列举如下供参考，监管部门可在部署采集工作时予以明确：</w:t>
      </w:r>
    </w:p>
    <w:p>
      <w:pPr>
        <w:pStyle w:val="69"/>
        <w:rPr>
          <w:rFonts w:ascii="仿宋_GB2312" w:hAnsi="仿宋_GB2312" w:cs="仿宋_GB2312"/>
        </w:rPr>
      </w:pPr>
      <w:r>
        <w:rPr>
          <w:rFonts w:hint="eastAsia" w:ascii="仿宋_GB2312" w:hAnsi="仿宋_GB2312" w:cs="仿宋_GB2312"/>
        </w:rPr>
        <w:t>（1）建议采用USB3.0接口移动存储介质。持续采集阶段仍需要通过移动存储介质进行的，可建议再保险公司准备2套移动存储介质以便轮流报送。</w:t>
      </w:r>
    </w:p>
    <w:p>
      <w:pPr>
        <w:pStyle w:val="69"/>
        <w:rPr>
          <w:rFonts w:ascii="仿宋_GB2312" w:hAnsi="仿宋_GB2312" w:cs="仿宋_GB2312"/>
        </w:rPr>
      </w:pPr>
      <w:r>
        <w:rPr>
          <w:rFonts w:hint="eastAsia" w:ascii="仿宋_GB2312" w:hAnsi="仿宋_GB2312" w:cs="仿宋_GB2312"/>
        </w:rPr>
        <w:t>（2）</w:t>
      </w:r>
      <w:r>
        <w:rPr>
          <w:rFonts w:hint="eastAsia" w:ascii="仿宋_GB2312" w:hAnsi="仿宋_GB2312" w:cs="仿宋_GB2312"/>
          <w:b/>
          <w:bCs/>
        </w:rPr>
        <w:t>当且仅当</w:t>
      </w:r>
      <w:r>
        <w:rPr>
          <w:rFonts w:hint="eastAsia" w:ascii="仿宋_GB2312" w:hAnsi="仿宋_GB2312" w:cs="仿宋_GB2312"/>
        </w:rPr>
        <w:t>单一文件大小超过500G时，须进行拆分，拆分后每个子文件大小在500G左右，子文件命名时在“表名对应字符串”后加两位数字顺序号区分，从“00”至“99”，与“表名对应字符串”中间用英文短横线“-”进行隔开。如：</w:t>
      </w:r>
    </w:p>
    <w:p>
      <w:pPr>
        <w:ind w:firstLine="600"/>
        <w:jc w:val="left"/>
      </w:pPr>
      <w:r>
        <w:rPr>
          <w:rFonts w:hint="eastAsia"/>
        </w:rPr>
        <w:t>000005-GRBDB-00-20190331.txt</w:t>
      </w:r>
    </w:p>
    <w:p>
      <w:pPr>
        <w:ind w:firstLine="600"/>
        <w:jc w:val="left"/>
        <w:rPr>
          <w:rFonts w:cs="仿宋_GB2312"/>
        </w:rPr>
      </w:pPr>
      <w:r>
        <w:rPr>
          <w:rFonts w:hint="eastAsia"/>
        </w:rPr>
        <w:t>000005-GRBDB-01-20190331.txt</w:t>
      </w:r>
    </w:p>
    <w:p>
      <w:pPr>
        <w:pStyle w:val="69"/>
        <w:rPr>
          <w:rFonts w:ascii="仿宋_GB2312" w:hAnsi="仿宋_GB2312" w:cs="仿宋_GB2312"/>
        </w:rPr>
      </w:pPr>
      <w:r>
        <w:rPr>
          <w:rFonts w:hint="eastAsia" w:ascii="仿宋_GB2312" w:hAnsi="仿宋_GB2312" w:cs="仿宋_GB2312"/>
        </w:rPr>
        <w:t>（3）监管部门可根据实际情况确定数据文件是否压缩。</w:t>
      </w:r>
    </w:p>
    <w:p>
      <w:pPr>
        <w:pStyle w:val="69"/>
        <w:rPr>
          <w:rFonts w:ascii="仿宋_GB2312" w:hAnsi="仿宋_GB2312" w:cs="仿宋_GB2312"/>
        </w:rPr>
      </w:pPr>
      <w:r>
        <w:rPr>
          <w:rFonts w:hint="eastAsia" w:ascii="仿宋_GB2312" w:hAnsi="仿宋_GB2312" w:cs="仿宋_GB2312"/>
        </w:rPr>
        <w:t>（4）所有数据文件及数据校验文件直接存放在移动存储介质根目录下:\cbirc目录中，如一块移动存储介质不能保存下所有数据文件，则按表1的顺序依次保存到其他移动存储介质\cbirc目录中。</w:t>
      </w:r>
    </w:p>
    <w:p>
      <w:pPr>
        <w:pStyle w:val="69"/>
        <w:rPr>
          <w:rFonts w:ascii="仿宋_GB2312" w:hAnsi="仿宋_GB2312" w:cs="仿宋_GB2312"/>
        </w:rPr>
      </w:pPr>
      <w:r>
        <w:rPr>
          <w:rFonts w:hint="eastAsia" w:ascii="仿宋_GB2312" w:hAnsi="仿宋_GB2312" w:cs="仿宋_GB2312"/>
        </w:rPr>
        <w:t>（5）报送数据时，每块移动存储介质同时提供一份电子版报送文件说明，说明数据文件与表名、时间范围之间的关系，如对文件进行了切分，或因系统升级数据文件分段报送，也一并说明。该说明文件以文本格式.txt存放于各移动存储介质的根目录下。</w:t>
      </w:r>
    </w:p>
    <w:p>
      <w:pPr>
        <w:pStyle w:val="69"/>
        <w:ind w:firstLine="602"/>
        <w:rPr>
          <w:b/>
          <w:bCs/>
        </w:rPr>
      </w:pPr>
      <w:r>
        <w:rPr>
          <w:rFonts w:hint="eastAsia"/>
          <w:b/>
          <w:bCs/>
        </w:rPr>
        <w:t>2.通过金融专网</w:t>
      </w:r>
    </w:p>
    <w:p>
      <w:pPr>
        <w:pStyle w:val="69"/>
        <w:rPr>
          <w:szCs w:val="22"/>
        </w:rPr>
      </w:pPr>
      <w:r>
        <w:rPr>
          <w:rFonts w:hint="eastAsia"/>
        </w:rPr>
        <w:t>已采用金融专网方式采集数据的，按既有方式开展。监管部门应当根据本接口说明，对数据采集系统中的传输文件名等要素进行更新。</w:t>
      </w:r>
    </w:p>
    <w:sectPr>
      <w:footerReference r:id="rId9" w:type="default"/>
      <w:endnotePr>
        <w:numFmt w:val="decimal"/>
      </w:endnotePr>
      <w:type w:val="oddPage"/>
      <w:pgSz w:w="11906" w:h="16838"/>
      <w:pgMar w:top="1440" w:right="1418" w:bottom="1440" w:left="1588" w:header="851" w:footer="992" w:gutter="0"/>
      <w:pgNumType w:fmt="decimal" w:start="1"/>
      <w:cols w:space="720" w:num="1"/>
      <w:docGrid w:type="lines" w:linePitch="317" w:charSpace="0"/>
    </w:sectPr>
  </w:body>
</w:document>
</file>

<file path=word/customizations.xml><?xml version="1.0" encoding="utf-8"?>
<wne:tcg xmlns:r="http://schemas.openxmlformats.org/officeDocument/2006/relationships" xmlns:wne="http://schemas.microsoft.com/office/word/2006/wordml">
  <wne:keymaps>
    <wne:keymap wne:kcmPrimary="0232">
      <wne:acd wne:acdName="acd0"/>
    </wne:keymap>
    <wne:keymap wne:kcmPrimary="0451">
      <wne:acd wne:acdName="acd1"/>
    </wne:keymap>
    <wne:keymap wne:kcmPrimary="0454">
      <wne:acd wne:acdName="acd2"/>
    </wne:keymap>
    <wne:keymap wne:kcmPrimary="045A">
      <wne:acd wne:acdName="acd3"/>
    </wne:keymap>
  </wne:keymaps>
  <wne:acds>
    <wne:acd wne:argValue="AQAAAAAA" wne:acdName="acd0" wne:fciIndexBasedOn="0065"/>
    <wne:acd wne:argValue="AQAAAFgA" wne:acdName="acd1" wne:fciIndexBasedOn="0065"/>
    <wne:acd wne:argValue="AgBoiDxo" wne:acdName="acd2" wne:fciIndexBasedOn="0065"/>
    <wne:acd wne:argValue="AgBja4dlMQA=" wne:acdName="acd3"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auto"/>
    <w:pitch w:val="default"/>
    <w:sig w:usb0="00000000" w:usb1="00000000"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ind w:firstLine="0" w:firstLineChars="0"/>
                            <w:rPr>
                              <w:rFonts w:ascii="Times New Roman" w:hAnsi="Times New Roman" w:eastAsia="宋体" w:cs="Times New Roman"/>
                              <w:sz w:val="18"/>
                              <w:szCs w:val="18"/>
                            </w:rPr>
                          </w:pPr>
                          <w:r>
                            <w:rPr>
                              <w:rFonts w:hint="default" w:ascii="Times New Roman" w:hAnsi="Times New Roman" w:eastAsia="宋体" w:cs="Times New Roman"/>
                              <w:sz w:val="18"/>
                              <w:szCs w:val="18"/>
                            </w:rPr>
                            <w:fldChar w:fldCharType="begin"/>
                          </w:r>
                          <w:r>
                            <w:rPr>
                              <w:rFonts w:hint="default" w:ascii="Times New Roman" w:hAnsi="Times New Roman" w:eastAsia="宋体" w:cs="Times New Roman"/>
                              <w:sz w:val="18"/>
                              <w:szCs w:val="18"/>
                            </w:rPr>
                            <w:instrText xml:space="preserve"> PAGE  \* MERGEFORMAT </w:instrText>
                          </w:r>
                          <w:r>
                            <w:rPr>
                              <w:rFonts w:hint="default" w:ascii="Times New Roman" w:hAnsi="Times New Roman" w:eastAsia="宋体" w:cs="Times New Roman"/>
                              <w:sz w:val="18"/>
                              <w:szCs w:val="18"/>
                            </w:rPr>
                            <w:fldChar w:fldCharType="separate"/>
                          </w:r>
                          <w:r>
                            <w:rPr>
                              <w:rFonts w:ascii="Times New Roman" w:hAnsi="Times New Roman" w:eastAsia="宋体" w:cs="Times New Roman"/>
                              <w:sz w:val="18"/>
                              <w:szCs w:val="18"/>
                            </w:rPr>
                            <w:t>- 3 -</w:t>
                          </w:r>
                          <w:r>
                            <w:rPr>
                              <w:rFonts w:hint="default" w:ascii="Times New Roman" w:hAnsi="Times New Roman" w:eastAsia="宋体" w:cs="Times New Roman"/>
                              <w:sz w:val="18"/>
                              <w:szCs w:val="18"/>
                            </w:rPr>
                            <w:fldChar w:fldCharType="end"/>
                          </w:r>
                        </w:p>
                      </w:txbxContent>
                    </wps:txbx>
                    <wps:bodyPr wrap="none" lIns="0" tIns="0" rIns="0" bIns="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PV95NKnAQAAPwMAAA4AAAAA&#10;AAAAAQAgAAAAHgEAAGRycy9lMm9Eb2MueG1sUEsFBgAAAAAGAAYAWQEAADcFAAAAAA==&#10;">
              <v:fill on="f" focussize="0,0"/>
              <v:stroke on="f"/>
              <v:imagedata o:title=""/>
              <o:lock v:ext="edit" aspectratio="f"/>
              <v:textbox inset="0mm,0mm,0mm,0mm" style="mso-fit-shape-to-text:t;">
                <w:txbxContent>
                  <w:p>
                    <w:pPr>
                      <w:snapToGrid w:val="0"/>
                      <w:ind w:firstLine="0" w:firstLineChars="0"/>
                      <w:rPr>
                        <w:rFonts w:ascii="Times New Roman" w:hAnsi="Times New Roman" w:eastAsia="宋体" w:cs="Times New Roman"/>
                        <w:sz w:val="18"/>
                        <w:szCs w:val="18"/>
                      </w:rPr>
                    </w:pPr>
                    <w:r>
                      <w:rPr>
                        <w:rFonts w:hint="default" w:ascii="Times New Roman" w:hAnsi="Times New Roman" w:eastAsia="宋体" w:cs="Times New Roman"/>
                        <w:sz w:val="18"/>
                        <w:szCs w:val="18"/>
                      </w:rPr>
                      <w:fldChar w:fldCharType="begin"/>
                    </w:r>
                    <w:r>
                      <w:rPr>
                        <w:rFonts w:hint="default" w:ascii="Times New Roman" w:hAnsi="Times New Roman" w:eastAsia="宋体" w:cs="Times New Roman"/>
                        <w:sz w:val="18"/>
                        <w:szCs w:val="18"/>
                      </w:rPr>
                      <w:instrText xml:space="preserve"> PAGE  \* MERGEFORMAT </w:instrText>
                    </w:r>
                    <w:r>
                      <w:rPr>
                        <w:rFonts w:hint="default" w:ascii="Times New Roman" w:hAnsi="Times New Roman" w:eastAsia="宋体" w:cs="Times New Roman"/>
                        <w:sz w:val="18"/>
                        <w:szCs w:val="18"/>
                      </w:rPr>
                      <w:fldChar w:fldCharType="separate"/>
                    </w:r>
                    <w:r>
                      <w:rPr>
                        <w:rFonts w:ascii="Times New Roman" w:hAnsi="Times New Roman" w:eastAsia="宋体" w:cs="Times New Roman"/>
                        <w:sz w:val="18"/>
                        <w:szCs w:val="18"/>
                      </w:rPr>
                      <w:t>- 3 -</w:t>
                    </w:r>
                    <w:r>
                      <w:rPr>
                        <w:rFonts w:hint="default" w:ascii="Times New Roman" w:hAnsi="Times New Roman" w:eastAsia="宋体" w:cs="Times New Roman"/>
                        <w:sz w:val="18"/>
                        <w:szCs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0D58F0"/>
    <w:multiLevelType w:val="singleLevel"/>
    <w:tmpl w:val="CA0D58F0"/>
    <w:lvl w:ilvl="0" w:tentative="0">
      <w:start w:val="1"/>
      <w:numFmt w:val="chineseCounting"/>
      <w:pStyle w:val="2"/>
      <w:suff w:val="nothing"/>
      <w:lvlText w:val="%1、"/>
      <w:lvlJc w:val="left"/>
      <w:pPr>
        <w:ind w:left="0" w:firstLine="420"/>
      </w:pPr>
      <w:rPr>
        <w:rFonts w:hint="eastAsia"/>
      </w:rPr>
    </w:lvl>
  </w:abstractNum>
  <w:abstractNum w:abstractNumId="1">
    <w:nsid w:val="E3B45D96"/>
    <w:multiLevelType w:val="multilevel"/>
    <w:tmpl w:val="E3B45D96"/>
    <w:lvl w:ilvl="0" w:tentative="0">
      <w:start w:val="1"/>
      <w:numFmt w:val="chineseCounting"/>
      <w:suff w:val="nothing"/>
      <w:lvlText w:val="（%1）"/>
      <w:lvlJc w:val="left"/>
      <w:pPr>
        <w:ind w:left="0" w:firstLine="420"/>
      </w:pPr>
      <w:rPr>
        <w:rFonts w:hint="eastAsia"/>
      </w:rPr>
    </w:lvl>
    <w:lvl w:ilvl="1" w:tentative="0">
      <w:start w:val="1"/>
      <w:numFmt w:val="decimal"/>
      <w:pStyle w:val="3"/>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2">
    <w:nsid w:val="00000008"/>
    <w:multiLevelType w:val="multilevel"/>
    <w:tmpl w:val="00000008"/>
    <w:lvl w:ilvl="0" w:tentative="0">
      <w:start w:val="1"/>
      <w:numFmt w:val="none"/>
      <w:pStyle w:val="54"/>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A"/>
    <w:multiLevelType w:val="multilevel"/>
    <w:tmpl w:val="0000000A"/>
    <w:lvl w:ilvl="0" w:tentative="0">
      <w:start w:val="1"/>
      <w:numFmt w:val="chineseCountingThousand"/>
      <w:lvlText w:val="%1、"/>
      <w:lvlJc w:val="left"/>
      <w:pPr>
        <w:tabs>
          <w:tab w:val="left" w:pos="420"/>
        </w:tabs>
        <w:ind w:left="420" w:hanging="420"/>
      </w:pPr>
      <w:rPr>
        <w:rFonts w:hint="eastAsia" w:ascii="黑体" w:eastAsia="黑体"/>
        <w:b w:val="0"/>
        <w:sz w:val="30"/>
        <w:szCs w:val="30"/>
        <w:lang w:val="en-US"/>
      </w:rPr>
    </w:lvl>
    <w:lvl w:ilvl="1" w:tentative="0">
      <w:start w:val="1"/>
      <w:numFmt w:val="decimal"/>
      <w:lvlText w:val="%1.%2"/>
      <w:lvlJc w:val="left"/>
      <w:pPr>
        <w:tabs>
          <w:tab w:val="left" w:pos="576"/>
        </w:tabs>
        <w:ind w:left="576" w:hanging="576"/>
      </w:pPr>
      <w:rPr>
        <w:rFonts w:hint="default" w:ascii="Arial" w:hAnsi="Arial" w:eastAsia="宋体" w:cs="Arial"/>
      </w:rPr>
    </w:lvl>
    <w:lvl w:ilvl="2" w:tentative="0">
      <w:start w:val="1"/>
      <w:numFmt w:val="decimal"/>
      <w:pStyle w:val="46"/>
      <w:lvlText w:val="%1.%2.%3"/>
      <w:lvlJc w:val="left"/>
      <w:pPr>
        <w:tabs>
          <w:tab w:val="left" w:pos="720"/>
        </w:tabs>
        <w:ind w:left="720" w:hanging="720"/>
      </w:pPr>
      <w:rPr>
        <w:rFonts w:ascii="宋体" w:hAnsi="宋体" w:eastAsia="宋体"/>
        <w:b/>
        <w:sz w:val="24"/>
        <w:szCs w:val="24"/>
      </w:rPr>
    </w:lvl>
    <w:lvl w:ilvl="3" w:tentative="0">
      <w:start w:val="1"/>
      <w:numFmt w:val="decimal"/>
      <w:pStyle w:val="5"/>
      <w:lvlText w:val="%1.%2.%3.%4"/>
      <w:lvlJc w:val="left"/>
      <w:pPr>
        <w:tabs>
          <w:tab w:val="left" w:pos="864"/>
        </w:tabs>
        <w:ind w:left="864" w:hanging="864"/>
      </w:pPr>
      <w:rPr>
        <w:rFonts w:hint="eastAsia" w:ascii="宋体" w:hAnsi="宋体" w:eastAsia="宋体"/>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200"/>
  <w:drawingGridVerticalSpacing w:val="159"/>
  <w:noPunctuationKerning w:val="1"/>
  <w:characterSpacingControl w:val="compressPunctuation"/>
  <w:doNotValidateAgainstSchema/>
  <w:doNotDemarcateInvalidXml/>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882"/>
    <w:rsid w:val="000156E0"/>
    <w:rsid w:val="00017872"/>
    <w:rsid w:val="00023C4E"/>
    <w:rsid w:val="00025743"/>
    <w:rsid w:val="000345FA"/>
    <w:rsid w:val="0006226B"/>
    <w:rsid w:val="000632B1"/>
    <w:rsid w:val="00072CAD"/>
    <w:rsid w:val="00076A39"/>
    <w:rsid w:val="00093159"/>
    <w:rsid w:val="000C2704"/>
    <w:rsid w:val="000C6A5D"/>
    <w:rsid w:val="000D0B66"/>
    <w:rsid w:val="000F0891"/>
    <w:rsid w:val="00114476"/>
    <w:rsid w:val="00155FA5"/>
    <w:rsid w:val="00172A27"/>
    <w:rsid w:val="00174C10"/>
    <w:rsid w:val="00182F90"/>
    <w:rsid w:val="001973E8"/>
    <w:rsid w:val="001A1D45"/>
    <w:rsid w:val="001A208C"/>
    <w:rsid w:val="001B2CA0"/>
    <w:rsid w:val="001B6905"/>
    <w:rsid w:val="001E1945"/>
    <w:rsid w:val="001F0EFF"/>
    <w:rsid w:val="00214EEA"/>
    <w:rsid w:val="00216FF4"/>
    <w:rsid w:val="002468C8"/>
    <w:rsid w:val="0026015F"/>
    <w:rsid w:val="00262BD5"/>
    <w:rsid w:val="00266D4A"/>
    <w:rsid w:val="00275FFD"/>
    <w:rsid w:val="00276901"/>
    <w:rsid w:val="00293199"/>
    <w:rsid w:val="002A02DF"/>
    <w:rsid w:val="002A32F5"/>
    <w:rsid w:val="002C2938"/>
    <w:rsid w:val="002C2BBC"/>
    <w:rsid w:val="002C7BD6"/>
    <w:rsid w:val="002D2F0A"/>
    <w:rsid w:val="002D32E9"/>
    <w:rsid w:val="002D43D4"/>
    <w:rsid w:val="002D49E3"/>
    <w:rsid w:val="002D7715"/>
    <w:rsid w:val="002E28A0"/>
    <w:rsid w:val="00316DD6"/>
    <w:rsid w:val="003334EE"/>
    <w:rsid w:val="00352D95"/>
    <w:rsid w:val="0035493C"/>
    <w:rsid w:val="00356D49"/>
    <w:rsid w:val="0037153F"/>
    <w:rsid w:val="0037741C"/>
    <w:rsid w:val="00385ACC"/>
    <w:rsid w:val="003B0201"/>
    <w:rsid w:val="003B77A4"/>
    <w:rsid w:val="003B79F6"/>
    <w:rsid w:val="003C4D6D"/>
    <w:rsid w:val="003D57E4"/>
    <w:rsid w:val="003E1D7C"/>
    <w:rsid w:val="003F6EF9"/>
    <w:rsid w:val="00431E3E"/>
    <w:rsid w:val="00464DE9"/>
    <w:rsid w:val="00465CDA"/>
    <w:rsid w:val="004875B7"/>
    <w:rsid w:val="004876EE"/>
    <w:rsid w:val="004D0329"/>
    <w:rsid w:val="004D35B8"/>
    <w:rsid w:val="004D4B92"/>
    <w:rsid w:val="004D5768"/>
    <w:rsid w:val="004E1AFA"/>
    <w:rsid w:val="00501331"/>
    <w:rsid w:val="00502E67"/>
    <w:rsid w:val="005045F3"/>
    <w:rsid w:val="00505092"/>
    <w:rsid w:val="00506B37"/>
    <w:rsid w:val="00506FF5"/>
    <w:rsid w:val="005139A4"/>
    <w:rsid w:val="00524BD3"/>
    <w:rsid w:val="00534596"/>
    <w:rsid w:val="00552359"/>
    <w:rsid w:val="00563060"/>
    <w:rsid w:val="005722F0"/>
    <w:rsid w:val="005734E1"/>
    <w:rsid w:val="005847FC"/>
    <w:rsid w:val="00584C02"/>
    <w:rsid w:val="005A0951"/>
    <w:rsid w:val="005A2AFF"/>
    <w:rsid w:val="005B27EE"/>
    <w:rsid w:val="005C3438"/>
    <w:rsid w:val="005E0FDE"/>
    <w:rsid w:val="005E4F63"/>
    <w:rsid w:val="005F02E2"/>
    <w:rsid w:val="005F0EDC"/>
    <w:rsid w:val="005F2F5F"/>
    <w:rsid w:val="005F3FC1"/>
    <w:rsid w:val="006041F8"/>
    <w:rsid w:val="0060452B"/>
    <w:rsid w:val="0061057F"/>
    <w:rsid w:val="006108E0"/>
    <w:rsid w:val="006170F1"/>
    <w:rsid w:val="00634AFE"/>
    <w:rsid w:val="006353D0"/>
    <w:rsid w:val="00637D9F"/>
    <w:rsid w:val="00670CEB"/>
    <w:rsid w:val="00693887"/>
    <w:rsid w:val="00693AAF"/>
    <w:rsid w:val="006A0248"/>
    <w:rsid w:val="006A11AE"/>
    <w:rsid w:val="006C3AB9"/>
    <w:rsid w:val="006D25D3"/>
    <w:rsid w:val="006E1297"/>
    <w:rsid w:val="006F3BEC"/>
    <w:rsid w:val="006F7608"/>
    <w:rsid w:val="006F7C16"/>
    <w:rsid w:val="00700752"/>
    <w:rsid w:val="00711026"/>
    <w:rsid w:val="007134A7"/>
    <w:rsid w:val="00714BE4"/>
    <w:rsid w:val="00717982"/>
    <w:rsid w:val="00721442"/>
    <w:rsid w:val="00722F8B"/>
    <w:rsid w:val="00723831"/>
    <w:rsid w:val="00731DFF"/>
    <w:rsid w:val="007322AB"/>
    <w:rsid w:val="007367F8"/>
    <w:rsid w:val="00760C78"/>
    <w:rsid w:val="0076486F"/>
    <w:rsid w:val="007667A7"/>
    <w:rsid w:val="00773C79"/>
    <w:rsid w:val="00775753"/>
    <w:rsid w:val="007A2A11"/>
    <w:rsid w:val="007A6CCE"/>
    <w:rsid w:val="007B1CA8"/>
    <w:rsid w:val="007B67DC"/>
    <w:rsid w:val="007D56B1"/>
    <w:rsid w:val="007D76C3"/>
    <w:rsid w:val="007E040D"/>
    <w:rsid w:val="007E216A"/>
    <w:rsid w:val="007E4F54"/>
    <w:rsid w:val="007F6118"/>
    <w:rsid w:val="0080074E"/>
    <w:rsid w:val="00815C12"/>
    <w:rsid w:val="0082068C"/>
    <w:rsid w:val="00833ABC"/>
    <w:rsid w:val="008414F8"/>
    <w:rsid w:val="008675C9"/>
    <w:rsid w:val="00873B49"/>
    <w:rsid w:val="00884E58"/>
    <w:rsid w:val="00884E63"/>
    <w:rsid w:val="008973C6"/>
    <w:rsid w:val="008A2D51"/>
    <w:rsid w:val="008B0B5E"/>
    <w:rsid w:val="008B356C"/>
    <w:rsid w:val="008B5589"/>
    <w:rsid w:val="008D7C6A"/>
    <w:rsid w:val="008F0DF1"/>
    <w:rsid w:val="008F2895"/>
    <w:rsid w:val="008F6399"/>
    <w:rsid w:val="009018A3"/>
    <w:rsid w:val="00910891"/>
    <w:rsid w:val="00915FD9"/>
    <w:rsid w:val="0092651B"/>
    <w:rsid w:val="0096627D"/>
    <w:rsid w:val="00967A78"/>
    <w:rsid w:val="00967CD0"/>
    <w:rsid w:val="00970DE2"/>
    <w:rsid w:val="009856F8"/>
    <w:rsid w:val="00986084"/>
    <w:rsid w:val="00995A37"/>
    <w:rsid w:val="009A47B8"/>
    <w:rsid w:val="009C1296"/>
    <w:rsid w:val="009C221A"/>
    <w:rsid w:val="009F306D"/>
    <w:rsid w:val="009F594E"/>
    <w:rsid w:val="009F5D17"/>
    <w:rsid w:val="00A065CA"/>
    <w:rsid w:val="00A072EA"/>
    <w:rsid w:val="00A1310D"/>
    <w:rsid w:val="00A14D1C"/>
    <w:rsid w:val="00A23505"/>
    <w:rsid w:val="00A31CF0"/>
    <w:rsid w:val="00A35CF0"/>
    <w:rsid w:val="00A56198"/>
    <w:rsid w:val="00A568E3"/>
    <w:rsid w:val="00A62B76"/>
    <w:rsid w:val="00A62FC3"/>
    <w:rsid w:val="00A70D91"/>
    <w:rsid w:val="00A71F23"/>
    <w:rsid w:val="00A93210"/>
    <w:rsid w:val="00AA02E7"/>
    <w:rsid w:val="00AA3840"/>
    <w:rsid w:val="00AB5857"/>
    <w:rsid w:val="00AB64D0"/>
    <w:rsid w:val="00AD602D"/>
    <w:rsid w:val="00AE620F"/>
    <w:rsid w:val="00AF1068"/>
    <w:rsid w:val="00AF35C5"/>
    <w:rsid w:val="00B01D84"/>
    <w:rsid w:val="00B31B13"/>
    <w:rsid w:val="00B5181B"/>
    <w:rsid w:val="00B57446"/>
    <w:rsid w:val="00B601C3"/>
    <w:rsid w:val="00B61253"/>
    <w:rsid w:val="00B75C9B"/>
    <w:rsid w:val="00B80F35"/>
    <w:rsid w:val="00B92212"/>
    <w:rsid w:val="00BB0E0E"/>
    <w:rsid w:val="00BB7679"/>
    <w:rsid w:val="00BC32C2"/>
    <w:rsid w:val="00BD049A"/>
    <w:rsid w:val="00BD11E8"/>
    <w:rsid w:val="00BE0456"/>
    <w:rsid w:val="00BF7846"/>
    <w:rsid w:val="00C01B8C"/>
    <w:rsid w:val="00C170E5"/>
    <w:rsid w:val="00C50B5B"/>
    <w:rsid w:val="00C54794"/>
    <w:rsid w:val="00C66F0E"/>
    <w:rsid w:val="00C70C98"/>
    <w:rsid w:val="00C9003C"/>
    <w:rsid w:val="00CA017A"/>
    <w:rsid w:val="00CA27B0"/>
    <w:rsid w:val="00CC7E62"/>
    <w:rsid w:val="00CD3191"/>
    <w:rsid w:val="00CE2340"/>
    <w:rsid w:val="00CE2EC5"/>
    <w:rsid w:val="00CE4634"/>
    <w:rsid w:val="00CE7751"/>
    <w:rsid w:val="00D114B6"/>
    <w:rsid w:val="00D131BE"/>
    <w:rsid w:val="00D159AF"/>
    <w:rsid w:val="00D17C35"/>
    <w:rsid w:val="00D26961"/>
    <w:rsid w:val="00D70A8F"/>
    <w:rsid w:val="00D85A8C"/>
    <w:rsid w:val="00D90A4A"/>
    <w:rsid w:val="00D9454D"/>
    <w:rsid w:val="00DA3E56"/>
    <w:rsid w:val="00DA5339"/>
    <w:rsid w:val="00DB78CD"/>
    <w:rsid w:val="00DC7470"/>
    <w:rsid w:val="00DD2FB3"/>
    <w:rsid w:val="00DD607A"/>
    <w:rsid w:val="00DF585F"/>
    <w:rsid w:val="00DF5C31"/>
    <w:rsid w:val="00DF7048"/>
    <w:rsid w:val="00DF7E61"/>
    <w:rsid w:val="00E04E92"/>
    <w:rsid w:val="00E10880"/>
    <w:rsid w:val="00E12521"/>
    <w:rsid w:val="00E17C77"/>
    <w:rsid w:val="00E219E8"/>
    <w:rsid w:val="00E240C9"/>
    <w:rsid w:val="00E2560E"/>
    <w:rsid w:val="00E26E8F"/>
    <w:rsid w:val="00E614E7"/>
    <w:rsid w:val="00E62544"/>
    <w:rsid w:val="00E741E2"/>
    <w:rsid w:val="00E742FF"/>
    <w:rsid w:val="00E77089"/>
    <w:rsid w:val="00E869B8"/>
    <w:rsid w:val="00EA1E63"/>
    <w:rsid w:val="00EA3743"/>
    <w:rsid w:val="00EB3B85"/>
    <w:rsid w:val="00ED774B"/>
    <w:rsid w:val="00ED7D35"/>
    <w:rsid w:val="00EE1B23"/>
    <w:rsid w:val="00F00086"/>
    <w:rsid w:val="00F00984"/>
    <w:rsid w:val="00F06014"/>
    <w:rsid w:val="00F24D25"/>
    <w:rsid w:val="00F378CE"/>
    <w:rsid w:val="00F37A67"/>
    <w:rsid w:val="00F80065"/>
    <w:rsid w:val="00FA2A94"/>
    <w:rsid w:val="00FA6D4A"/>
    <w:rsid w:val="00FB2DDD"/>
    <w:rsid w:val="00FB5B9A"/>
    <w:rsid w:val="00FD2137"/>
    <w:rsid w:val="00FD3F61"/>
    <w:rsid w:val="00FD597D"/>
    <w:rsid w:val="00FD665E"/>
    <w:rsid w:val="00FE6FC5"/>
    <w:rsid w:val="00FF3178"/>
    <w:rsid w:val="00FF411B"/>
    <w:rsid w:val="00FF684B"/>
    <w:rsid w:val="012164A0"/>
    <w:rsid w:val="012B41E4"/>
    <w:rsid w:val="015317B6"/>
    <w:rsid w:val="01553A36"/>
    <w:rsid w:val="01570494"/>
    <w:rsid w:val="01605EE2"/>
    <w:rsid w:val="01CE67F4"/>
    <w:rsid w:val="01F23F2A"/>
    <w:rsid w:val="02261622"/>
    <w:rsid w:val="028202F0"/>
    <w:rsid w:val="02CF4BDA"/>
    <w:rsid w:val="02D17124"/>
    <w:rsid w:val="033D2A56"/>
    <w:rsid w:val="03413BE1"/>
    <w:rsid w:val="035B717A"/>
    <w:rsid w:val="03994DA7"/>
    <w:rsid w:val="03D22E33"/>
    <w:rsid w:val="03D625E6"/>
    <w:rsid w:val="040D2AA0"/>
    <w:rsid w:val="04185982"/>
    <w:rsid w:val="04312E68"/>
    <w:rsid w:val="043178A8"/>
    <w:rsid w:val="043C6642"/>
    <w:rsid w:val="04450098"/>
    <w:rsid w:val="04821C4C"/>
    <w:rsid w:val="04A52D5E"/>
    <w:rsid w:val="04B9384D"/>
    <w:rsid w:val="04FB688D"/>
    <w:rsid w:val="053036E5"/>
    <w:rsid w:val="05321746"/>
    <w:rsid w:val="054E6430"/>
    <w:rsid w:val="05625C26"/>
    <w:rsid w:val="057B238D"/>
    <w:rsid w:val="0581773E"/>
    <w:rsid w:val="05922A16"/>
    <w:rsid w:val="05D90A0C"/>
    <w:rsid w:val="060671F9"/>
    <w:rsid w:val="062B0569"/>
    <w:rsid w:val="064A5EDE"/>
    <w:rsid w:val="0654681C"/>
    <w:rsid w:val="069C4950"/>
    <w:rsid w:val="06E22BD9"/>
    <w:rsid w:val="07813BEA"/>
    <w:rsid w:val="078B6A63"/>
    <w:rsid w:val="079B1188"/>
    <w:rsid w:val="07AF6AAA"/>
    <w:rsid w:val="07E861D3"/>
    <w:rsid w:val="0803017B"/>
    <w:rsid w:val="08083955"/>
    <w:rsid w:val="08306D2F"/>
    <w:rsid w:val="08BF1355"/>
    <w:rsid w:val="08C11C57"/>
    <w:rsid w:val="08EB3893"/>
    <w:rsid w:val="094C3718"/>
    <w:rsid w:val="096164AA"/>
    <w:rsid w:val="097A7AD1"/>
    <w:rsid w:val="099A78CF"/>
    <w:rsid w:val="09A3701B"/>
    <w:rsid w:val="09D1046B"/>
    <w:rsid w:val="09E119A2"/>
    <w:rsid w:val="0A5A37E1"/>
    <w:rsid w:val="0A657D9F"/>
    <w:rsid w:val="0A717402"/>
    <w:rsid w:val="0A73289C"/>
    <w:rsid w:val="0A892E08"/>
    <w:rsid w:val="0AB31B64"/>
    <w:rsid w:val="0AE8367C"/>
    <w:rsid w:val="0B244052"/>
    <w:rsid w:val="0B6F2693"/>
    <w:rsid w:val="0BB87D63"/>
    <w:rsid w:val="0BD23D81"/>
    <w:rsid w:val="0BDB2A1C"/>
    <w:rsid w:val="0BEA628D"/>
    <w:rsid w:val="0BF145E8"/>
    <w:rsid w:val="0C6032AE"/>
    <w:rsid w:val="0C8E29D6"/>
    <w:rsid w:val="0C8F7A87"/>
    <w:rsid w:val="0C995D7A"/>
    <w:rsid w:val="0CAB4205"/>
    <w:rsid w:val="0CBA3529"/>
    <w:rsid w:val="0CC55409"/>
    <w:rsid w:val="0CE13029"/>
    <w:rsid w:val="0CF4170E"/>
    <w:rsid w:val="0D07099E"/>
    <w:rsid w:val="0D70169F"/>
    <w:rsid w:val="0D8E1424"/>
    <w:rsid w:val="0D924734"/>
    <w:rsid w:val="0DD81515"/>
    <w:rsid w:val="0DD9633B"/>
    <w:rsid w:val="0DFC7D61"/>
    <w:rsid w:val="0E057DF8"/>
    <w:rsid w:val="0E06571C"/>
    <w:rsid w:val="0E341388"/>
    <w:rsid w:val="0E3766AE"/>
    <w:rsid w:val="0E3C3F88"/>
    <w:rsid w:val="0E582A9F"/>
    <w:rsid w:val="0E7425F0"/>
    <w:rsid w:val="0E8233EC"/>
    <w:rsid w:val="0E8954B3"/>
    <w:rsid w:val="0ED062C0"/>
    <w:rsid w:val="0F0B4808"/>
    <w:rsid w:val="0F183748"/>
    <w:rsid w:val="0F4278A1"/>
    <w:rsid w:val="0F5830A6"/>
    <w:rsid w:val="0F7C6B24"/>
    <w:rsid w:val="0FD60930"/>
    <w:rsid w:val="10083E9B"/>
    <w:rsid w:val="10804A13"/>
    <w:rsid w:val="109D16D1"/>
    <w:rsid w:val="10B90B5B"/>
    <w:rsid w:val="10BB2A42"/>
    <w:rsid w:val="10CB5AD1"/>
    <w:rsid w:val="10DF1D3E"/>
    <w:rsid w:val="10E703CB"/>
    <w:rsid w:val="110B16A3"/>
    <w:rsid w:val="11390855"/>
    <w:rsid w:val="115B4F82"/>
    <w:rsid w:val="11913095"/>
    <w:rsid w:val="11957B9C"/>
    <w:rsid w:val="11963BD2"/>
    <w:rsid w:val="11A11AE5"/>
    <w:rsid w:val="11D968CE"/>
    <w:rsid w:val="11DC644A"/>
    <w:rsid w:val="1208533D"/>
    <w:rsid w:val="120D6068"/>
    <w:rsid w:val="12241DA6"/>
    <w:rsid w:val="12423CE6"/>
    <w:rsid w:val="12C33C44"/>
    <w:rsid w:val="12C7219B"/>
    <w:rsid w:val="131319CD"/>
    <w:rsid w:val="1356441F"/>
    <w:rsid w:val="13873278"/>
    <w:rsid w:val="138D28D6"/>
    <w:rsid w:val="139A32B7"/>
    <w:rsid w:val="13C505FF"/>
    <w:rsid w:val="13EE2F46"/>
    <w:rsid w:val="143B531E"/>
    <w:rsid w:val="14492156"/>
    <w:rsid w:val="146C1347"/>
    <w:rsid w:val="14793F95"/>
    <w:rsid w:val="149104E8"/>
    <w:rsid w:val="14D54D74"/>
    <w:rsid w:val="1506011C"/>
    <w:rsid w:val="15683B42"/>
    <w:rsid w:val="157842C9"/>
    <w:rsid w:val="15807649"/>
    <w:rsid w:val="158E25ED"/>
    <w:rsid w:val="15947676"/>
    <w:rsid w:val="15A72795"/>
    <w:rsid w:val="15D456A0"/>
    <w:rsid w:val="15F87200"/>
    <w:rsid w:val="15FE2248"/>
    <w:rsid w:val="16182E0A"/>
    <w:rsid w:val="165677D9"/>
    <w:rsid w:val="167B388D"/>
    <w:rsid w:val="169E4C79"/>
    <w:rsid w:val="16D9398F"/>
    <w:rsid w:val="170422D1"/>
    <w:rsid w:val="1708634D"/>
    <w:rsid w:val="172E1B5E"/>
    <w:rsid w:val="17371389"/>
    <w:rsid w:val="17546ADB"/>
    <w:rsid w:val="175D0414"/>
    <w:rsid w:val="17703AFD"/>
    <w:rsid w:val="179C5FBA"/>
    <w:rsid w:val="17C526BC"/>
    <w:rsid w:val="17F8798B"/>
    <w:rsid w:val="1808235E"/>
    <w:rsid w:val="181A26E7"/>
    <w:rsid w:val="18246B6B"/>
    <w:rsid w:val="18271D02"/>
    <w:rsid w:val="184A5790"/>
    <w:rsid w:val="184C2CC6"/>
    <w:rsid w:val="1889101E"/>
    <w:rsid w:val="188C0BE3"/>
    <w:rsid w:val="18976E60"/>
    <w:rsid w:val="18BA187B"/>
    <w:rsid w:val="18BE0F2E"/>
    <w:rsid w:val="19343EF6"/>
    <w:rsid w:val="194E0330"/>
    <w:rsid w:val="194F4C6F"/>
    <w:rsid w:val="195908C4"/>
    <w:rsid w:val="197054A5"/>
    <w:rsid w:val="198620CE"/>
    <w:rsid w:val="19A65F68"/>
    <w:rsid w:val="19D83E14"/>
    <w:rsid w:val="1A701A15"/>
    <w:rsid w:val="1AA537A2"/>
    <w:rsid w:val="1AAC1EB2"/>
    <w:rsid w:val="1AE24529"/>
    <w:rsid w:val="1B1D3D2D"/>
    <w:rsid w:val="1B604DF7"/>
    <w:rsid w:val="1B661710"/>
    <w:rsid w:val="1B9E64F2"/>
    <w:rsid w:val="1C1F0542"/>
    <w:rsid w:val="1C2D3E4A"/>
    <w:rsid w:val="1C426950"/>
    <w:rsid w:val="1C4765A8"/>
    <w:rsid w:val="1C546029"/>
    <w:rsid w:val="1C6901B1"/>
    <w:rsid w:val="1CAD60DF"/>
    <w:rsid w:val="1CC45DEB"/>
    <w:rsid w:val="1D337359"/>
    <w:rsid w:val="1D380D02"/>
    <w:rsid w:val="1D4467AC"/>
    <w:rsid w:val="1D497547"/>
    <w:rsid w:val="1DCB19EE"/>
    <w:rsid w:val="1DD5706C"/>
    <w:rsid w:val="1DE31F6B"/>
    <w:rsid w:val="1DF33385"/>
    <w:rsid w:val="1E223A8B"/>
    <w:rsid w:val="1E2D620F"/>
    <w:rsid w:val="1E410E9D"/>
    <w:rsid w:val="1E68311E"/>
    <w:rsid w:val="1E6D4690"/>
    <w:rsid w:val="1ECC60AF"/>
    <w:rsid w:val="1ED63B46"/>
    <w:rsid w:val="1EE76CC2"/>
    <w:rsid w:val="1F5C043F"/>
    <w:rsid w:val="1F7C6F45"/>
    <w:rsid w:val="1F87632D"/>
    <w:rsid w:val="1FA02C62"/>
    <w:rsid w:val="1FC22FC0"/>
    <w:rsid w:val="1FD95B8D"/>
    <w:rsid w:val="1FDE651D"/>
    <w:rsid w:val="1FFB0277"/>
    <w:rsid w:val="20005D1A"/>
    <w:rsid w:val="202872CE"/>
    <w:rsid w:val="20382911"/>
    <w:rsid w:val="20383C4C"/>
    <w:rsid w:val="203C4806"/>
    <w:rsid w:val="2056239C"/>
    <w:rsid w:val="207E643B"/>
    <w:rsid w:val="208E5198"/>
    <w:rsid w:val="20AF5EEA"/>
    <w:rsid w:val="20B32D1B"/>
    <w:rsid w:val="20B946E0"/>
    <w:rsid w:val="20D41B2E"/>
    <w:rsid w:val="20F07092"/>
    <w:rsid w:val="211227F5"/>
    <w:rsid w:val="2122049F"/>
    <w:rsid w:val="2145226F"/>
    <w:rsid w:val="21766768"/>
    <w:rsid w:val="218602AF"/>
    <w:rsid w:val="21DF046D"/>
    <w:rsid w:val="21F8071D"/>
    <w:rsid w:val="22156E7A"/>
    <w:rsid w:val="226674C2"/>
    <w:rsid w:val="22762EC1"/>
    <w:rsid w:val="22B508AF"/>
    <w:rsid w:val="22FE3C0B"/>
    <w:rsid w:val="232775E6"/>
    <w:rsid w:val="238156BB"/>
    <w:rsid w:val="238258EA"/>
    <w:rsid w:val="23B96968"/>
    <w:rsid w:val="23C54C80"/>
    <w:rsid w:val="24001E9D"/>
    <w:rsid w:val="241F76FC"/>
    <w:rsid w:val="245615A0"/>
    <w:rsid w:val="24914773"/>
    <w:rsid w:val="24AE59B9"/>
    <w:rsid w:val="24E62C82"/>
    <w:rsid w:val="24FB61C4"/>
    <w:rsid w:val="254D53C2"/>
    <w:rsid w:val="255054BA"/>
    <w:rsid w:val="257F6278"/>
    <w:rsid w:val="25A869D6"/>
    <w:rsid w:val="25BF5D9E"/>
    <w:rsid w:val="26742D34"/>
    <w:rsid w:val="26981B61"/>
    <w:rsid w:val="26A37EF2"/>
    <w:rsid w:val="27127660"/>
    <w:rsid w:val="272A0371"/>
    <w:rsid w:val="274E20C2"/>
    <w:rsid w:val="2772537F"/>
    <w:rsid w:val="277A46D2"/>
    <w:rsid w:val="2788129E"/>
    <w:rsid w:val="27BE1344"/>
    <w:rsid w:val="27E704A8"/>
    <w:rsid w:val="283B4790"/>
    <w:rsid w:val="284550A0"/>
    <w:rsid w:val="2859091A"/>
    <w:rsid w:val="287176A3"/>
    <w:rsid w:val="2884331E"/>
    <w:rsid w:val="28A453F4"/>
    <w:rsid w:val="28BB411C"/>
    <w:rsid w:val="28E15A83"/>
    <w:rsid w:val="28E95FEC"/>
    <w:rsid w:val="28FE6705"/>
    <w:rsid w:val="29652300"/>
    <w:rsid w:val="29957A6A"/>
    <w:rsid w:val="299856B9"/>
    <w:rsid w:val="29D32128"/>
    <w:rsid w:val="29E5509C"/>
    <w:rsid w:val="2A6D7F28"/>
    <w:rsid w:val="2ABD26F5"/>
    <w:rsid w:val="2ACC5E2B"/>
    <w:rsid w:val="2AE758BA"/>
    <w:rsid w:val="2B2B5DBF"/>
    <w:rsid w:val="2B3A0B91"/>
    <w:rsid w:val="2B4D1C5C"/>
    <w:rsid w:val="2B5F3FFC"/>
    <w:rsid w:val="2B6966B6"/>
    <w:rsid w:val="2B785F4D"/>
    <w:rsid w:val="2BDB42F2"/>
    <w:rsid w:val="2BDF4485"/>
    <w:rsid w:val="2BE1122A"/>
    <w:rsid w:val="2BE5684F"/>
    <w:rsid w:val="2BFE3367"/>
    <w:rsid w:val="2C084E07"/>
    <w:rsid w:val="2C3A44DA"/>
    <w:rsid w:val="2C4B5DDF"/>
    <w:rsid w:val="2C557F84"/>
    <w:rsid w:val="2C6538E6"/>
    <w:rsid w:val="2D081B41"/>
    <w:rsid w:val="2D324DFC"/>
    <w:rsid w:val="2D376F96"/>
    <w:rsid w:val="2D4016A6"/>
    <w:rsid w:val="2D416E01"/>
    <w:rsid w:val="2D9D3F9F"/>
    <w:rsid w:val="2DB12BFF"/>
    <w:rsid w:val="2DD85915"/>
    <w:rsid w:val="2DF00767"/>
    <w:rsid w:val="2E450E84"/>
    <w:rsid w:val="2E591542"/>
    <w:rsid w:val="2E6F2476"/>
    <w:rsid w:val="2E897D86"/>
    <w:rsid w:val="2EA14652"/>
    <w:rsid w:val="2EA85F1B"/>
    <w:rsid w:val="2EEC6788"/>
    <w:rsid w:val="2F122F12"/>
    <w:rsid w:val="2F1A0789"/>
    <w:rsid w:val="2F460F56"/>
    <w:rsid w:val="2F4A11E0"/>
    <w:rsid w:val="2F6B372D"/>
    <w:rsid w:val="2FA239BE"/>
    <w:rsid w:val="300A77B4"/>
    <w:rsid w:val="30974B52"/>
    <w:rsid w:val="30BE2847"/>
    <w:rsid w:val="310A5B94"/>
    <w:rsid w:val="312E2402"/>
    <w:rsid w:val="31AB4D5A"/>
    <w:rsid w:val="31B74303"/>
    <w:rsid w:val="31CD24DF"/>
    <w:rsid w:val="3241401D"/>
    <w:rsid w:val="32481A0E"/>
    <w:rsid w:val="325E5714"/>
    <w:rsid w:val="32895019"/>
    <w:rsid w:val="329E19A2"/>
    <w:rsid w:val="32A44D62"/>
    <w:rsid w:val="32B4265D"/>
    <w:rsid w:val="32B826E0"/>
    <w:rsid w:val="32E7510F"/>
    <w:rsid w:val="333764D1"/>
    <w:rsid w:val="33594DA0"/>
    <w:rsid w:val="33653119"/>
    <w:rsid w:val="341206D3"/>
    <w:rsid w:val="34210119"/>
    <w:rsid w:val="342D144A"/>
    <w:rsid w:val="343238D1"/>
    <w:rsid w:val="3439473C"/>
    <w:rsid w:val="343D3FD2"/>
    <w:rsid w:val="346D1E4E"/>
    <w:rsid w:val="348941BC"/>
    <w:rsid w:val="34941C9D"/>
    <w:rsid w:val="34A139D4"/>
    <w:rsid w:val="34B4784A"/>
    <w:rsid w:val="34FF32C9"/>
    <w:rsid w:val="35091883"/>
    <w:rsid w:val="350E5A19"/>
    <w:rsid w:val="354B080B"/>
    <w:rsid w:val="35A01BFD"/>
    <w:rsid w:val="35AF6A99"/>
    <w:rsid w:val="35AF7FB4"/>
    <w:rsid w:val="35B77304"/>
    <w:rsid w:val="3613628C"/>
    <w:rsid w:val="36226AD0"/>
    <w:rsid w:val="364A66CE"/>
    <w:rsid w:val="365336AB"/>
    <w:rsid w:val="36575BE2"/>
    <w:rsid w:val="3662299F"/>
    <w:rsid w:val="3667045E"/>
    <w:rsid w:val="36C25770"/>
    <w:rsid w:val="371401A8"/>
    <w:rsid w:val="37604A57"/>
    <w:rsid w:val="37A421DA"/>
    <w:rsid w:val="37D11758"/>
    <w:rsid w:val="37D551BC"/>
    <w:rsid w:val="38072F6B"/>
    <w:rsid w:val="38170483"/>
    <w:rsid w:val="38412595"/>
    <w:rsid w:val="38545018"/>
    <w:rsid w:val="38922C43"/>
    <w:rsid w:val="38B96A79"/>
    <w:rsid w:val="38D00895"/>
    <w:rsid w:val="38E76A9C"/>
    <w:rsid w:val="39214C45"/>
    <w:rsid w:val="3931588F"/>
    <w:rsid w:val="39520404"/>
    <w:rsid w:val="39634705"/>
    <w:rsid w:val="3A0E03CB"/>
    <w:rsid w:val="3A301DED"/>
    <w:rsid w:val="3A3E4F6F"/>
    <w:rsid w:val="3A4B10A1"/>
    <w:rsid w:val="3A716769"/>
    <w:rsid w:val="3AEB2329"/>
    <w:rsid w:val="3AF34D63"/>
    <w:rsid w:val="3B246909"/>
    <w:rsid w:val="3B5A55C5"/>
    <w:rsid w:val="3B6A3EC3"/>
    <w:rsid w:val="3B723F27"/>
    <w:rsid w:val="3BAB2075"/>
    <w:rsid w:val="3BB31E3E"/>
    <w:rsid w:val="3BBF5144"/>
    <w:rsid w:val="3BF666C0"/>
    <w:rsid w:val="3C203E80"/>
    <w:rsid w:val="3C6532E0"/>
    <w:rsid w:val="3C8B16E3"/>
    <w:rsid w:val="3CDF753E"/>
    <w:rsid w:val="3D523EA7"/>
    <w:rsid w:val="3D5D5DCB"/>
    <w:rsid w:val="3D653654"/>
    <w:rsid w:val="3D716785"/>
    <w:rsid w:val="3D7F6679"/>
    <w:rsid w:val="3DA541C5"/>
    <w:rsid w:val="3DE91A97"/>
    <w:rsid w:val="3DEB1675"/>
    <w:rsid w:val="3E6109A4"/>
    <w:rsid w:val="3E7E2C6C"/>
    <w:rsid w:val="3E805D41"/>
    <w:rsid w:val="3E865F34"/>
    <w:rsid w:val="3E9277B1"/>
    <w:rsid w:val="3EC3264A"/>
    <w:rsid w:val="3EE141C8"/>
    <w:rsid w:val="3F0A73E6"/>
    <w:rsid w:val="3F1823D8"/>
    <w:rsid w:val="3F2C6F9F"/>
    <w:rsid w:val="3F3A7536"/>
    <w:rsid w:val="3F8714CB"/>
    <w:rsid w:val="3F893FA9"/>
    <w:rsid w:val="3FAD2BB6"/>
    <w:rsid w:val="3FD14A94"/>
    <w:rsid w:val="401269C1"/>
    <w:rsid w:val="401C40D8"/>
    <w:rsid w:val="40255E31"/>
    <w:rsid w:val="403F6DD9"/>
    <w:rsid w:val="404A0D49"/>
    <w:rsid w:val="406C4326"/>
    <w:rsid w:val="407400B1"/>
    <w:rsid w:val="407671D0"/>
    <w:rsid w:val="408A5B06"/>
    <w:rsid w:val="40EE15E1"/>
    <w:rsid w:val="40F91680"/>
    <w:rsid w:val="41943DE7"/>
    <w:rsid w:val="41A2574B"/>
    <w:rsid w:val="41B67932"/>
    <w:rsid w:val="41BA7839"/>
    <w:rsid w:val="41BF0272"/>
    <w:rsid w:val="41EE3A38"/>
    <w:rsid w:val="42677F4C"/>
    <w:rsid w:val="42A633AF"/>
    <w:rsid w:val="42DC35FB"/>
    <w:rsid w:val="42DD500A"/>
    <w:rsid w:val="43297526"/>
    <w:rsid w:val="43411255"/>
    <w:rsid w:val="4358785B"/>
    <w:rsid w:val="43655713"/>
    <w:rsid w:val="439A2524"/>
    <w:rsid w:val="43D111E7"/>
    <w:rsid w:val="43E23901"/>
    <w:rsid w:val="43EF76BD"/>
    <w:rsid w:val="4416012A"/>
    <w:rsid w:val="44297836"/>
    <w:rsid w:val="444658D6"/>
    <w:rsid w:val="44C61B90"/>
    <w:rsid w:val="450128BD"/>
    <w:rsid w:val="45397211"/>
    <w:rsid w:val="45585A18"/>
    <w:rsid w:val="4571029C"/>
    <w:rsid w:val="457E68AD"/>
    <w:rsid w:val="45AA6CD7"/>
    <w:rsid w:val="45BA5568"/>
    <w:rsid w:val="45F157BC"/>
    <w:rsid w:val="45F732CE"/>
    <w:rsid w:val="46A10236"/>
    <w:rsid w:val="46B01F4B"/>
    <w:rsid w:val="46D35ECA"/>
    <w:rsid w:val="472A3B1C"/>
    <w:rsid w:val="47430D13"/>
    <w:rsid w:val="47500015"/>
    <w:rsid w:val="476067EB"/>
    <w:rsid w:val="477914D1"/>
    <w:rsid w:val="47850A45"/>
    <w:rsid w:val="478F2545"/>
    <w:rsid w:val="47910384"/>
    <w:rsid w:val="4791696C"/>
    <w:rsid w:val="479C3B4D"/>
    <w:rsid w:val="479E57A2"/>
    <w:rsid w:val="47C8193C"/>
    <w:rsid w:val="47E42A42"/>
    <w:rsid w:val="47E44A14"/>
    <w:rsid w:val="47F32289"/>
    <w:rsid w:val="47F910B1"/>
    <w:rsid w:val="48021260"/>
    <w:rsid w:val="483E7320"/>
    <w:rsid w:val="4874578C"/>
    <w:rsid w:val="487D519F"/>
    <w:rsid w:val="488644B5"/>
    <w:rsid w:val="489F12B3"/>
    <w:rsid w:val="48DB03B6"/>
    <w:rsid w:val="48E158AE"/>
    <w:rsid w:val="48F44837"/>
    <w:rsid w:val="49106889"/>
    <w:rsid w:val="494F5022"/>
    <w:rsid w:val="4965495B"/>
    <w:rsid w:val="49871979"/>
    <w:rsid w:val="49BE7CDE"/>
    <w:rsid w:val="4A4A20CB"/>
    <w:rsid w:val="4A4D52E0"/>
    <w:rsid w:val="4A717981"/>
    <w:rsid w:val="4A7F0B90"/>
    <w:rsid w:val="4AA11648"/>
    <w:rsid w:val="4ABF7C19"/>
    <w:rsid w:val="4ACF3306"/>
    <w:rsid w:val="4ADF0312"/>
    <w:rsid w:val="4B3605C2"/>
    <w:rsid w:val="4B736C89"/>
    <w:rsid w:val="4B783080"/>
    <w:rsid w:val="4BA97779"/>
    <w:rsid w:val="4BB275BC"/>
    <w:rsid w:val="4BEB5651"/>
    <w:rsid w:val="4C0B60B5"/>
    <w:rsid w:val="4C164CFA"/>
    <w:rsid w:val="4C410ED1"/>
    <w:rsid w:val="4C6A6F66"/>
    <w:rsid w:val="4C7B6DB7"/>
    <w:rsid w:val="4C9961C0"/>
    <w:rsid w:val="4CD32FA2"/>
    <w:rsid w:val="4CE14AD2"/>
    <w:rsid w:val="4CE226DC"/>
    <w:rsid w:val="4D067963"/>
    <w:rsid w:val="4D295DAF"/>
    <w:rsid w:val="4D973649"/>
    <w:rsid w:val="4D9D50DB"/>
    <w:rsid w:val="4DC558BC"/>
    <w:rsid w:val="4DDA5692"/>
    <w:rsid w:val="4E001FBC"/>
    <w:rsid w:val="4E05041D"/>
    <w:rsid w:val="4E0C7E7D"/>
    <w:rsid w:val="4E13753E"/>
    <w:rsid w:val="4E227D14"/>
    <w:rsid w:val="4E4327BA"/>
    <w:rsid w:val="4E4809D0"/>
    <w:rsid w:val="4E4B4668"/>
    <w:rsid w:val="4E591F5C"/>
    <w:rsid w:val="4E6D653B"/>
    <w:rsid w:val="4EAB3B6C"/>
    <w:rsid w:val="4EAE47A7"/>
    <w:rsid w:val="4EAE4BF3"/>
    <w:rsid w:val="4EB844F9"/>
    <w:rsid w:val="4EE06B39"/>
    <w:rsid w:val="4EF67AE3"/>
    <w:rsid w:val="4F1F635F"/>
    <w:rsid w:val="4FB43525"/>
    <w:rsid w:val="4FEA1CE2"/>
    <w:rsid w:val="5027528D"/>
    <w:rsid w:val="50345D3F"/>
    <w:rsid w:val="50532444"/>
    <w:rsid w:val="505950BF"/>
    <w:rsid w:val="50E410A7"/>
    <w:rsid w:val="511C59E0"/>
    <w:rsid w:val="51367904"/>
    <w:rsid w:val="51707B6C"/>
    <w:rsid w:val="517D480E"/>
    <w:rsid w:val="51A26DF0"/>
    <w:rsid w:val="51B448AE"/>
    <w:rsid w:val="51F74216"/>
    <w:rsid w:val="52164F15"/>
    <w:rsid w:val="52310F57"/>
    <w:rsid w:val="525948FD"/>
    <w:rsid w:val="52726444"/>
    <w:rsid w:val="528F3E93"/>
    <w:rsid w:val="52A044F4"/>
    <w:rsid w:val="52D31BAA"/>
    <w:rsid w:val="52FA34BE"/>
    <w:rsid w:val="531135F1"/>
    <w:rsid w:val="53544D50"/>
    <w:rsid w:val="53731581"/>
    <w:rsid w:val="539F3F37"/>
    <w:rsid w:val="53EC6E3E"/>
    <w:rsid w:val="540447B3"/>
    <w:rsid w:val="54302B8E"/>
    <w:rsid w:val="54365967"/>
    <w:rsid w:val="54506361"/>
    <w:rsid w:val="54A4317B"/>
    <w:rsid w:val="54B8792E"/>
    <w:rsid w:val="54DC2048"/>
    <w:rsid w:val="54F14E86"/>
    <w:rsid w:val="5500720B"/>
    <w:rsid w:val="5536732C"/>
    <w:rsid w:val="558E5B6A"/>
    <w:rsid w:val="55A10345"/>
    <w:rsid w:val="55ED5899"/>
    <w:rsid w:val="55F76B1C"/>
    <w:rsid w:val="56013273"/>
    <w:rsid w:val="561F6E48"/>
    <w:rsid w:val="564A3785"/>
    <w:rsid w:val="564F3F0F"/>
    <w:rsid w:val="565643EB"/>
    <w:rsid w:val="565F30DA"/>
    <w:rsid w:val="568A5206"/>
    <w:rsid w:val="56AA1789"/>
    <w:rsid w:val="56AB3C81"/>
    <w:rsid w:val="56D5578D"/>
    <w:rsid w:val="570670D6"/>
    <w:rsid w:val="5716066D"/>
    <w:rsid w:val="57C148BF"/>
    <w:rsid w:val="586650CB"/>
    <w:rsid w:val="58A673C6"/>
    <w:rsid w:val="58C21006"/>
    <w:rsid w:val="58C358D1"/>
    <w:rsid w:val="58DD47E9"/>
    <w:rsid w:val="58F962D5"/>
    <w:rsid w:val="591C0116"/>
    <w:rsid w:val="59451AF2"/>
    <w:rsid w:val="59535F7A"/>
    <w:rsid w:val="595B29E5"/>
    <w:rsid w:val="5973466D"/>
    <w:rsid w:val="598415B1"/>
    <w:rsid w:val="59AB0ADC"/>
    <w:rsid w:val="59C75B74"/>
    <w:rsid w:val="5A1631D9"/>
    <w:rsid w:val="5A1F1B8B"/>
    <w:rsid w:val="5A436C9A"/>
    <w:rsid w:val="5A470BD5"/>
    <w:rsid w:val="5A7C6DBF"/>
    <w:rsid w:val="5A8A054E"/>
    <w:rsid w:val="5AB57F1D"/>
    <w:rsid w:val="5AC05BF0"/>
    <w:rsid w:val="5AE71D4F"/>
    <w:rsid w:val="5B345835"/>
    <w:rsid w:val="5B3B7452"/>
    <w:rsid w:val="5B5B6446"/>
    <w:rsid w:val="5B810339"/>
    <w:rsid w:val="5B824B8A"/>
    <w:rsid w:val="5C6F7EB5"/>
    <w:rsid w:val="5CC10BB9"/>
    <w:rsid w:val="5D067251"/>
    <w:rsid w:val="5D354DC6"/>
    <w:rsid w:val="5D7519BE"/>
    <w:rsid w:val="5D967917"/>
    <w:rsid w:val="5DE40117"/>
    <w:rsid w:val="5E0C5358"/>
    <w:rsid w:val="5E1C7AA4"/>
    <w:rsid w:val="5E3602E2"/>
    <w:rsid w:val="5E4976C9"/>
    <w:rsid w:val="5E5F6B78"/>
    <w:rsid w:val="5E7C36BC"/>
    <w:rsid w:val="5EA86196"/>
    <w:rsid w:val="5EBA54CB"/>
    <w:rsid w:val="5EC9169E"/>
    <w:rsid w:val="5EDB186B"/>
    <w:rsid w:val="5EDD2484"/>
    <w:rsid w:val="5EED3303"/>
    <w:rsid w:val="5F352F53"/>
    <w:rsid w:val="5F4948D0"/>
    <w:rsid w:val="5F7922D4"/>
    <w:rsid w:val="5F7F1013"/>
    <w:rsid w:val="5FAC295D"/>
    <w:rsid w:val="5FB4079A"/>
    <w:rsid w:val="5FBA705A"/>
    <w:rsid w:val="5FF836F6"/>
    <w:rsid w:val="606174C8"/>
    <w:rsid w:val="60A94346"/>
    <w:rsid w:val="61036B45"/>
    <w:rsid w:val="61332BAC"/>
    <w:rsid w:val="613C6FF5"/>
    <w:rsid w:val="613D3971"/>
    <w:rsid w:val="61621419"/>
    <w:rsid w:val="61917E59"/>
    <w:rsid w:val="61C977C8"/>
    <w:rsid w:val="61D17068"/>
    <w:rsid w:val="61FA0249"/>
    <w:rsid w:val="620B3947"/>
    <w:rsid w:val="6243258E"/>
    <w:rsid w:val="624B0BD0"/>
    <w:rsid w:val="627207EA"/>
    <w:rsid w:val="628A3AB4"/>
    <w:rsid w:val="62957C9B"/>
    <w:rsid w:val="62A66778"/>
    <w:rsid w:val="62DE5BC0"/>
    <w:rsid w:val="63153836"/>
    <w:rsid w:val="631C646C"/>
    <w:rsid w:val="636F3885"/>
    <w:rsid w:val="637454D9"/>
    <w:rsid w:val="64362692"/>
    <w:rsid w:val="643B2792"/>
    <w:rsid w:val="645A0770"/>
    <w:rsid w:val="645C7985"/>
    <w:rsid w:val="652E5830"/>
    <w:rsid w:val="653E61EA"/>
    <w:rsid w:val="654D05BF"/>
    <w:rsid w:val="654D14A9"/>
    <w:rsid w:val="6571481B"/>
    <w:rsid w:val="659A7066"/>
    <w:rsid w:val="65E273B9"/>
    <w:rsid w:val="65F95D7A"/>
    <w:rsid w:val="664F20DE"/>
    <w:rsid w:val="66634354"/>
    <w:rsid w:val="66D01339"/>
    <w:rsid w:val="66E773DB"/>
    <w:rsid w:val="674D6E07"/>
    <w:rsid w:val="6755229C"/>
    <w:rsid w:val="6786274D"/>
    <w:rsid w:val="67D75514"/>
    <w:rsid w:val="67E74B0A"/>
    <w:rsid w:val="680126E7"/>
    <w:rsid w:val="68257B37"/>
    <w:rsid w:val="687142E8"/>
    <w:rsid w:val="68870507"/>
    <w:rsid w:val="688E2C0E"/>
    <w:rsid w:val="68A1486D"/>
    <w:rsid w:val="68BF1E69"/>
    <w:rsid w:val="68EA7E48"/>
    <w:rsid w:val="6904444F"/>
    <w:rsid w:val="69432E10"/>
    <w:rsid w:val="69DF087B"/>
    <w:rsid w:val="69F07101"/>
    <w:rsid w:val="6A204114"/>
    <w:rsid w:val="6A204A29"/>
    <w:rsid w:val="6A522630"/>
    <w:rsid w:val="6A626DD2"/>
    <w:rsid w:val="6AD36418"/>
    <w:rsid w:val="6AEE110F"/>
    <w:rsid w:val="6B000653"/>
    <w:rsid w:val="6B065FEA"/>
    <w:rsid w:val="6B111E26"/>
    <w:rsid w:val="6B2C0D7D"/>
    <w:rsid w:val="6B2C5E93"/>
    <w:rsid w:val="6B492583"/>
    <w:rsid w:val="6B9C2101"/>
    <w:rsid w:val="6BDD483B"/>
    <w:rsid w:val="6BEC331A"/>
    <w:rsid w:val="6C026743"/>
    <w:rsid w:val="6C264FD3"/>
    <w:rsid w:val="6C5E3498"/>
    <w:rsid w:val="6CAC7B4C"/>
    <w:rsid w:val="6CBE19AE"/>
    <w:rsid w:val="6D0944D9"/>
    <w:rsid w:val="6D21534A"/>
    <w:rsid w:val="6D413509"/>
    <w:rsid w:val="6D5A599F"/>
    <w:rsid w:val="6D816609"/>
    <w:rsid w:val="6DA44F4D"/>
    <w:rsid w:val="6DB3718A"/>
    <w:rsid w:val="6DBB1944"/>
    <w:rsid w:val="6DC42AAA"/>
    <w:rsid w:val="6DCE61E3"/>
    <w:rsid w:val="6DCF7F51"/>
    <w:rsid w:val="6DD00817"/>
    <w:rsid w:val="6DDE4A0C"/>
    <w:rsid w:val="6E1C303F"/>
    <w:rsid w:val="6E203314"/>
    <w:rsid w:val="6E3553A2"/>
    <w:rsid w:val="6EAD331D"/>
    <w:rsid w:val="6F3916BB"/>
    <w:rsid w:val="6F5F44A6"/>
    <w:rsid w:val="6F5F5D55"/>
    <w:rsid w:val="6F735958"/>
    <w:rsid w:val="6F7D3A5A"/>
    <w:rsid w:val="70161CE7"/>
    <w:rsid w:val="70196878"/>
    <w:rsid w:val="702C6897"/>
    <w:rsid w:val="70547457"/>
    <w:rsid w:val="705E372B"/>
    <w:rsid w:val="70793414"/>
    <w:rsid w:val="70905977"/>
    <w:rsid w:val="70C7580B"/>
    <w:rsid w:val="70CD2FCE"/>
    <w:rsid w:val="70D36F5A"/>
    <w:rsid w:val="71567FDA"/>
    <w:rsid w:val="71837FD2"/>
    <w:rsid w:val="719227CF"/>
    <w:rsid w:val="71CA4AB4"/>
    <w:rsid w:val="72043925"/>
    <w:rsid w:val="721768CF"/>
    <w:rsid w:val="72230A67"/>
    <w:rsid w:val="72534E9D"/>
    <w:rsid w:val="72790BEC"/>
    <w:rsid w:val="728C5C7C"/>
    <w:rsid w:val="72A704D5"/>
    <w:rsid w:val="72C436B6"/>
    <w:rsid w:val="72E35DFE"/>
    <w:rsid w:val="73392753"/>
    <w:rsid w:val="73425370"/>
    <w:rsid w:val="734D5FBF"/>
    <w:rsid w:val="7374595C"/>
    <w:rsid w:val="74161FB5"/>
    <w:rsid w:val="742A70FA"/>
    <w:rsid w:val="74510413"/>
    <w:rsid w:val="74645FCD"/>
    <w:rsid w:val="746639EF"/>
    <w:rsid w:val="74735F81"/>
    <w:rsid w:val="74BD2EF8"/>
    <w:rsid w:val="74EA0C02"/>
    <w:rsid w:val="75170425"/>
    <w:rsid w:val="757805B2"/>
    <w:rsid w:val="757E3546"/>
    <w:rsid w:val="75B00123"/>
    <w:rsid w:val="75F83D9A"/>
    <w:rsid w:val="764B5CBE"/>
    <w:rsid w:val="76A32641"/>
    <w:rsid w:val="76E3032C"/>
    <w:rsid w:val="770741B0"/>
    <w:rsid w:val="771073EB"/>
    <w:rsid w:val="772C692D"/>
    <w:rsid w:val="773B129A"/>
    <w:rsid w:val="776E5CBE"/>
    <w:rsid w:val="77A374C4"/>
    <w:rsid w:val="77AD2AD4"/>
    <w:rsid w:val="77D869E6"/>
    <w:rsid w:val="77DD1A4E"/>
    <w:rsid w:val="78040347"/>
    <w:rsid w:val="784464B8"/>
    <w:rsid w:val="787520A3"/>
    <w:rsid w:val="78786865"/>
    <w:rsid w:val="788A1325"/>
    <w:rsid w:val="78AE558D"/>
    <w:rsid w:val="78FC5B52"/>
    <w:rsid w:val="79005F52"/>
    <w:rsid w:val="795F700D"/>
    <w:rsid w:val="79C92ED0"/>
    <w:rsid w:val="79E72B06"/>
    <w:rsid w:val="79F574D6"/>
    <w:rsid w:val="7A1F6282"/>
    <w:rsid w:val="7A925AF3"/>
    <w:rsid w:val="7AEF6DC1"/>
    <w:rsid w:val="7B031240"/>
    <w:rsid w:val="7B2D4A8F"/>
    <w:rsid w:val="7B2F0884"/>
    <w:rsid w:val="7B57305C"/>
    <w:rsid w:val="7B70519D"/>
    <w:rsid w:val="7B9878D5"/>
    <w:rsid w:val="7B9C0C20"/>
    <w:rsid w:val="7C0C2613"/>
    <w:rsid w:val="7C1127A0"/>
    <w:rsid w:val="7C245A07"/>
    <w:rsid w:val="7C4C6B71"/>
    <w:rsid w:val="7CA411CF"/>
    <w:rsid w:val="7D072581"/>
    <w:rsid w:val="7D226B97"/>
    <w:rsid w:val="7D3F0D5A"/>
    <w:rsid w:val="7D7745E8"/>
    <w:rsid w:val="7D7B4228"/>
    <w:rsid w:val="7D9A0352"/>
    <w:rsid w:val="7DA45EA2"/>
    <w:rsid w:val="7DBA2F32"/>
    <w:rsid w:val="7DDD618F"/>
    <w:rsid w:val="7DDE038D"/>
    <w:rsid w:val="7E196409"/>
    <w:rsid w:val="7E371D12"/>
    <w:rsid w:val="7E4670C6"/>
    <w:rsid w:val="7E616658"/>
    <w:rsid w:val="7EC953D2"/>
    <w:rsid w:val="7EE32BB4"/>
    <w:rsid w:val="7F522B5C"/>
    <w:rsid w:val="7F602104"/>
    <w:rsid w:val="7F753F86"/>
    <w:rsid w:val="7FB36AAD"/>
    <w:rsid w:val="7FD73937"/>
    <w:rsid w:val="7FF62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iPriority="99" w:semiHidden="0" w:name="page number"/>
    <w:lsdException w:qFormat="1" w:unhideWhenUsed="0" w:uiPriority="0" w:semiHidden="0"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640" w:firstLineChars="200"/>
      <w:jc w:val="both"/>
    </w:pPr>
    <w:rPr>
      <w:rFonts w:ascii="仿宋_GB2312" w:hAnsi="仿宋_GB2312" w:eastAsia="仿宋_GB2312" w:cs="Times New Roman"/>
      <w:sz w:val="30"/>
      <w:lang w:val="en-US" w:eastAsia="zh-CN" w:bidi="ar-SA"/>
    </w:rPr>
  </w:style>
  <w:style w:type="paragraph" w:styleId="2">
    <w:name w:val="heading 1"/>
    <w:basedOn w:val="1"/>
    <w:next w:val="1"/>
    <w:qFormat/>
    <w:uiPriority w:val="9"/>
    <w:pPr>
      <w:keepNext/>
      <w:keepLines/>
      <w:numPr>
        <w:ilvl w:val="0"/>
        <w:numId w:val="1"/>
      </w:numPr>
      <w:ind w:firstLine="640"/>
      <w:outlineLvl w:val="0"/>
    </w:pPr>
    <w:rPr>
      <w:rFonts w:ascii="宋体" w:hAnsi="宋体" w:eastAsia="黑体"/>
      <w:bCs/>
      <w:kern w:val="44"/>
      <w:szCs w:val="24"/>
    </w:rPr>
  </w:style>
  <w:style w:type="paragraph" w:styleId="3">
    <w:name w:val="heading 2"/>
    <w:basedOn w:val="1"/>
    <w:next w:val="1"/>
    <w:qFormat/>
    <w:uiPriority w:val="0"/>
    <w:pPr>
      <w:keepNext/>
      <w:keepLines/>
      <w:numPr>
        <w:ilvl w:val="1"/>
        <w:numId w:val="2"/>
      </w:numPr>
      <w:tabs>
        <w:tab w:val="left" w:pos="576"/>
      </w:tabs>
      <w:ind w:firstLine="640"/>
      <w:outlineLvl w:val="1"/>
    </w:pPr>
    <w:rPr>
      <w:rFonts w:eastAsia="楷体"/>
      <w:b/>
      <w:bCs/>
      <w:szCs w:val="24"/>
    </w:rPr>
  </w:style>
  <w:style w:type="paragraph" w:styleId="4">
    <w:name w:val="heading 3"/>
    <w:basedOn w:val="1"/>
    <w:next w:val="1"/>
    <w:qFormat/>
    <w:uiPriority w:val="0"/>
    <w:pPr>
      <w:keepNext/>
      <w:keepLines/>
      <w:tabs>
        <w:tab w:val="left" w:pos="720"/>
      </w:tabs>
      <w:spacing w:before="260" w:after="260" w:line="360" w:lineRule="auto"/>
      <w:ind w:left="720" w:hanging="720"/>
      <w:contextualSpacing/>
      <w:outlineLvl w:val="2"/>
    </w:pPr>
    <w:rPr>
      <w:b/>
      <w:bCs/>
      <w:sz w:val="24"/>
      <w:szCs w:val="24"/>
    </w:rPr>
  </w:style>
  <w:style w:type="paragraph" w:styleId="5">
    <w:name w:val="heading 4"/>
    <w:basedOn w:val="1"/>
    <w:next w:val="1"/>
    <w:qFormat/>
    <w:uiPriority w:val="0"/>
    <w:pPr>
      <w:keepNext/>
      <w:keepLines/>
      <w:numPr>
        <w:ilvl w:val="3"/>
        <w:numId w:val="3"/>
      </w:numPr>
      <w:spacing w:before="260" w:after="260" w:line="360" w:lineRule="auto"/>
      <w:outlineLvl w:val="3"/>
    </w:pPr>
    <w:rPr>
      <w:b/>
      <w:bCs/>
      <w:sz w:val="24"/>
      <w:szCs w:val="28"/>
    </w:rPr>
  </w:style>
  <w:style w:type="paragraph" w:styleId="6">
    <w:name w:val="heading 5"/>
    <w:basedOn w:val="1"/>
    <w:next w:val="1"/>
    <w:qFormat/>
    <w:uiPriority w:val="0"/>
    <w:pPr>
      <w:keepNext/>
      <w:keepLines/>
      <w:numPr>
        <w:ilvl w:val="4"/>
        <w:numId w:val="3"/>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3"/>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3"/>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3"/>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3"/>
      </w:numPr>
      <w:spacing w:before="240" w:after="64" w:line="320" w:lineRule="auto"/>
      <w:outlineLvl w:val="8"/>
    </w:pPr>
    <w:rPr>
      <w:rFonts w:ascii="Arial" w:hAnsi="Arial" w:eastAsia="黑体"/>
      <w:szCs w:val="21"/>
    </w:rPr>
  </w:style>
  <w:style w:type="character" w:default="1" w:styleId="37">
    <w:name w:val="Default Paragraph Font"/>
    <w:unhideWhenUsed/>
    <w:qFormat/>
    <w:uiPriority w:val="1"/>
  </w:style>
  <w:style w:type="table" w:default="1" w:styleId="45">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66"/>
    <w:unhideWhenUsed/>
    <w:qFormat/>
    <w:uiPriority w:val="99"/>
    <w:pPr>
      <w:jc w:val="left"/>
    </w:pPr>
    <w:rPr>
      <w:b/>
      <w:bCs/>
    </w:rPr>
  </w:style>
  <w:style w:type="paragraph" w:styleId="12">
    <w:name w:val="annotation text"/>
    <w:basedOn w:val="1"/>
    <w:link w:val="67"/>
    <w:qFormat/>
    <w:uiPriority w:val="0"/>
    <w:rPr>
      <w:rFonts w:ascii="Arial" w:hAnsi="Arial" w:eastAsia="宋体"/>
      <w:sz w:val="20"/>
    </w:rPr>
  </w:style>
  <w:style w:type="paragraph" w:styleId="13">
    <w:name w:val="toc 7"/>
    <w:basedOn w:val="1"/>
    <w:next w:val="1"/>
    <w:qFormat/>
    <w:uiPriority w:val="0"/>
    <w:pPr>
      <w:ind w:left="2520" w:leftChars="1200"/>
    </w:pPr>
  </w:style>
  <w:style w:type="paragraph" w:styleId="14">
    <w:name w:val="Body Text First Indent"/>
    <w:basedOn w:val="15"/>
    <w:qFormat/>
    <w:uiPriority w:val="0"/>
    <w:pPr>
      <w:widowControl w:val="0"/>
      <w:spacing w:after="120"/>
      <w:ind w:firstLine="420" w:firstLineChars="100"/>
      <w:jc w:val="both"/>
    </w:pPr>
    <w:rPr>
      <w:rFonts w:ascii="Times New Roman" w:hAnsi="Times New Roman"/>
      <w:kern w:val="2"/>
      <w:sz w:val="21"/>
      <w:szCs w:val="24"/>
    </w:rPr>
  </w:style>
  <w:style w:type="paragraph" w:styleId="15">
    <w:name w:val="Body Text"/>
    <w:basedOn w:val="1"/>
    <w:qFormat/>
    <w:uiPriority w:val="0"/>
    <w:pPr>
      <w:jc w:val="left"/>
    </w:pPr>
  </w:style>
  <w:style w:type="paragraph" w:styleId="16">
    <w:name w:val="caption"/>
    <w:basedOn w:val="1"/>
    <w:next w:val="1"/>
    <w:qFormat/>
    <w:uiPriority w:val="0"/>
    <w:pPr>
      <w:tabs>
        <w:tab w:val="left" w:pos="7258"/>
      </w:tabs>
      <w:spacing w:before="360"/>
    </w:pPr>
  </w:style>
  <w:style w:type="paragraph" w:styleId="17">
    <w:name w:val="Document Map"/>
    <w:basedOn w:val="1"/>
    <w:qFormat/>
    <w:uiPriority w:val="0"/>
    <w:pPr>
      <w:shd w:val="clear" w:color="auto" w:fill="000080"/>
    </w:pPr>
  </w:style>
  <w:style w:type="paragraph" w:styleId="18">
    <w:name w:val="Body Text Indent"/>
    <w:basedOn w:val="1"/>
    <w:qFormat/>
    <w:uiPriority w:val="0"/>
    <w:pPr>
      <w:ind w:left="354" w:hanging="354"/>
      <w:jc w:val="left"/>
    </w:pPr>
    <w:rPr>
      <w:lang w:val="en-GB"/>
    </w:rPr>
  </w:style>
  <w:style w:type="paragraph" w:styleId="19">
    <w:name w:val="toc 5"/>
    <w:basedOn w:val="1"/>
    <w:next w:val="1"/>
    <w:qFormat/>
    <w:uiPriority w:val="0"/>
    <w:pPr>
      <w:ind w:left="1680" w:leftChars="800"/>
    </w:pPr>
  </w:style>
  <w:style w:type="paragraph" w:styleId="20">
    <w:name w:val="toc 3"/>
    <w:basedOn w:val="1"/>
    <w:next w:val="1"/>
    <w:qFormat/>
    <w:uiPriority w:val="0"/>
    <w:pPr>
      <w:ind w:left="840" w:leftChars="400"/>
    </w:pPr>
  </w:style>
  <w:style w:type="paragraph" w:styleId="21">
    <w:name w:val="Plain Text"/>
    <w:basedOn w:val="1"/>
    <w:qFormat/>
    <w:uiPriority w:val="0"/>
  </w:style>
  <w:style w:type="paragraph" w:styleId="22">
    <w:name w:val="toc 8"/>
    <w:basedOn w:val="1"/>
    <w:next w:val="1"/>
    <w:qFormat/>
    <w:uiPriority w:val="0"/>
    <w:pPr>
      <w:ind w:left="2940" w:leftChars="1400"/>
    </w:pPr>
  </w:style>
  <w:style w:type="paragraph" w:styleId="23">
    <w:name w:val="Body Text Indent 2"/>
    <w:basedOn w:val="1"/>
    <w:qFormat/>
    <w:uiPriority w:val="0"/>
    <w:pPr>
      <w:ind w:left="709" w:hanging="709"/>
      <w:jc w:val="left"/>
    </w:pPr>
  </w:style>
  <w:style w:type="paragraph" w:styleId="24">
    <w:name w:val="Balloon Text"/>
    <w:basedOn w:val="1"/>
    <w:qFormat/>
    <w:uiPriority w:val="0"/>
    <w:rPr>
      <w:sz w:val="18"/>
      <w:szCs w:val="18"/>
    </w:rPr>
  </w:style>
  <w:style w:type="paragraph" w:styleId="25">
    <w:name w:val="footer"/>
    <w:basedOn w:val="1"/>
    <w:qFormat/>
    <w:uiPriority w:val="0"/>
    <w:pPr>
      <w:tabs>
        <w:tab w:val="center" w:pos="4153"/>
        <w:tab w:val="right" w:pos="8306"/>
      </w:tabs>
      <w:snapToGrid w:val="0"/>
      <w:jc w:val="left"/>
    </w:pPr>
    <w:rPr>
      <w:sz w:val="18"/>
      <w:szCs w:val="18"/>
    </w:rPr>
  </w:style>
  <w:style w:type="paragraph" w:styleId="2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7">
    <w:name w:val="toc 1"/>
    <w:basedOn w:val="1"/>
    <w:next w:val="1"/>
    <w:qFormat/>
    <w:uiPriority w:val="0"/>
  </w:style>
  <w:style w:type="paragraph" w:styleId="28">
    <w:name w:val="toc 4"/>
    <w:basedOn w:val="1"/>
    <w:next w:val="1"/>
    <w:qFormat/>
    <w:uiPriority w:val="0"/>
    <w:pPr>
      <w:ind w:left="1260" w:leftChars="600"/>
    </w:pPr>
  </w:style>
  <w:style w:type="paragraph" w:styleId="29">
    <w:name w:val="footnote text"/>
    <w:basedOn w:val="1"/>
    <w:qFormat/>
    <w:uiPriority w:val="0"/>
  </w:style>
  <w:style w:type="paragraph" w:styleId="30">
    <w:name w:val="toc 6"/>
    <w:basedOn w:val="1"/>
    <w:next w:val="1"/>
    <w:qFormat/>
    <w:uiPriority w:val="0"/>
    <w:pPr>
      <w:ind w:left="2100" w:leftChars="1000"/>
    </w:pPr>
  </w:style>
  <w:style w:type="paragraph" w:styleId="31">
    <w:name w:val="Body Text Indent 3"/>
    <w:basedOn w:val="1"/>
    <w:qFormat/>
    <w:uiPriority w:val="0"/>
    <w:pPr>
      <w:widowControl w:val="0"/>
      <w:ind w:left="720"/>
    </w:pPr>
    <w:rPr>
      <w:rFonts w:ascii="Times New Roman" w:hAnsi="Times New Roman"/>
      <w:kern w:val="2"/>
      <w:sz w:val="24"/>
    </w:rPr>
  </w:style>
  <w:style w:type="paragraph" w:styleId="32">
    <w:name w:val="table of figures"/>
    <w:basedOn w:val="1"/>
    <w:next w:val="1"/>
    <w:qFormat/>
    <w:uiPriority w:val="0"/>
    <w:pPr>
      <w:ind w:left="400" w:hanging="400"/>
    </w:pPr>
  </w:style>
  <w:style w:type="paragraph" w:styleId="33">
    <w:name w:val="toc 2"/>
    <w:basedOn w:val="1"/>
    <w:next w:val="1"/>
    <w:qFormat/>
    <w:uiPriority w:val="0"/>
    <w:pPr>
      <w:ind w:left="420" w:leftChars="200"/>
    </w:pPr>
  </w:style>
  <w:style w:type="paragraph" w:styleId="34">
    <w:name w:val="toc 9"/>
    <w:basedOn w:val="1"/>
    <w:next w:val="1"/>
    <w:qFormat/>
    <w:uiPriority w:val="0"/>
    <w:pPr>
      <w:ind w:left="3360" w:leftChars="1600"/>
    </w:pPr>
  </w:style>
  <w:style w:type="paragraph" w:styleId="35">
    <w:name w:val="Body Text 2"/>
    <w:basedOn w:val="1"/>
    <w:qFormat/>
    <w:uiPriority w:val="0"/>
    <w:rPr>
      <w:b/>
      <w:snapToGrid w:val="0"/>
      <w:color w:val="000000"/>
      <w:sz w:val="16"/>
      <w:lang w:eastAsia="de-DE"/>
    </w:rPr>
  </w:style>
  <w:style w:type="paragraph" w:styleId="36">
    <w:name w:val="Normal (Web)"/>
    <w:basedOn w:val="1"/>
    <w:qFormat/>
    <w:uiPriority w:val="0"/>
    <w:pPr>
      <w:spacing w:before="100" w:beforeAutospacing="1" w:after="100" w:afterAutospacing="1"/>
      <w:jc w:val="left"/>
    </w:pPr>
    <w:rPr>
      <w:rFonts w:ascii="宋体" w:hAnsi="宋体" w:cs="宋体"/>
      <w:sz w:val="24"/>
      <w:szCs w:val="24"/>
    </w:rPr>
  </w:style>
  <w:style w:type="character" w:styleId="38">
    <w:name w:val="Strong"/>
    <w:qFormat/>
    <w:uiPriority w:val="0"/>
    <w:rPr>
      <w:b/>
      <w:bCs/>
    </w:rPr>
  </w:style>
  <w:style w:type="character" w:styleId="39">
    <w:name w:val="endnote reference"/>
    <w:qFormat/>
    <w:uiPriority w:val="0"/>
    <w:rPr>
      <w:vertAlign w:val="superscript"/>
    </w:rPr>
  </w:style>
  <w:style w:type="character" w:styleId="40">
    <w:name w:val="page number"/>
    <w:basedOn w:val="37"/>
    <w:unhideWhenUsed/>
    <w:qFormat/>
    <w:uiPriority w:val="99"/>
  </w:style>
  <w:style w:type="character" w:styleId="41">
    <w:name w:val="Emphasis"/>
    <w:qFormat/>
    <w:uiPriority w:val="0"/>
    <w:rPr>
      <w:rFonts w:ascii="Times New Roman" w:hAnsi="Times New Roman" w:eastAsia="楷体_GB2312"/>
      <w:b/>
      <w:sz w:val="24"/>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qFormat/>
    <w:uiPriority w:val="0"/>
    <w:rPr>
      <w:vertAlign w:val="superscript"/>
    </w:rPr>
  </w:style>
  <w:style w:type="paragraph" w:customStyle="1" w:styleId="46">
    <w:name w:val="样式 样式 标题 3h33Heading 3 hidden2hh31h32SectionHeading 2.3(Al... + ..."/>
    <w:basedOn w:val="1"/>
    <w:qFormat/>
    <w:uiPriority w:val="0"/>
    <w:pPr>
      <w:keepNext/>
      <w:numPr>
        <w:ilvl w:val="2"/>
        <w:numId w:val="3"/>
      </w:numPr>
      <w:spacing w:before="260" w:after="260" w:line="360" w:lineRule="auto"/>
      <w:outlineLvl w:val="2"/>
    </w:pPr>
    <w:rPr>
      <w:rFonts w:ascii="宋体" w:hAnsi="宋体" w:cs="宋体"/>
      <w:b/>
      <w:sz w:val="24"/>
      <w:szCs w:val="24"/>
    </w:rPr>
  </w:style>
  <w:style w:type="paragraph" w:customStyle="1" w:styleId="47">
    <w:name w:val="表格"/>
    <w:basedOn w:val="1"/>
    <w:qFormat/>
    <w:uiPriority w:val="0"/>
    <w:pPr>
      <w:spacing w:line="288" w:lineRule="auto"/>
    </w:pPr>
    <w:rPr>
      <w:rFonts w:ascii="Times New Roman" w:hAnsi="Times New Roman" w:eastAsia="宋体"/>
      <w:sz w:val="21"/>
    </w:rPr>
  </w:style>
  <w:style w:type="paragraph" w:customStyle="1" w:styleId="48">
    <w:name w:val="列出段落2"/>
    <w:basedOn w:val="1"/>
    <w:qFormat/>
    <w:uiPriority w:val="34"/>
    <w:pPr>
      <w:widowControl w:val="0"/>
      <w:ind w:firstLine="420"/>
    </w:pPr>
    <w:rPr>
      <w:rFonts w:ascii="Calibri" w:hAnsi="Calibri"/>
      <w:kern w:val="2"/>
      <w:sz w:val="21"/>
      <w:szCs w:val="22"/>
    </w:rPr>
  </w:style>
  <w:style w:type="paragraph" w:customStyle="1" w:styleId="49">
    <w:name w:val="列表段落1"/>
    <w:basedOn w:val="1"/>
    <w:qFormat/>
    <w:uiPriority w:val="99"/>
    <w:pPr>
      <w:ind w:firstLine="420"/>
    </w:pPr>
  </w:style>
  <w:style w:type="paragraph" w:customStyle="1" w:styleId="50">
    <w:name w:val="文本块1"/>
    <w:basedOn w:val="1"/>
    <w:qFormat/>
    <w:uiPriority w:val="0"/>
    <w:pPr>
      <w:spacing w:line="300" w:lineRule="atLeast"/>
      <w:ind w:left="709" w:right="709"/>
    </w:pPr>
    <w:rPr>
      <w:sz w:val="24"/>
      <w:lang w:val="en-GB"/>
    </w:rPr>
  </w:style>
  <w:style w:type="paragraph" w:customStyle="1" w:styleId="51">
    <w:name w:val="样式 宋体 小四 行距: 1.5 倍行距"/>
    <w:basedOn w:val="1"/>
    <w:qFormat/>
    <w:uiPriority w:val="0"/>
    <w:pPr>
      <w:widowControl w:val="0"/>
      <w:spacing w:line="360" w:lineRule="auto"/>
      <w:ind w:firstLine="560"/>
    </w:pPr>
    <w:rPr>
      <w:rFonts w:hAnsi="宋体" w:cs="宋体"/>
      <w:kern w:val="2"/>
      <w:sz w:val="28"/>
      <w:szCs w:val="28"/>
    </w:rPr>
  </w:style>
  <w:style w:type="paragraph" w:customStyle="1" w:styleId="52">
    <w:name w:val="样式 标题 2h22Header 2l2Level 2 Headheading 2sect 1.2DO NOT ..."/>
    <w:basedOn w:val="3"/>
    <w:qFormat/>
    <w:uiPriority w:val="0"/>
    <w:pPr>
      <w:keepLines w:val="0"/>
    </w:pPr>
    <w:rPr>
      <w:rFonts w:eastAsia="宋体" w:cs="宋体"/>
      <w:sz w:val="24"/>
      <w:szCs w:val="20"/>
    </w:rPr>
  </w:style>
  <w:style w:type="paragraph" w:customStyle="1" w:styleId="53">
    <w:name w:val="样式 样式 标题 2h22Header 2l2Level 2 Headheading 2sect 1.2DO NOT ... +..."/>
    <w:basedOn w:val="52"/>
    <w:qFormat/>
    <w:uiPriority w:val="0"/>
    <w:pPr>
      <w:tabs>
        <w:tab w:val="clear" w:pos="576"/>
      </w:tabs>
      <w:ind w:left="578" w:hanging="578"/>
    </w:pPr>
    <w:rPr>
      <w:rFonts w:ascii="宋体" w:hAnsi="宋体"/>
      <w:szCs w:val="24"/>
    </w:rPr>
  </w:style>
  <w:style w:type="paragraph" w:customStyle="1" w:styleId="54">
    <w:name w:val="编号列项（三级）"/>
    <w:qFormat/>
    <w:uiPriority w:val="0"/>
    <w:pPr>
      <w:numPr>
        <w:ilvl w:val="0"/>
        <w:numId w:val="4"/>
      </w:numPr>
      <w:tabs>
        <w:tab w:val="clear" w:pos="1140"/>
      </w:tabs>
      <w:ind w:left="800" w:leftChars="600" w:hanging="200" w:hangingChars="200"/>
    </w:pPr>
    <w:rPr>
      <w:rFonts w:ascii="宋体" w:hAnsi="Times New Roman" w:eastAsia="宋体" w:cs="Times New Roman"/>
      <w:sz w:val="21"/>
      <w:lang w:val="en-US" w:eastAsia="zh-CN" w:bidi="ar-SA"/>
    </w:rPr>
  </w:style>
  <w:style w:type="paragraph" w:customStyle="1" w:styleId="55">
    <w:name w:val="tealhead15"/>
    <w:basedOn w:val="1"/>
    <w:qFormat/>
    <w:uiPriority w:val="0"/>
    <w:pPr>
      <w:spacing w:before="100" w:beforeAutospacing="1" w:after="100" w:afterAutospacing="1"/>
      <w:jc w:val="left"/>
    </w:pPr>
    <w:rPr>
      <w:rFonts w:ascii="宋体" w:hAnsi="宋体" w:cs="宋体"/>
      <w:sz w:val="24"/>
      <w:szCs w:val="24"/>
    </w:rPr>
  </w:style>
  <w:style w:type="paragraph" w:customStyle="1" w:styleId="56">
    <w:name w:val="Char Char Char Char"/>
    <w:basedOn w:val="1"/>
    <w:next w:val="1"/>
    <w:qFormat/>
    <w:uiPriority w:val="0"/>
    <w:pPr>
      <w:widowControl w:val="0"/>
    </w:pPr>
    <w:rPr>
      <w:rFonts w:ascii="Times New Roman" w:hAnsi="Times New Roman"/>
      <w:kern w:val="2"/>
      <w:sz w:val="21"/>
      <w:szCs w:val="24"/>
    </w:rPr>
  </w:style>
  <w:style w:type="paragraph" w:customStyle="1" w:styleId="57">
    <w:name w:val="Char Char Char Char1"/>
    <w:basedOn w:val="1"/>
    <w:next w:val="1"/>
    <w:qFormat/>
    <w:uiPriority w:val="0"/>
    <w:pPr>
      <w:widowControl w:val="0"/>
    </w:pPr>
    <w:rPr>
      <w:rFonts w:ascii="Times New Roman" w:hAnsi="Times New Roman"/>
      <w:kern w:val="2"/>
      <w:sz w:val="21"/>
      <w:szCs w:val="24"/>
    </w:rPr>
  </w:style>
  <w:style w:type="paragraph" w:customStyle="1" w:styleId="58">
    <w:name w:val="表头"/>
    <w:basedOn w:val="47"/>
    <w:qFormat/>
    <w:uiPriority w:val="0"/>
    <w:pPr>
      <w:jc w:val="center"/>
    </w:pPr>
    <w:rPr>
      <w:b/>
      <w:sz w:val="24"/>
    </w:rPr>
  </w:style>
  <w:style w:type="paragraph" w:customStyle="1" w:styleId="59">
    <w:name w:val="默认段落字体 Para Char"/>
    <w:basedOn w:val="1"/>
    <w:qFormat/>
    <w:uiPriority w:val="0"/>
    <w:pPr>
      <w:widowControl w:val="0"/>
      <w:adjustRightInd w:val="0"/>
      <w:spacing w:line="360" w:lineRule="auto"/>
    </w:pPr>
    <w:rPr>
      <w:rFonts w:ascii="Times New Roman" w:hAnsi="Times New Roman"/>
      <w:sz w:val="24"/>
    </w:rPr>
  </w:style>
  <w:style w:type="paragraph" w:customStyle="1" w:styleId="60">
    <w:name w:val="4"/>
    <w:basedOn w:val="1"/>
    <w:qFormat/>
    <w:uiPriority w:val="0"/>
    <w:pPr>
      <w:widowControl w:val="0"/>
      <w:spacing w:before="100" w:beforeAutospacing="1" w:after="100" w:afterAutospacing="1" w:line="360" w:lineRule="auto"/>
      <w:ind w:firstLine="480"/>
      <w:jc w:val="left"/>
    </w:pPr>
    <w:rPr>
      <w:sz w:val="21"/>
      <w:szCs w:val="21"/>
      <w:lang w:eastAsia="en-US"/>
    </w:rPr>
  </w:style>
  <w:style w:type="paragraph" w:customStyle="1" w:styleId="61">
    <w:name w:val="样式 宋体 小四 加粗 居中 段前: 6 磅 段后: 6 磅 行距: 1.5 倍行距"/>
    <w:basedOn w:val="1"/>
    <w:qFormat/>
    <w:uiPriority w:val="0"/>
    <w:pPr>
      <w:spacing w:before="120" w:after="120" w:line="360" w:lineRule="auto"/>
      <w:jc w:val="center"/>
    </w:pPr>
    <w:rPr>
      <w:rFonts w:ascii="宋体" w:hAnsi="宋体" w:cs="宋体"/>
      <w:b/>
      <w:bCs/>
      <w:sz w:val="24"/>
    </w:rPr>
  </w:style>
  <w:style w:type="paragraph" w:customStyle="1" w:styleId="62">
    <w:name w:val="列出段落1"/>
    <w:basedOn w:val="1"/>
    <w:qFormat/>
    <w:uiPriority w:val="0"/>
    <w:pPr>
      <w:spacing w:after="200" w:line="252" w:lineRule="auto"/>
      <w:ind w:left="720"/>
      <w:contextualSpacing/>
    </w:pPr>
    <w:rPr>
      <w:rFonts w:ascii="Cambria" w:hAnsi="Cambria"/>
      <w:sz w:val="22"/>
      <w:szCs w:val="22"/>
      <w:lang w:eastAsia="en-US" w:bidi="en-US"/>
    </w:rPr>
  </w:style>
  <w:style w:type="paragraph" w:customStyle="1" w:styleId="63">
    <w:name w:val="样式 标题 1H1Section Headh11st levell1H11H12H13H14H15H16..."/>
    <w:basedOn w:val="2"/>
    <w:qFormat/>
    <w:uiPriority w:val="0"/>
    <w:rPr>
      <w:kern w:val="2"/>
      <w:sz w:val="24"/>
    </w:rPr>
  </w:style>
  <w:style w:type="paragraph" w:customStyle="1" w:styleId="64">
    <w:name w:val="我的正文5号字体"/>
    <w:basedOn w:val="1"/>
    <w:qFormat/>
    <w:uiPriority w:val="0"/>
    <w:pPr>
      <w:widowControl w:val="0"/>
      <w:spacing w:line="400" w:lineRule="exact"/>
    </w:pPr>
    <w:rPr>
      <w:rFonts w:eastAsia="楷体_GB2312" w:cs="Arial"/>
      <w:kern w:val="2"/>
      <w:sz w:val="21"/>
      <w:szCs w:val="29"/>
    </w:rPr>
  </w:style>
  <w:style w:type="character" w:customStyle="1" w:styleId="65">
    <w:name w:val="font01"/>
    <w:qFormat/>
    <w:uiPriority w:val="0"/>
    <w:rPr>
      <w:rFonts w:hint="eastAsia" w:ascii="宋体" w:hAnsi="宋体" w:eastAsia="宋体" w:cs="宋体"/>
      <w:color w:val="000000"/>
      <w:sz w:val="24"/>
      <w:szCs w:val="24"/>
      <w:u w:val="none"/>
    </w:rPr>
  </w:style>
  <w:style w:type="character" w:customStyle="1" w:styleId="66">
    <w:name w:val="批注主题 Char"/>
    <w:basedOn w:val="67"/>
    <w:link w:val="11"/>
    <w:qFormat/>
    <w:uiPriority w:val="0"/>
    <w:rPr>
      <w:rFonts w:ascii="Arial" w:hAnsi="Arial"/>
    </w:rPr>
  </w:style>
  <w:style w:type="character" w:customStyle="1" w:styleId="67">
    <w:name w:val="批注文字 Char"/>
    <w:link w:val="12"/>
    <w:qFormat/>
    <w:uiPriority w:val="0"/>
    <w:rPr>
      <w:rFonts w:ascii="Arial" w:hAnsi="Arial"/>
    </w:rPr>
  </w:style>
  <w:style w:type="character" w:customStyle="1" w:styleId="68">
    <w:name w:val="style1"/>
    <w:basedOn w:val="37"/>
    <w:qFormat/>
    <w:uiPriority w:val="0"/>
  </w:style>
  <w:style w:type="paragraph" w:customStyle="1" w:styleId="69">
    <w:name w:val="正文1"/>
    <w:basedOn w:val="1"/>
    <w:qFormat/>
    <w:uiPriority w:val="0"/>
    <w:pPr>
      <w:ind w:firstLine="600"/>
    </w:pPr>
    <w:rPr>
      <w:rFonts w:ascii="Times New Roman" w:hAnsi="Times New Roman"/>
    </w:rPr>
  </w:style>
  <w:style w:type="paragraph" w:customStyle="1" w:styleId="70">
    <w:name w:val="列出段落3"/>
    <w:basedOn w:val="1"/>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645</Words>
  <Characters>3682</Characters>
  <Lines>30</Lines>
  <Paragraphs>8</Paragraphs>
  <ScaleCrop>false</ScaleCrop>
  <LinksUpToDate>false</LinksUpToDate>
  <CharactersWithSpaces>4319</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2020-11-13T05:21:00Z</dcterms:created>
  <dc:creator>houcg</dc:creator>
  <cp:lastModifiedBy>方栋</cp:lastModifiedBy>
  <cp:lastPrinted>2019-12-02T09:21:00Z</cp:lastPrinted>
  <dcterms:modified xsi:type="dcterms:W3CDTF">2021-01-19T01:52:45Z</dcterms:modified>
  <dc:title>附件4</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