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黑体" w:hAnsi="黑体" w:eastAsia="黑体" w:cs="黑体"/>
          <w:sz w:val="32"/>
          <w:szCs w:val="32"/>
          <w:lang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2</w:t>
      </w:r>
    </w:p>
    <w:p>
      <w:pPr>
        <w:spacing w:line="560" w:lineRule="exact"/>
        <w:jc w:val="center"/>
        <w:rPr>
          <w:rFonts w:eastAsia="黑体"/>
          <w:sz w:val="72"/>
        </w:rPr>
      </w:pPr>
    </w:p>
    <w:p>
      <w:pPr>
        <w:spacing w:line="560" w:lineRule="exact"/>
        <w:jc w:val="center"/>
        <w:rPr>
          <w:rFonts w:eastAsia="黑体"/>
          <w:sz w:val="72"/>
        </w:rPr>
      </w:pPr>
    </w:p>
    <w:p>
      <w:pPr>
        <w:jc w:val="center"/>
        <w:rPr>
          <w:rFonts w:hint="eastAsia" w:ascii="黑体" w:hAnsi="黑体" w:eastAsia="黑体" w:cs="黑体"/>
          <w:sz w:val="36"/>
          <w:szCs w:val="36"/>
        </w:rPr>
      </w:pPr>
      <w:r>
        <w:rPr>
          <w:rFonts w:hint="eastAsia" w:ascii="黑体" w:hAnsi="黑体" w:eastAsia="黑体" w:cs="黑体"/>
          <w:sz w:val="36"/>
          <w:szCs w:val="36"/>
        </w:rPr>
        <w:t>中国银保监会</w:t>
      </w:r>
      <w:r>
        <w:rPr>
          <w:rFonts w:hint="eastAsia" w:ascii="黑体" w:hAnsi="黑体" w:eastAsia="黑体" w:cs="黑体"/>
          <w:sz w:val="36"/>
          <w:szCs w:val="36"/>
          <w:lang w:eastAsia="zh-CN"/>
        </w:rPr>
        <w:t>保险</w:t>
      </w:r>
      <w:r>
        <w:rPr>
          <w:rFonts w:hint="eastAsia" w:ascii="黑体" w:hAnsi="黑体" w:eastAsia="黑体" w:cs="黑体"/>
          <w:sz w:val="36"/>
          <w:szCs w:val="36"/>
        </w:rPr>
        <w:t>业监管数据标准化规范</w:t>
      </w:r>
    </w:p>
    <w:p>
      <w:pPr>
        <w:jc w:val="center"/>
        <w:rPr>
          <w:rFonts w:hint="eastAsia" w:ascii="Times New Roman" w:hAnsi="Times New Roman" w:eastAsia="黑体"/>
          <w:sz w:val="52"/>
          <w:szCs w:val="52"/>
          <w:lang w:eastAsia="zh-CN"/>
        </w:rPr>
      </w:pPr>
      <w:r>
        <w:rPr>
          <w:rFonts w:hint="eastAsia" w:ascii="黑体" w:hAnsi="黑体" w:eastAsia="黑体" w:cs="黑体"/>
          <w:sz w:val="36"/>
          <w:szCs w:val="36"/>
          <w:lang w:eastAsia="zh-CN"/>
        </w:rPr>
        <w:t>（再保险公司版）</w:t>
      </w:r>
    </w:p>
    <w:p>
      <w:pPr>
        <w:jc w:val="center"/>
        <w:rPr>
          <w:rFonts w:hint="eastAsia" w:ascii="Times New Roman" w:hAnsi="Times New Roman"/>
          <w:b/>
          <w:sz w:val="52"/>
          <w:szCs w:val="52"/>
        </w:rPr>
      </w:pPr>
      <w:bookmarkStart w:id="89" w:name="_GoBack"/>
      <w:bookmarkEnd w:id="89"/>
    </w:p>
    <w:p>
      <w:pPr>
        <w:jc w:val="center"/>
        <w:rPr>
          <w:rFonts w:hint="eastAsia" w:ascii="Times New Roman" w:hAnsi="Times New Roman"/>
          <w:b/>
          <w:sz w:val="36"/>
        </w:rPr>
      </w:pPr>
    </w:p>
    <w:p>
      <w:pPr>
        <w:jc w:val="center"/>
        <w:rPr>
          <w:rFonts w:hint="eastAsia" w:ascii="Times New Roman" w:hAnsi="Times New Roman"/>
          <w:b/>
          <w:sz w:val="36"/>
        </w:rPr>
      </w:pPr>
    </w:p>
    <w:p>
      <w:pPr>
        <w:jc w:val="center"/>
        <w:rPr>
          <w:rFonts w:hint="eastAsia" w:ascii="Times New Roman" w:hAnsi="Times New Roman"/>
          <w:b/>
          <w:sz w:val="36"/>
        </w:rPr>
      </w:pPr>
    </w:p>
    <w:p>
      <w:pPr>
        <w:jc w:val="center"/>
        <w:rPr>
          <w:rFonts w:hint="eastAsia" w:ascii="Times New Roman" w:hAnsi="Times New Roman"/>
          <w:b/>
          <w:sz w:val="36"/>
        </w:rPr>
      </w:pPr>
    </w:p>
    <w:p>
      <w:pPr>
        <w:jc w:val="center"/>
        <w:rPr>
          <w:rFonts w:hint="eastAsia" w:ascii="Times New Roman" w:hAnsi="Times New Roman"/>
          <w:b/>
          <w:sz w:val="36"/>
        </w:rPr>
      </w:pPr>
    </w:p>
    <w:p>
      <w:pPr>
        <w:jc w:val="center"/>
        <w:rPr>
          <w:rFonts w:hint="eastAsia" w:ascii="Times New Roman" w:hAnsi="Times New Roman"/>
          <w:b/>
          <w:sz w:val="36"/>
        </w:rPr>
      </w:pPr>
    </w:p>
    <w:p>
      <w:pPr>
        <w:jc w:val="center"/>
        <w:rPr>
          <w:rFonts w:hint="eastAsia" w:ascii="Times New Roman" w:hAnsi="Times New Roman"/>
          <w:b/>
          <w:sz w:val="36"/>
        </w:rPr>
      </w:pPr>
    </w:p>
    <w:p>
      <w:pPr>
        <w:jc w:val="center"/>
        <w:rPr>
          <w:rFonts w:hint="eastAsia" w:ascii="Times New Roman" w:hAnsi="Times New Roman"/>
          <w:b/>
          <w:sz w:val="36"/>
        </w:rPr>
      </w:pPr>
    </w:p>
    <w:p>
      <w:pPr>
        <w:jc w:val="center"/>
        <w:rPr>
          <w:rFonts w:hint="eastAsia" w:ascii="Times New Roman" w:hAnsi="Times New Roman"/>
          <w:b/>
          <w:sz w:val="36"/>
        </w:rPr>
      </w:pPr>
    </w:p>
    <w:p>
      <w:pPr>
        <w:jc w:val="center"/>
        <w:rPr>
          <w:rFonts w:hint="eastAsia" w:ascii="Times New Roman" w:hAnsi="Times New Roman"/>
          <w:b/>
          <w:sz w:val="36"/>
        </w:rPr>
      </w:pPr>
    </w:p>
    <w:p>
      <w:pPr>
        <w:jc w:val="center"/>
        <w:rPr>
          <w:rFonts w:hint="eastAsia" w:ascii="Times New Roman" w:hAnsi="Times New Roman" w:eastAsia="黑体" w:cs="黑体"/>
          <w:bCs/>
          <w:sz w:val="30"/>
          <w:szCs w:val="30"/>
        </w:rPr>
      </w:pPr>
      <w:r>
        <w:rPr>
          <w:rFonts w:hint="eastAsia" w:ascii="仿宋_GB2312" w:hAnsi="仿宋_GB2312" w:eastAsia="仿宋_GB2312" w:cs="仿宋_GB2312"/>
          <w:bCs/>
          <w:sz w:val="30"/>
          <w:szCs w:val="30"/>
        </w:rPr>
        <w:t>20</w:t>
      </w:r>
      <w:r>
        <w:rPr>
          <w:rFonts w:hint="eastAsia" w:ascii="仿宋_GB2312" w:hAnsi="仿宋_GB2312" w:eastAsia="仿宋_GB2312" w:cs="仿宋_GB2312"/>
          <w:bCs/>
          <w:sz w:val="30"/>
          <w:szCs w:val="30"/>
          <w:lang w:val="en-US" w:eastAsia="zh-CN"/>
        </w:rPr>
        <w:t>21</w:t>
      </w:r>
      <w:r>
        <w:rPr>
          <w:rFonts w:hint="eastAsia" w:ascii="仿宋_GB2312" w:hAnsi="仿宋_GB2312" w:eastAsia="仿宋_GB2312" w:cs="仿宋_GB2312"/>
          <w:bCs/>
          <w:sz w:val="30"/>
          <w:szCs w:val="30"/>
        </w:rPr>
        <w:t>年</w:t>
      </w:r>
      <w:r>
        <w:rPr>
          <w:rFonts w:hint="eastAsia" w:ascii="仿宋_GB2312" w:hAnsi="仿宋_GB2312" w:eastAsia="仿宋_GB2312" w:cs="仿宋_GB2312"/>
          <w:bCs/>
          <w:sz w:val="30"/>
          <w:szCs w:val="30"/>
          <w:lang w:val="en-US" w:eastAsia="zh-CN"/>
        </w:rPr>
        <w:t>1</w:t>
      </w:r>
      <w:r>
        <w:rPr>
          <w:rFonts w:hint="eastAsia" w:ascii="仿宋_GB2312" w:hAnsi="仿宋_GB2312" w:eastAsia="仿宋_GB2312" w:cs="仿宋_GB2312"/>
          <w:bCs/>
          <w:sz w:val="30"/>
          <w:szCs w:val="30"/>
        </w:rPr>
        <w:t>月</w:t>
      </w:r>
    </w:p>
    <w:p>
      <w:pPr>
        <w:rPr>
          <w:rFonts w:hint="eastAsia"/>
        </w:rPr>
      </w:pPr>
    </w:p>
    <w:p>
      <w:pPr>
        <w:rPr>
          <w:rFonts w:hint="eastAsia"/>
        </w:rPr>
        <w:sectPr>
          <w:footerReference r:id="rId3" w:type="default"/>
          <w:pgSz w:w="11906" w:h="16838"/>
          <w:pgMar w:top="1440" w:right="1080" w:bottom="1440" w:left="1080" w:header="851" w:footer="992" w:gutter="0"/>
          <w:pgNumType w:fmt="numberInDash" w:start="1"/>
          <w:cols w:space="720" w:num="1"/>
          <w:titlePg/>
          <w:docGrid w:type="lines" w:linePitch="312" w:charSpace="0"/>
        </w:sectPr>
      </w:pPr>
    </w:p>
    <w:p>
      <w:pPr>
        <w:jc w:val="center"/>
        <w:rPr>
          <w:rFonts w:hint="eastAsia" w:ascii="黑体" w:hAnsi="黑体" w:eastAsia="黑体" w:cs="黑体"/>
          <w:bCs/>
          <w:sz w:val="36"/>
          <w:szCs w:val="36"/>
        </w:rPr>
      </w:pPr>
      <w:r>
        <w:rPr>
          <w:rFonts w:hint="eastAsia" w:ascii="黑体" w:hAnsi="黑体" w:eastAsia="黑体" w:cs="黑体"/>
          <w:bCs/>
          <w:sz w:val="36"/>
          <w:szCs w:val="36"/>
        </w:rPr>
        <w:t>目  录</w:t>
      </w:r>
    </w:p>
    <w:p>
      <w:pPr>
        <w:pStyle w:val="11"/>
        <w:tabs>
          <w:tab w:val="right" w:leader="dot" w:pos="8306"/>
        </w:tabs>
      </w:pPr>
      <w:r>
        <w:rPr>
          <w:rFonts w:ascii="Times New Roman" w:hAnsi="Times New Roman"/>
          <w:szCs w:val="24"/>
        </w:rPr>
        <w:fldChar w:fldCharType="begin"/>
      </w:r>
      <w:r>
        <w:rPr>
          <w:rFonts w:ascii="Times New Roman" w:hAnsi="Times New Roman"/>
          <w:szCs w:val="24"/>
        </w:rPr>
        <w:instrText xml:space="preserve">TOC \o "1-3" \h \u </w:instrText>
      </w:r>
      <w:r>
        <w:rPr>
          <w:rFonts w:ascii="Times New Roman" w:hAnsi="Times New Roman"/>
          <w:szCs w:val="24"/>
        </w:rPr>
        <w:fldChar w:fldCharType="separate"/>
      </w:r>
      <w:r>
        <w:rPr>
          <w:rFonts w:ascii="Times New Roman" w:hAnsi="Times New Roman"/>
          <w:szCs w:val="24"/>
        </w:rPr>
        <w:fldChar w:fldCharType="begin"/>
      </w:r>
      <w:r>
        <w:rPr>
          <w:rFonts w:ascii="Times New Roman" w:hAnsi="Times New Roman"/>
          <w:szCs w:val="24"/>
        </w:rPr>
        <w:instrText xml:space="preserve"> HYPERLINK \l _Toc5306 </w:instrText>
      </w:r>
      <w:r>
        <w:rPr>
          <w:rFonts w:ascii="Times New Roman" w:hAnsi="Times New Roman"/>
          <w:szCs w:val="24"/>
        </w:rPr>
        <w:fldChar w:fldCharType="separate"/>
      </w:r>
      <w:r>
        <w:rPr>
          <w:rFonts w:hint="eastAsia"/>
          <w:lang w:eastAsia="zh-CN"/>
        </w:rPr>
        <w:t>一</w:t>
      </w:r>
      <w:r>
        <w:t>、数据结构</w:t>
      </w:r>
      <w:r>
        <w:tab/>
      </w:r>
      <w:r>
        <w:fldChar w:fldCharType="begin"/>
      </w:r>
      <w:r>
        <w:instrText xml:space="preserve"> PAGEREF _Toc5306 </w:instrText>
      </w:r>
      <w:r>
        <w:fldChar w:fldCharType="separate"/>
      </w:r>
      <w:r>
        <w:t>1</w:t>
      </w:r>
      <w:r>
        <w:fldChar w:fldCharType="end"/>
      </w:r>
      <w:r>
        <w:rPr>
          <w:rFonts w:ascii="Times New Roman" w:hAnsi="Times New Roman"/>
          <w:szCs w:val="24"/>
        </w:rPr>
        <w:fldChar w:fldCharType="end"/>
      </w:r>
    </w:p>
    <w:p>
      <w:pPr>
        <w:pStyle w:val="13"/>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_Toc9505 </w:instrText>
      </w:r>
      <w:r>
        <w:rPr>
          <w:rFonts w:ascii="Times New Roman" w:hAnsi="Times New Roman"/>
          <w:szCs w:val="24"/>
        </w:rPr>
        <w:fldChar w:fldCharType="separate"/>
      </w:r>
      <w:r>
        <w:t>（一）数据结构单元</w:t>
      </w:r>
      <w:r>
        <w:tab/>
      </w:r>
      <w:r>
        <w:fldChar w:fldCharType="begin"/>
      </w:r>
      <w:r>
        <w:instrText xml:space="preserve"> PAGEREF _Toc9505 </w:instrText>
      </w:r>
      <w:r>
        <w:fldChar w:fldCharType="separate"/>
      </w:r>
      <w:r>
        <w:t>1</w:t>
      </w:r>
      <w:r>
        <w:fldChar w:fldCharType="end"/>
      </w:r>
      <w:r>
        <w:rPr>
          <w:rFonts w:ascii="Times New Roman" w:hAnsi="Times New Roman"/>
          <w:szCs w:val="24"/>
        </w:rPr>
        <w:fldChar w:fldCharType="end"/>
      </w:r>
    </w:p>
    <w:p>
      <w:pPr>
        <w:pStyle w:val="13"/>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_Toc1686 </w:instrText>
      </w:r>
      <w:r>
        <w:rPr>
          <w:rFonts w:ascii="Times New Roman" w:hAnsi="Times New Roman"/>
          <w:szCs w:val="24"/>
        </w:rPr>
        <w:fldChar w:fldCharType="separate"/>
      </w:r>
      <w:r>
        <w:rPr>
          <w:szCs w:val="22"/>
        </w:rPr>
        <w:t>（二）数据内容及格式</w:t>
      </w:r>
      <w:r>
        <w:tab/>
      </w:r>
      <w:r>
        <w:fldChar w:fldCharType="begin"/>
      </w:r>
      <w:r>
        <w:instrText xml:space="preserve"> PAGEREF _Toc1686 </w:instrText>
      </w:r>
      <w:r>
        <w:fldChar w:fldCharType="separate"/>
      </w:r>
      <w:r>
        <w:t>1</w:t>
      </w:r>
      <w:r>
        <w:fldChar w:fldCharType="end"/>
      </w:r>
      <w:r>
        <w:rPr>
          <w:rFonts w:ascii="Times New Roman" w:hAnsi="Times New Roman"/>
          <w:szCs w:val="24"/>
        </w:rPr>
        <w:fldChar w:fldCharType="end"/>
      </w:r>
    </w:p>
    <w:p>
      <w:pPr>
        <w:pStyle w:val="13"/>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_Toc4329 </w:instrText>
      </w:r>
      <w:r>
        <w:rPr>
          <w:rFonts w:ascii="Times New Roman" w:hAnsi="Times New Roman"/>
          <w:szCs w:val="24"/>
        </w:rPr>
        <w:fldChar w:fldCharType="separate"/>
      </w:r>
      <w:r>
        <w:rPr>
          <w:rFonts w:hint="eastAsia"/>
          <w:szCs w:val="22"/>
        </w:rPr>
        <w:t>（</w:t>
      </w:r>
      <w:r>
        <w:rPr>
          <w:rFonts w:hint="eastAsia"/>
          <w:szCs w:val="22"/>
          <w:lang w:eastAsia="zh-CN"/>
        </w:rPr>
        <w:t>三</w:t>
      </w:r>
      <w:r>
        <w:rPr>
          <w:rFonts w:hint="eastAsia"/>
          <w:szCs w:val="22"/>
        </w:rPr>
        <w:t>）数据结构</w:t>
      </w:r>
      <w:r>
        <w:tab/>
      </w:r>
      <w:r>
        <w:fldChar w:fldCharType="begin"/>
      </w:r>
      <w:r>
        <w:instrText xml:space="preserve"> PAGEREF _Toc4329 </w:instrText>
      </w:r>
      <w:r>
        <w:fldChar w:fldCharType="separate"/>
      </w:r>
      <w:r>
        <w:t>2</w:t>
      </w:r>
      <w:r>
        <w:fldChar w:fldCharType="end"/>
      </w:r>
      <w:r>
        <w:rPr>
          <w:rFonts w:ascii="Times New Roman" w:hAnsi="Times New Roman"/>
          <w:szCs w:val="24"/>
        </w:rPr>
        <w:fldChar w:fldCharType="end"/>
      </w:r>
    </w:p>
    <w:p>
      <w:pPr>
        <w:pStyle w:val="8"/>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_Toc29130 </w:instrText>
      </w:r>
      <w:r>
        <w:rPr>
          <w:rFonts w:ascii="Times New Roman" w:hAnsi="Times New Roman"/>
          <w:szCs w:val="24"/>
        </w:rPr>
        <w:fldChar w:fldCharType="separate"/>
      </w:r>
      <w:r>
        <w:rPr>
          <w:rFonts w:hint="default"/>
        </w:rPr>
        <w:t xml:space="preserve">1. </w:t>
      </w:r>
      <w:r>
        <w:t>公共信息</w:t>
      </w:r>
      <w:r>
        <w:tab/>
      </w:r>
      <w:r>
        <w:fldChar w:fldCharType="begin"/>
      </w:r>
      <w:r>
        <w:instrText xml:space="preserve"> PAGEREF _Toc29130 </w:instrText>
      </w:r>
      <w:r>
        <w:fldChar w:fldCharType="separate"/>
      </w:r>
      <w:r>
        <w:t>2</w:t>
      </w:r>
      <w:r>
        <w:fldChar w:fldCharType="end"/>
      </w:r>
      <w:r>
        <w:rPr>
          <w:rFonts w:ascii="Times New Roman" w:hAnsi="Times New Roman"/>
          <w:szCs w:val="24"/>
        </w:rPr>
        <w:fldChar w:fldCharType="end"/>
      </w:r>
    </w:p>
    <w:p>
      <w:pPr>
        <w:pStyle w:val="8"/>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_Toc27594 </w:instrText>
      </w:r>
      <w:r>
        <w:rPr>
          <w:rFonts w:ascii="Times New Roman" w:hAnsi="Times New Roman"/>
          <w:szCs w:val="24"/>
        </w:rPr>
        <w:fldChar w:fldCharType="separate"/>
      </w:r>
      <w:r>
        <w:rPr>
          <w:rFonts w:hint="default"/>
          <w:szCs w:val="22"/>
          <w:lang w:eastAsia="zh-CN"/>
        </w:rPr>
        <w:t xml:space="preserve">2. </w:t>
      </w:r>
      <w:r>
        <w:rPr>
          <w:rFonts w:hint="eastAsia"/>
          <w:szCs w:val="22"/>
          <w:lang w:eastAsia="zh-CN"/>
        </w:rPr>
        <w:t>会计记账信息</w:t>
      </w:r>
      <w:r>
        <w:tab/>
      </w:r>
      <w:r>
        <w:fldChar w:fldCharType="begin"/>
      </w:r>
      <w:r>
        <w:instrText xml:space="preserve"> PAGEREF _Toc27594 </w:instrText>
      </w:r>
      <w:r>
        <w:fldChar w:fldCharType="separate"/>
      </w:r>
      <w:r>
        <w:t>19</w:t>
      </w:r>
      <w:r>
        <w:fldChar w:fldCharType="end"/>
      </w:r>
      <w:r>
        <w:rPr>
          <w:rFonts w:ascii="Times New Roman" w:hAnsi="Times New Roman"/>
          <w:szCs w:val="24"/>
        </w:rPr>
        <w:fldChar w:fldCharType="end"/>
      </w:r>
    </w:p>
    <w:p>
      <w:pPr>
        <w:pStyle w:val="8"/>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_Toc4941 </w:instrText>
      </w:r>
      <w:r>
        <w:rPr>
          <w:rFonts w:ascii="Times New Roman" w:hAnsi="Times New Roman"/>
          <w:szCs w:val="24"/>
        </w:rPr>
        <w:fldChar w:fldCharType="separate"/>
      </w:r>
      <w:r>
        <w:rPr>
          <w:rFonts w:hint="default"/>
          <w:szCs w:val="22"/>
          <w:lang w:eastAsia="zh-CN"/>
        </w:rPr>
        <w:t xml:space="preserve">3. </w:t>
      </w:r>
      <w:r>
        <w:rPr>
          <w:rFonts w:hint="eastAsia"/>
          <w:szCs w:val="22"/>
          <w:lang w:eastAsia="zh-CN"/>
        </w:rPr>
        <w:t>再保业务信息</w:t>
      </w:r>
      <w:r>
        <w:tab/>
      </w:r>
      <w:r>
        <w:fldChar w:fldCharType="begin"/>
      </w:r>
      <w:r>
        <w:instrText xml:space="preserve"> PAGEREF _Toc4941 </w:instrText>
      </w:r>
      <w:r>
        <w:fldChar w:fldCharType="separate"/>
      </w:r>
      <w:r>
        <w:t>26</w:t>
      </w:r>
      <w:r>
        <w:fldChar w:fldCharType="end"/>
      </w:r>
      <w:r>
        <w:rPr>
          <w:rFonts w:ascii="Times New Roman" w:hAnsi="Times New Roman"/>
          <w:szCs w:val="24"/>
        </w:rPr>
        <w:fldChar w:fldCharType="end"/>
      </w:r>
    </w:p>
    <w:p>
      <w:pPr>
        <w:pStyle w:val="8"/>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_Toc23018 </w:instrText>
      </w:r>
      <w:r>
        <w:rPr>
          <w:rFonts w:ascii="Times New Roman" w:hAnsi="Times New Roman"/>
          <w:szCs w:val="24"/>
        </w:rPr>
        <w:fldChar w:fldCharType="separate"/>
      </w:r>
      <w:r>
        <w:rPr>
          <w:rFonts w:hint="default"/>
          <w:szCs w:val="22"/>
          <w:lang w:eastAsia="zh-CN"/>
        </w:rPr>
        <w:t xml:space="preserve">4. </w:t>
      </w:r>
      <w:r>
        <w:rPr>
          <w:rFonts w:hint="eastAsia"/>
          <w:szCs w:val="22"/>
          <w:lang w:eastAsia="zh-CN"/>
        </w:rPr>
        <w:t>投资业务信息</w:t>
      </w:r>
      <w:r>
        <w:tab/>
      </w:r>
      <w:r>
        <w:fldChar w:fldCharType="begin"/>
      </w:r>
      <w:r>
        <w:instrText xml:space="preserve"> PAGEREF _Toc23018 </w:instrText>
      </w:r>
      <w:r>
        <w:fldChar w:fldCharType="separate"/>
      </w:r>
      <w:r>
        <w:t>37</w:t>
      </w:r>
      <w:r>
        <w:fldChar w:fldCharType="end"/>
      </w:r>
      <w:r>
        <w:rPr>
          <w:rFonts w:ascii="Times New Roman" w:hAnsi="Times New Roman"/>
          <w:szCs w:val="24"/>
        </w:rPr>
        <w:fldChar w:fldCharType="end"/>
      </w:r>
    </w:p>
    <w:p>
      <w:pPr>
        <w:pStyle w:val="8"/>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_Toc5524 </w:instrText>
      </w:r>
      <w:r>
        <w:rPr>
          <w:rFonts w:ascii="Times New Roman" w:hAnsi="Times New Roman"/>
          <w:szCs w:val="24"/>
        </w:rPr>
        <w:fldChar w:fldCharType="separate"/>
      </w:r>
      <w:r>
        <w:rPr>
          <w:rFonts w:hint="default"/>
          <w:szCs w:val="22"/>
          <w:lang w:eastAsia="zh-CN"/>
        </w:rPr>
        <w:t xml:space="preserve">5. </w:t>
      </w:r>
      <w:r>
        <w:rPr>
          <w:rFonts w:hint="eastAsia"/>
          <w:szCs w:val="22"/>
          <w:lang w:eastAsia="zh-CN"/>
        </w:rPr>
        <w:t>关联交易信息</w:t>
      </w:r>
      <w:r>
        <w:tab/>
      </w:r>
      <w:r>
        <w:fldChar w:fldCharType="begin"/>
      </w:r>
      <w:r>
        <w:instrText xml:space="preserve"> PAGEREF _Toc5524 </w:instrText>
      </w:r>
      <w:r>
        <w:fldChar w:fldCharType="separate"/>
      </w:r>
      <w:r>
        <w:t>48</w:t>
      </w:r>
      <w:r>
        <w:fldChar w:fldCharType="end"/>
      </w:r>
      <w:r>
        <w:rPr>
          <w:rFonts w:ascii="Times New Roman" w:hAnsi="Times New Roman"/>
          <w:szCs w:val="24"/>
        </w:rPr>
        <w:fldChar w:fldCharType="end"/>
      </w:r>
    </w:p>
    <w:p>
      <w:pPr>
        <w:pStyle w:val="11"/>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_Toc8003 </w:instrText>
      </w:r>
      <w:r>
        <w:rPr>
          <w:rFonts w:ascii="Times New Roman" w:hAnsi="Times New Roman"/>
          <w:szCs w:val="24"/>
        </w:rPr>
        <w:fldChar w:fldCharType="separate"/>
      </w:r>
      <w:r>
        <w:rPr>
          <w:rFonts w:hint="default"/>
          <w:lang w:val="en-US" w:eastAsia="zh-CN"/>
        </w:rPr>
        <w:t>二、数据元</w:t>
      </w:r>
      <w:r>
        <w:tab/>
      </w:r>
      <w:r>
        <w:fldChar w:fldCharType="begin"/>
      </w:r>
      <w:r>
        <w:instrText xml:space="preserve"> PAGEREF _Toc8003 </w:instrText>
      </w:r>
      <w:r>
        <w:fldChar w:fldCharType="separate"/>
      </w:r>
      <w:r>
        <w:t>60</w:t>
      </w:r>
      <w:r>
        <w:fldChar w:fldCharType="end"/>
      </w:r>
      <w:r>
        <w:rPr>
          <w:rFonts w:ascii="Times New Roman" w:hAnsi="Times New Roman"/>
          <w:szCs w:val="24"/>
        </w:rPr>
        <w:fldChar w:fldCharType="end"/>
      </w:r>
    </w:p>
    <w:p>
      <w:pPr>
        <w:pStyle w:val="13"/>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_Toc19105 </w:instrText>
      </w:r>
      <w:r>
        <w:rPr>
          <w:rFonts w:ascii="Times New Roman" w:hAnsi="Times New Roman"/>
          <w:szCs w:val="24"/>
        </w:rPr>
        <w:fldChar w:fldCharType="separate"/>
      </w:r>
      <w:r>
        <w:rPr>
          <w:rFonts w:hint="default"/>
          <w:lang w:val="en-US" w:eastAsia="zh-CN"/>
        </w:rPr>
        <w:t>（一）数据元描述规则</w:t>
      </w:r>
      <w:r>
        <w:tab/>
      </w:r>
      <w:r>
        <w:fldChar w:fldCharType="begin"/>
      </w:r>
      <w:r>
        <w:instrText xml:space="preserve"> PAGEREF _Toc19105 </w:instrText>
      </w:r>
      <w:r>
        <w:fldChar w:fldCharType="separate"/>
      </w:r>
      <w:r>
        <w:t>60</w:t>
      </w:r>
      <w:r>
        <w:fldChar w:fldCharType="end"/>
      </w:r>
      <w:r>
        <w:rPr>
          <w:rFonts w:ascii="Times New Roman" w:hAnsi="Times New Roman"/>
          <w:szCs w:val="24"/>
        </w:rPr>
        <w:fldChar w:fldCharType="end"/>
      </w:r>
    </w:p>
    <w:p>
      <w:pPr>
        <w:pStyle w:val="13"/>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_Toc13305 </w:instrText>
      </w:r>
      <w:r>
        <w:rPr>
          <w:rFonts w:ascii="Times New Roman" w:hAnsi="Times New Roman"/>
          <w:szCs w:val="24"/>
        </w:rPr>
        <w:fldChar w:fldCharType="separate"/>
      </w:r>
      <w:r>
        <w:rPr>
          <w:rFonts w:hint="default"/>
          <w:lang w:val="en-US" w:eastAsia="zh-CN"/>
        </w:rPr>
        <w:t>（二）数据元细目</w:t>
      </w:r>
      <w:r>
        <w:tab/>
      </w:r>
      <w:r>
        <w:fldChar w:fldCharType="begin"/>
      </w:r>
      <w:r>
        <w:instrText xml:space="preserve"> PAGEREF _Toc13305 </w:instrText>
      </w:r>
      <w:r>
        <w:fldChar w:fldCharType="separate"/>
      </w:r>
      <w:r>
        <w:t>61</w:t>
      </w:r>
      <w:r>
        <w:fldChar w:fldCharType="end"/>
      </w:r>
      <w:r>
        <w:rPr>
          <w:rFonts w:ascii="Times New Roman" w:hAnsi="Times New Roman"/>
          <w:szCs w:val="24"/>
        </w:rPr>
        <w:fldChar w:fldCharType="end"/>
      </w:r>
    </w:p>
    <w:p>
      <w:pPr>
        <w:pStyle w:val="8"/>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_Toc10117 </w:instrText>
      </w:r>
      <w:r>
        <w:rPr>
          <w:rFonts w:ascii="Times New Roman" w:hAnsi="Times New Roman"/>
          <w:szCs w:val="24"/>
        </w:rPr>
        <w:fldChar w:fldCharType="separate"/>
      </w:r>
      <w:r>
        <w:rPr>
          <w:rFonts w:hint="eastAsia"/>
          <w:szCs w:val="22"/>
          <w:lang w:val="en-US" w:eastAsia="zh-CN"/>
        </w:rPr>
        <w:t>1.公共信息类</w:t>
      </w:r>
      <w:r>
        <w:tab/>
      </w:r>
      <w:r>
        <w:fldChar w:fldCharType="begin"/>
      </w:r>
      <w:r>
        <w:instrText xml:space="preserve"> PAGEREF _Toc10117 </w:instrText>
      </w:r>
      <w:r>
        <w:fldChar w:fldCharType="separate"/>
      </w:r>
      <w:r>
        <w:t>61</w:t>
      </w:r>
      <w:r>
        <w:fldChar w:fldCharType="end"/>
      </w:r>
      <w:r>
        <w:rPr>
          <w:rFonts w:ascii="Times New Roman" w:hAnsi="Times New Roman"/>
          <w:szCs w:val="24"/>
        </w:rPr>
        <w:fldChar w:fldCharType="end"/>
      </w:r>
    </w:p>
    <w:p>
      <w:pPr>
        <w:pStyle w:val="8"/>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_Toc10324 </w:instrText>
      </w:r>
      <w:r>
        <w:rPr>
          <w:rFonts w:ascii="Times New Roman" w:hAnsi="Times New Roman"/>
          <w:szCs w:val="24"/>
        </w:rPr>
        <w:fldChar w:fldCharType="separate"/>
      </w:r>
      <w:r>
        <w:rPr>
          <w:rFonts w:hint="eastAsia"/>
          <w:szCs w:val="22"/>
          <w:lang w:val="en-US" w:eastAsia="zh-CN"/>
        </w:rPr>
        <w:t>2.会计记账信息类</w:t>
      </w:r>
      <w:r>
        <w:tab/>
      </w:r>
      <w:r>
        <w:fldChar w:fldCharType="begin"/>
      </w:r>
      <w:r>
        <w:instrText xml:space="preserve"> PAGEREF _Toc10324 </w:instrText>
      </w:r>
      <w:r>
        <w:fldChar w:fldCharType="separate"/>
      </w:r>
      <w:r>
        <w:t>65</w:t>
      </w:r>
      <w:r>
        <w:fldChar w:fldCharType="end"/>
      </w:r>
      <w:r>
        <w:rPr>
          <w:rFonts w:ascii="Times New Roman" w:hAnsi="Times New Roman"/>
          <w:szCs w:val="24"/>
        </w:rPr>
        <w:fldChar w:fldCharType="end"/>
      </w:r>
    </w:p>
    <w:p>
      <w:pPr>
        <w:pStyle w:val="8"/>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_Toc5379 </w:instrText>
      </w:r>
      <w:r>
        <w:rPr>
          <w:rFonts w:ascii="Times New Roman" w:hAnsi="Times New Roman"/>
          <w:szCs w:val="24"/>
        </w:rPr>
        <w:fldChar w:fldCharType="separate"/>
      </w:r>
      <w:r>
        <w:rPr>
          <w:rFonts w:hint="eastAsia"/>
          <w:szCs w:val="22"/>
          <w:lang w:val="en-US" w:eastAsia="zh-CN"/>
        </w:rPr>
        <w:t>3.再保业务信息类</w:t>
      </w:r>
      <w:r>
        <w:tab/>
      </w:r>
      <w:r>
        <w:fldChar w:fldCharType="begin"/>
      </w:r>
      <w:r>
        <w:instrText xml:space="preserve"> PAGEREF _Toc5379 </w:instrText>
      </w:r>
      <w:r>
        <w:fldChar w:fldCharType="separate"/>
      </w:r>
      <w:r>
        <w:t>65</w:t>
      </w:r>
      <w:r>
        <w:fldChar w:fldCharType="end"/>
      </w:r>
      <w:r>
        <w:rPr>
          <w:rFonts w:ascii="Times New Roman" w:hAnsi="Times New Roman"/>
          <w:szCs w:val="24"/>
        </w:rPr>
        <w:fldChar w:fldCharType="end"/>
      </w:r>
    </w:p>
    <w:p>
      <w:pPr>
        <w:pStyle w:val="8"/>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_Toc15701 </w:instrText>
      </w:r>
      <w:r>
        <w:rPr>
          <w:rFonts w:ascii="Times New Roman" w:hAnsi="Times New Roman"/>
          <w:szCs w:val="24"/>
        </w:rPr>
        <w:fldChar w:fldCharType="separate"/>
      </w:r>
      <w:r>
        <w:rPr>
          <w:rFonts w:hint="eastAsia"/>
          <w:szCs w:val="22"/>
          <w:lang w:val="en-US" w:eastAsia="zh-CN"/>
        </w:rPr>
        <w:t>4.投资业务信息类</w:t>
      </w:r>
      <w:r>
        <w:tab/>
      </w:r>
      <w:r>
        <w:fldChar w:fldCharType="begin"/>
      </w:r>
      <w:r>
        <w:instrText xml:space="preserve"> PAGEREF _Toc15701 </w:instrText>
      </w:r>
      <w:r>
        <w:fldChar w:fldCharType="separate"/>
      </w:r>
      <w:r>
        <w:t>66</w:t>
      </w:r>
      <w:r>
        <w:fldChar w:fldCharType="end"/>
      </w:r>
      <w:r>
        <w:rPr>
          <w:rFonts w:ascii="Times New Roman" w:hAnsi="Times New Roman"/>
          <w:szCs w:val="24"/>
        </w:rPr>
        <w:fldChar w:fldCharType="end"/>
      </w:r>
    </w:p>
    <w:p>
      <w:pPr>
        <w:pStyle w:val="8"/>
        <w:tabs>
          <w:tab w:val="right" w:leader="dot" w:pos="8306"/>
        </w:tabs>
      </w:pPr>
      <w:r>
        <w:rPr>
          <w:rFonts w:ascii="Times New Roman" w:hAnsi="Times New Roman"/>
          <w:szCs w:val="24"/>
        </w:rPr>
        <w:fldChar w:fldCharType="begin"/>
      </w:r>
      <w:r>
        <w:rPr>
          <w:rFonts w:ascii="Times New Roman" w:hAnsi="Times New Roman"/>
          <w:szCs w:val="24"/>
        </w:rPr>
        <w:instrText xml:space="preserve"> HYPERLINK \l _Toc1586 </w:instrText>
      </w:r>
      <w:r>
        <w:rPr>
          <w:rFonts w:ascii="Times New Roman" w:hAnsi="Times New Roman"/>
          <w:szCs w:val="24"/>
        </w:rPr>
        <w:fldChar w:fldCharType="separate"/>
      </w:r>
      <w:r>
        <w:rPr>
          <w:rFonts w:hint="eastAsia"/>
          <w:szCs w:val="22"/>
          <w:lang w:val="en-US" w:eastAsia="zh-CN"/>
        </w:rPr>
        <w:t>5.关联交易信息类</w:t>
      </w:r>
      <w:r>
        <w:tab/>
      </w:r>
      <w:r>
        <w:fldChar w:fldCharType="begin"/>
      </w:r>
      <w:r>
        <w:instrText xml:space="preserve"> PAGEREF _Toc1586 </w:instrText>
      </w:r>
      <w:r>
        <w:fldChar w:fldCharType="separate"/>
      </w:r>
      <w:r>
        <w:t>66</w:t>
      </w:r>
      <w:r>
        <w:fldChar w:fldCharType="end"/>
      </w:r>
      <w:r>
        <w:rPr>
          <w:rFonts w:ascii="Times New Roman" w:hAnsi="Times New Roman"/>
          <w:szCs w:val="24"/>
        </w:rPr>
        <w:fldChar w:fldCharType="end"/>
      </w:r>
    </w:p>
    <w:p>
      <w:pPr>
        <w:pStyle w:val="17"/>
        <w:pageBreakBefore w:val="0"/>
        <w:widowControl w:val="0"/>
        <w:kinsoku/>
        <w:wordWrap/>
        <w:overflowPunct/>
        <w:topLinePunct w:val="0"/>
        <w:autoSpaceDE/>
        <w:autoSpaceDN/>
        <w:bidi w:val="0"/>
        <w:adjustRightInd/>
        <w:snapToGrid/>
        <w:spacing w:line="560" w:lineRule="exact"/>
        <w:ind w:firstLine="600" w:firstLineChars="200"/>
        <w:textAlignment w:val="auto"/>
        <w:rPr>
          <w:rFonts w:ascii="Times New Roman" w:hAnsi="Times New Roman"/>
          <w:szCs w:val="24"/>
        </w:rPr>
      </w:pPr>
      <w:r>
        <w:rPr>
          <w:rFonts w:ascii="Times New Roman" w:hAnsi="Times New Roman"/>
          <w:szCs w:val="24"/>
        </w:rPr>
        <w:fldChar w:fldCharType="end"/>
      </w:r>
    </w:p>
    <w:p>
      <w:pPr>
        <w:pStyle w:val="17"/>
        <w:pageBreakBefore w:val="0"/>
        <w:widowControl w:val="0"/>
        <w:kinsoku/>
        <w:wordWrap/>
        <w:overflowPunct/>
        <w:topLinePunct w:val="0"/>
        <w:autoSpaceDE/>
        <w:autoSpaceDN/>
        <w:bidi w:val="0"/>
        <w:adjustRightInd/>
        <w:snapToGrid/>
        <w:spacing w:line="560" w:lineRule="exact"/>
        <w:ind w:firstLine="600" w:firstLineChars="200"/>
        <w:textAlignment w:val="auto"/>
        <w:sectPr>
          <w:pgSz w:w="11906" w:h="16838"/>
          <w:pgMar w:top="1440" w:right="1800" w:bottom="1440" w:left="1800" w:header="851" w:footer="992" w:gutter="0"/>
          <w:cols w:space="425" w:num="1"/>
          <w:docGrid w:type="lines" w:linePitch="312" w:charSpace="0"/>
        </w:sectPr>
      </w:pPr>
    </w:p>
    <w:p>
      <w:pPr>
        <w:pStyle w:val="17"/>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eastAsia="仿宋_GB2312"/>
          <w:lang w:eastAsia="zh-CN"/>
        </w:rPr>
      </w:pPr>
      <w:r>
        <w:t>本规范通过明确</w:t>
      </w:r>
      <w:r>
        <w:rPr>
          <w:rFonts w:hint="eastAsia"/>
          <w:lang w:eastAsia="zh-CN"/>
        </w:rPr>
        <w:t>再保险</w:t>
      </w:r>
      <w:r>
        <w:t>数据的业务属性和技术属性，将</w:t>
      </w:r>
      <w:r>
        <w:rPr>
          <w:rFonts w:hint="eastAsia"/>
          <w:lang w:eastAsia="zh-CN"/>
        </w:rPr>
        <w:t>再保险公司</w:t>
      </w:r>
      <w:r>
        <w:t>数据结构映射成统一的</w:t>
      </w:r>
      <w:r>
        <w:rPr>
          <w:rFonts w:hint="eastAsia"/>
        </w:rPr>
        <w:t>监管</w:t>
      </w:r>
      <w:r>
        <w:t>标准</w:t>
      </w:r>
      <w:r>
        <w:rPr>
          <w:rFonts w:hint="eastAsia"/>
        </w:rPr>
        <w:t>化</w:t>
      </w:r>
      <w:r>
        <w:t>数据</w:t>
      </w:r>
      <w:r>
        <w:rPr>
          <w:rFonts w:hint="eastAsia"/>
        </w:rPr>
        <w:t>格式</w:t>
      </w:r>
      <w:r>
        <w:t>，以实现</w:t>
      </w:r>
      <w:r>
        <w:rPr>
          <w:rFonts w:hint="eastAsia"/>
        </w:rPr>
        <w:t>监管</w:t>
      </w:r>
      <w:r>
        <w:t>标准</w:t>
      </w:r>
      <w:r>
        <w:rPr>
          <w:rFonts w:hint="eastAsia"/>
        </w:rPr>
        <w:t>化</w:t>
      </w:r>
      <w:r>
        <w:t>数据的采集和处理。数据源范围包括了</w:t>
      </w:r>
      <w:r>
        <w:rPr>
          <w:rFonts w:hint="eastAsia"/>
          <w:lang w:eastAsia="zh-CN"/>
        </w:rPr>
        <w:t>公共信息、</w:t>
      </w:r>
      <w:r>
        <w:t>会计记账、</w:t>
      </w:r>
      <w:r>
        <w:rPr>
          <w:rFonts w:hint="eastAsia"/>
          <w:lang w:eastAsia="zh-CN"/>
        </w:rPr>
        <w:t>再保险业务、投资、关联交易等</w:t>
      </w:r>
      <w:r>
        <w:t>信息，形成相互关联、综合运用的数据体系，便于对相关数据进行挖掘分析。监管标准化数据提供</w:t>
      </w:r>
      <w:r>
        <w:rPr>
          <w:rFonts w:hint="eastAsia"/>
          <w:lang w:eastAsia="zh-CN"/>
        </w:rPr>
        <w:t>再保险</w:t>
      </w:r>
      <w:r>
        <w:t>业务管理所需基本数据类型，便于</w:t>
      </w:r>
      <w:r>
        <w:rPr>
          <w:rFonts w:hint="eastAsia"/>
          <w:lang w:eastAsia="zh-CN"/>
        </w:rPr>
        <w:t>再保险公司</w:t>
      </w:r>
      <w:r>
        <w:t>对照标准化监管数据，分析自身系统架构与数据完整性、准确性、及时性，从而为</w:t>
      </w:r>
      <w:r>
        <w:rPr>
          <w:rFonts w:hint="eastAsia"/>
          <w:lang w:eastAsia="zh-CN"/>
        </w:rPr>
        <w:t>再保险公司</w:t>
      </w:r>
      <w:r>
        <w:t>完善风险管理与内部控制，提升数据治理水平提供有效途径。</w:t>
      </w:r>
      <w:bookmarkStart w:id="0" w:name="_Toc6686"/>
    </w:p>
    <w:bookmarkEnd w:id="0"/>
    <w:p>
      <w:pPr>
        <w:pStyle w:val="2"/>
        <w:pageBreakBefore w:val="0"/>
        <w:widowControl w:val="0"/>
        <w:kinsoku/>
        <w:wordWrap/>
        <w:overflowPunct/>
        <w:topLinePunct w:val="0"/>
        <w:autoSpaceDE/>
        <w:autoSpaceDN/>
        <w:bidi w:val="0"/>
        <w:adjustRightInd/>
        <w:snapToGrid/>
        <w:spacing w:before="0" w:beforeLines="0" w:after="0" w:afterLines="0" w:line="560" w:lineRule="exact"/>
        <w:ind w:firstLine="600" w:firstLineChars="200"/>
        <w:textAlignment w:val="auto"/>
      </w:pPr>
      <w:bookmarkStart w:id="1" w:name="_Toc22885"/>
      <w:bookmarkStart w:id="2" w:name="_Toc3506"/>
      <w:bookmarkStart w:id="3" w:name="_Toc11715"/>
      <w:bookmarkStart w:id="4" w:name="_Toc18398"/>
      <w:bookmarkStart w:id="5" w:name="_Toc12409"/>
      <w:bookmarkStart w:id="6" w:name="_Toc5306"/>
      <w:bookmarkStart w:id="7" w:name="_Toc9813"/>
      <w:bookmarkStart w:id="8" w:name="_Toc11848"/>
      <w:bookmarkStart w:id="9" w:name="_Toc8212"/>
      <w:bookmarkStart w:id="10" w:name="_Toc12877"/>
      <w:r>
        <w:rPr>
          <w:rFonts w:hint="eastAsia"/>
          <w:lang w:eastAsia="zh-CN"/>
        </w:rPr>
        <w:t>一</w:t>
      </w:r>
      <w:r>
        <w:t>、数据结构</w:t>
      </w:r>
      <w:bookmarkEnd w:id="1"/>
      <w:bookmarkEnd w:id="2"/>
      <w:bookmarkEnd w:id="3"/>
      <w:bookmarkEnd w:id="4"/>
      <w:bookmarkEnd w:id="5"/>
      <w:bookmarkEnd w:id="6"/>
      <w:bookmarkEnd w:id="7"/>
      <w:bookmarkEnd w:id="8"/>
      <w:bookmarkEnd w:id="9"/>
      <w:bookmarkEnd w:id="10"/>
    </w:p>
    <w:p>
      <w:pPr>
        <w:pStyle w:val="3"/>
        <w:pageBreakBefore w:val="0"/>
        <w:widowControl w:val="0"/>
        <w:kinsoku/>
        <w:wordWrap/>
        <w:overflowPunct/>
        <w:topLinePunct w:val="0"/>
        <w:autoSpaceDE/>
        <w:autoSpaceDN/>
        <w:bidi w:val="0"/>
        <w:adjustRightInd/>
        <w:snapToGrid/>
        <w:spacing w:before="0" w:beforeLines="0" w:after="0" w:afterLines="0" w:line="560" w:lineRule="exact"/>
        <w:ind w:firstLine="602" w:firstLineChars="200"/>
        <w:textAlignment w:val="auto"/>
        <w:rPr>
          <w:rFonts w:hint="eastAsia"/>
        </w:rPr>
      </w:pPr>
      <w:bookmarkStart w:id="11" w:name="_Toc9505"/>
      <w:bookmarkStart w:id="12" w:name="_Toc4611"/>
      <w:bookmarkStart w:id="13" w:name="_Toc30163"/>
      <w:bookmarkStart w:id="14" w:name="_Toc28400"/>
      <w:bookmarkStart w:id="15" w:name="_Toc14209"/>
      <w:bookmarkStart w:id="16" w:name="_Toc14494"/>
      <w:bookmarkStart w:id="17" w:name="_Toc14987"/>
      <w:bookmarkStart w:id="18" w:name="_Toc12630"/>
      <w:bookmarkStart w:id="19" w:name="_Toc27477"/>
      <w:bookmarkStart w:id="20" w:name="_Toc8057"/>
      <w:r>
        <w:t>（一）数据结构单元</w:t>
      </w:r>
      <w:bookmarkEnd w:id="11"/>
      <w:bookmarkEnd w:id="12"/>
      <w:bookmarkEnd w:id="13"/>
      <w:bookmarkEnd w:id="14"/>
      <w:bookmarkEnd w:id="15"/>
      <w:bookmarkEnd w:id="16"/>
      <w:bookmarkEnd w:id="17"/>
      <w:bookmarkEnd w:id="18"/>
      <w:bookmarkEnd w:id="19"/>
      <w:bookmarkEnd w:id="20"/>
    </w:p>
    <w:p>
      <w:pPr>
        <w:pStyle w:val="17"/>
        <w:pageBreakBefore w:val="0"/>
        <w:widowControl w:val="0"/>
        <w:kinsoku/>
        <w:wordWrap/>
        <w:overflowPunct/>
        <w:topLinePunct w:val="0"/>
        <w:autoSpaceDE/>
        <w:autoSpaceDN/>
        <w:bidi w:val="0"/>
        <w:adjustRightInd/>
        <w:snapToGrid/>
        <w:spacing w:line="560" w:lineRule="exact"/>
        <w:ind w:firstLine="600" w:firstLineChars="200"/>
        <w:textAlignment w:val="auto"/>
      </w:pPr>
      <w:r>
        <w:t>数据采集内容的结构单元如下表所示：</w:t>
      </w:r>
    </w:p>
    <w:tbl>
      <w:tblPr>
        <w:tblStyle w:val="1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3"/>
        <w:gridCol w:w="5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883" w:type="dxa"/>
            <w:vAlign w:val="center"/>
          </w:tcPr>
          <w:p>
            <w:pPr>
              <w:pStyle w:val="18"/>
            </w:pPr>
            <w:r>
              <w:t>结构单元</w:t>
            </w:r>
          </w:p>
        </w:tc>
        <w:tc>
          <w:tcPr>
            <w:tcW w:w="5639" w:type="dxa"/>
            <w:vAlign w:val="center"/>
          </w:tcPr>
          <w:p>
            <w:pPr>
              <w:pStyle w:val="18"/>
            </w:pPr>
            <w: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83" w:type="dxa"/>
            <w:vAlign w:val="center"/>
          </w:tcPr>
          <w:p>
            <w:pPr>
              <w:pStyle w:val="19"/>
              <w:jc w:val="center"/>
            </w:pPr>
            <w:r>
              <w:t>主题域</w:t>
            </w:r>
          </w:p>
        </w:tc>
        <w:tc>
          <w:tcPr>
            <w:tcW w:w="5639" w:type="dxa"/>
            <w:vAlign w:val="center"/>
          </w:tcPr>
          <w:p>
            <w:pPr>
              <w:pStyle w:val="19"/>
              <w:rPr>
                <w:rFonts w:hint="default"/>
                <w:lang w:val="en-US"/>
              </w:rPr>
            </w:pPr>
            <w:r>
              <w:t>用于划分监管关注领域大类</w:t>
            </w:r>
            <w:r>
              <w:rPr>
                <w:rFonts w:hint="eastAsia"/>
              </w:rPr>
              <w:t>。</w:t>
            </w:r>
            <w:r>
              <w:t>分公共信息、会计记</w:t>
            </w:r>
            <w:r>
              <w:rPr>
                <w:rFonts w:hint="eastAsia"/>
              </w:rPr>
              <w:t>账</w:t>
            </w:r>
            <w:r>
              <w:t>信息、</w:t>
            </w:r>
            <w:r>
              <w:rPr>
                <w:rFonts w:hint="eastAsia"/>
                <w:lang w:eastAsia="zh-CN"/>
              </w:rPr>
              <w:t>再保业务信息、投资业务信息、关联交易信息等</w:t>
            </w:r>
            <w:r>
              <w:rPr>
                <w:rFonts w:hint="eastAsia"/>
                <w:lang w:val="en-US" w:eastAsia="zh-CN"/>
              </w:rPr>
              <w:t>5类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83" w:type="dxa"/>
            <w:vAlign w:val="center"/>
          </w:tcPr>
          <w:p>
            <w:pPr>
              <w:pStyle w:val="19"/>
              <w:jc w:val="center"/>
            </w:pPr>
            <w:r>
              <w:t>表</w:t>
            </w:r>
          </w:p>
        </w:tc>
        <w:tc>
          <w:tcPr>
            <w:tcW w:w="5639" w:type="dxa"/>
            <w:vAlign w:val="center"/>
          </w:tcPr>
          <w:p>
            <w:pPr>
              <w:pStyle w:val="19"/>
            </w:pPr>
            <w:r>
              <w:t>即关系型数据库表，一个主题域中有一个或多个表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83" w:type="dxa"/>
            <w:vAlign w:val="center"/>
          </w:tcPr>
          <w:p>
            <w:pPr>
              <w:pStyle w:val="19"/>
              <w:jc w:val="center"/>
            </w:pPr>
            <w:r>
              <w:t>数据项（列）</w:t>
            </w:r>
          </w:p>
        </w:tc>
        <w:tc>
          <w:tcPr>
            <w:tcW w:w="5639" w:type="dxa"/>
            <w:vAlign w:val="center"/>
          </w:tcPr>
          <w:p>
            <w:pPr>
              <w:pStyle w:val="19"/>
            </w:pPr>
            <w:r>
              <w:t>表下有一个或多个数据项（列），即数据的基本单位。每个数据项的数据内容由</w:t>
            </w:r>
            <w:r>
              <w:rPr>
                <w:rFonts w:hint="eastAsia"/>
              </w:rPr>
              <w:t>“</w:t>
            </w:r>
            <w:r>
              <w:t>数据项说明</w:t>
            </w:r>
            <w:r>
              <w:rPr>
                <w:rFonts w:hint="eastAsia"/>
              </w:rPr>
              <w:t>”</w:t>
            </w:r>
            <w:r>
              <w:t>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83" w:type="dxa"/>
            <w:vAlign w:val="center"/>
          </w:tcPr>
          <w:p>
            <w:pPr>
              <w:pStyle w:val="19"/>
              <w:jc w:val="center"/>
            </w:pPr>
            <w:r>
              <w:t>数据实例（行）</w:t>
            </w:r>
          </w:p>
        </w:tc>
        <w:tc>
          <w:tcPr>
            <w:tcW w:w="5639" w:type="dxa"/>
            <w:vAlign w:val="center"/>
          </w:tcPr>
          <w:p>
            <w:pPr>
              <w:pStyle w:val="19"/>
            </w:pPr>
            <w:r>
              <w:t>每一个数据实例包含且仅包含一行所有数据项（列）定义的数据，是数据存储和报送的基本单位。数据实例遵循关系型数据库第二范式，即数据实例在同一表中不重复。</w:t>
            </w:r>
          </w:p>
        </w:tc>
      </w:tr>
    </w:tbl>
    <w:p>
      <w:pPr>
        <w:pStyle w:val="3"/>
        <w:pageBreakBefore w:val="0"/>
        <w:widowControl w:val="0"/>
        <w:kinsoku/>
        <w:wordWrap/>
        <w:overflowPunct/>
        <w:topLinePunct w:val="0"/>
        <w:autoSpaceDE/>
        <w:autoSpaceDN/>
        <w:bidi w:val="0"/>
        <w:adjustRightInd/>
        <w:snapToGrid/>
        <w:spacing w:before="0" w:beforeLines="0" w:after="0" w:afterLines="0" w:line="560" w:lineRule="exact"/>
        <w:ind w:firstLine="602" w:firstLineChars="200"/>
        <w:textAlignment w:val="auto"/>
        <w:rPr>
          <w:rFonts w:hint="eastAsia"/>
          <w:szCs w:val="22"/>
        </w:rPr>
      </w:pPr>
      <w:bookmarkStart w:id="21" w:name="_Toc18083"/>
      <w:bookmarkStart w:id="22" w:name="_Toc32291"/>
      <w:bookmarkStart w:id="23" w:name="_Toc28096"/>
      <w:bookmarkStart w:id="24" w:name="_Toc28225"/>
      <w:bookmarkStart w:id="25" w:name="_Toc4045"/>
      <w:bookmarkStart w:id="26" w:name="_Toc26782"/>
      <w:bookmarkStart w:id="27" w:name="_Toc13333"/>
      <w:bookmarkStart w:id="28" w:name="_Toc1686"/>
      <w:bookmarkStart w:id="29" w:name="_Toc13695"/>
      <w:bookmarkStart w:id="30" w:name="_Toc4548"/>
      <w:r>
        <w:rPr>
          <w:szCs w:val="22"/>
        </w:rPr>
        <w:t>（二）数据内容及格式</w:t>
      </w:r>
      <w:bookmarkEnd w:id="21"/>
      <w:bookmarkEnd w:id="22"/>
      <w:bookmarkEnd w:id="23"/>
      <w:bookmarkEnd w:id="24"/>
      <w:bookmarkEnd w:id="25"/>
      <w:bookmarkEnd w:id="26"/>
      <w:bookmarkEnd w:id="27"/>
      <w:bookmarkEnd w:id="28"/>
      <w:bookmarkEnd w:id="29"/>
      <w:bookmarkEnd w:id="30"/>
    </w:p>
    <w:p>
      <w:pPr>
        <w:pStyle w:val="17"/>
      </w:pPr>
      <w:r>
        <w:t>每个数据项需要采集的内容应参照</w:t>
      </w:r>
      <w:r>
        <w:rPr>
          <w:rFonts w:hint="eastAsia"/>
        </w:rPr>
        <w:t>“</w:t>
      </w:r>
      <w:r>
        <w:t>数据项说明</w:t>
      </w:r>
      <w:r>
        <w:rPr>
          <w:rFonts w:hint="eastAsia"/>
        </w:rPr>
        <w:t>”</w:t>
      </w:r>
      <w:r>
        <w:t>。格式说明数据项的类型及长度的表示形式，如下表所示：</w:t>
      </w:r>
    </w:p>
    <w:tbl>
      <w:tblPr>
        <w:tblStyle w:val="15"/>
        <w:tblW w:w="8113" w:type="dxa"/>
        <w:jc w:val="center"/>
        <w:tblInd w:w="0" w:type="dxa"/>
        <w:tblLayout w:type="fixed"/>
        <w:tblCellMar>
          <w:top w:w="0" w:type="dxa"/>
          <w:left w:w="108" w:type="dxa"/>
          <w:bottom w:w="0" w:type="dxa"/>
          <w:right w:w="108" w:type="dxa"/>
        </w:tblCellMar>
      </w:tblPr>
      <w:tblGrid>
        <w:gridCol w:w="3151"/>
        <w:gridCol w:w="4962"/>
      </w:tblGrid>
      <w:tr>
        <w:tblPrEx>
          <w:tblLayout w:type="fixed"/>
          <w:tblCellMar>
            <w:top w:w="0" w:type="dxa"/>
            <w:left w:w="108" w:type="dxa"/>
            <w:bottom w:w="0" w:type="dxa"/>
            <w:right w:w="108" w:type="dxa"/>
          </w:tblCellMar>
        </w:tblPrEx>
        <w:trPr>
          <w:trHeight w:val="270" w:hRule="atLeast"/>
          <w:jc w:val="center"/>
        </w:trPr>
        <w:tc>
          <w:tcPr>
            <w:tcW w:w="3151" w:type="dxa"/>
            <w:tcBorders>
              <w:top w:val="single" w:color="auto" w:sz="4" w:space="0"/>
              <w:left w:val="single" w:color="auto" w:sz="4" w:space="0"/>
              <w:bottom w:val="single" w:color="auto" w:sz="4" w:space="0"/>
              <w:right w:val="single" w:color="auto" w:sz="4" w:space="0"/>
            </w:tcBorders>
            <w:vAlign w:val="center"/>
          </w:tcPr>
          <w:p>
            <w:pPr>
              <w:pStyle w:val="18"/>
            </w:pPr>
            <w:r>
              <w:t>格式</w:t>
            </w:r>
          </w:p>
        </w:tc>
        <w:tc>
          <w:tcPr>
            <w:tcW w:w="4962" w:type="dxa"/>
            <w:tcBorders>
              <w:top w:val="single" w:color="auto" w:sz="4" w:space="0"/>
              <w:left w:val="nil"/>
              <w:bottom w:val="single" w:color="auto" w:sz="4" w:space="0"/>
              <w:right w:val="single" w:color="auto" w:sz="4" w:space="0"/>
            </w:tcBorders>
            <w:vAlign w:val="center"/>
          </w:tcPr>
          <w:p>
            <w:pPr>
              <w:pStyle w:val="18"/>
            </w:pPr>
            <w:r>
              <w:t>含义</w:t>
            </w:r>
          </w:p>
        </w:tc>
      </w:tr>
      <w:tr>
        <w:tblPrEx>
          <w:tblLayout w:type="fixed"/>
          <w:tblCellMar>
            <w:top w:w="0" w:type="dxa"/>
            <w:left w:w="108" w:type="dxa"/>
            <w:bottom w:w="0" w:type="dxa"/>
            <w:right w:w="108" w:type="dxa"/>
          </w:tblCellMar>
        </w:tblPrEx>
        <w:trPr>
          <w:trHeight w:val="270" w:hRule="atLeast"/>
          <w:jc w:val="center"/>
        </w:trPr>
        <w:tc>
          <w:tcPr>
            <w:tcW w:w="3151" w:type="dxa"/>
            <w:tcBorders>
              <w:top w:val="nil"/>
              <w:left w:val="single" w:color="auto" w:sz="4" w:space="0"/>
              <w:bottom w:val="single" w:color="auto" w:sz="4" w:space="0"/>
              <w:right w:val="single" w:color="auto" w:sz="4" w:space="0"/>
            </w:tcBorders>
            <w:vAlign w:val="center"/>
          </w:tcPr>
          <w:p>
            <w:pPr>
              <w:pStyle w:val="19"/>
            </w:pPr>
            <w:r>
              <w:t>C n</w:t>
            </w:r>
          </w:p>
        </w:tc>
        <w:tc>
          <w:tcPr>
            <w:tcW w:w="4962" w:type="dxa"/>
            <w:tcBorders>
              <w:top w:val="nil"/>
              <w:left w:val="nil"/>
              <w:bottom w:val="single" w:color="auto" w:sz="4" w:space="0"/>
              <w:right w:val="single" w:color="auto" w:sz="4" w:space="0"/>
            </w:tcBorders>
            <w:vAlign w:val="center"/>
          </w:tcPr>
          <w:p>
            <w:pPr>
              <w:pStyle w:val="19"/>
            </w:pPr>
            <w:r>
              <w:rPr>
                <w:rFonts w:hint="eastAsia"/>
              </w:rPr>
              <w:t>表示n个字节的固定长度，相应的字符长度由字符编码集确定。</w:t>
            </w:r>
          </w:p>
        </w:tc>
      </w:tr>
      <w:tr>
        <w:tblPrEx>
          <w:tblLayout w:type="fixed"/>
          <w:tblCellMar>
            <w:top w:w="0" w:type="dxa"/>
            <w:left w:w="108" w:type="dxa"/>
            <w:bottom w:w="0" w:type="dxa"/>
            <w:right w:w="108" w:type="dxa"/>
          </w:tblCellMar>
        </w:tblPrEx>
        <w:trPr>
          <w:trHeight w:val="270" w:hRule="atLeast"/>
          <w:jc w:val="center"/>
        </w:trPr>
        <w:tc>
          <w:tcPr>
            <w:tcW w:w="3151" w:type="dxa"/>
            <w:tcBorders>
              <w:top w:val="nil"/>
              <w:left w:val="single" w:color="auto" w:sz="4" w:space="0"/>
              <w:bottom w:val="single" w:color="auto" w:sz="4" w:space="0"/>
              <w:right w:val="single" w:color="auto" w:sz="4" w:space="0"/>
            </w:tcBorders>
            <w:vAlign w:val="center"/>
          </w:tcPr>
          <w:p>
            <w:pPr>
              <w:pStyle w:val="19"/>
            </w:pPr>
            <w:r>
              <w:t>C..n</w:t>
            </w:r>
          </w:p>
        </w:tc>
        <w:tc>
          <w:tcPr>
            <w:tcW w:w="4962" w:type="dxa"/>
            <w:tcBorders>
              <w:top w:val="nil"/>
              <w:left w:val="nil"/>
              <w:bottom w:val="single" w:color="auto" w:sz="4" w:space="0"/>
              <w:right w:val="single" w:color="auto" w:sz="4" w:space="0"/>
            </w:tcBorders>
            <w:vAlign w:val="center"/>
          </w:tcPr>
          <w:p>
            <w:pPr>
              <w:pStyle w:val="19"/>
            </w:pPr>
            <w:r>
              <w:rPr>
                <w:rFonts w:hint="eastAsia"/>
              </w:rPr>
              <w:t>表示最多为n个字节的可变长度，相应的字符长度由字符编码集确定。</w:t>
            </w:r>
          </w:p>
        </w:tc>
      </w:tr>
      <w:tr>
        <w:tblPrEx>
          <w:tblLayout w:type="fixed"/>
          <w:tblCellMar>
            <w:top w:w="0" w:type="dxa"/>
            <w:left w:w="108" w:type="dxa"/>
            <w:bottom w:w="0" w:type="dxa"/>
            <w:right w:w="108" w:type="dxa"/>
          </w:tblCellMar>
        </w:tblPrEx>
        <w:trPr>
          <w:trHeight w:val="270" w:hRule="atLeast"/>
          <w:jc w:val="center"/>
        </w:trPr>
        <w:tc>
          <w:tcPr>
            <w:tcW w:w="3151" w:type="dxa"/>
            <w:tcBorders>
              <w:top w:val="nil"/>
              <w:left w:val="single" w:color="auto" w:sz="4" w:space="0"/>
              <w:bottom w:val="single" w:color="auto" w:sz="4" w:space="0"/>
              <w:right w:val="single" w:color="auto" w:sz="4" w:space="0"/>
            </w:tcBorders>
            <w:vAlign w:val="center"/>
          </w:tcPr>
          <w:p>
            <w:pPr>
              <w:pStyle w:val="19"/>
              <w:rPr>
                <w:rFonts w:hint="eastAsia"/>
              </w:rPr>
            </w:pPr>
            <w:r>
              <w:rPr>
                <w:rFonts w:hint="eastAsia"/>
              </w:rPr>
              <w:t>I</w:t>
            </w:r>
          </w:p>
        </w:tc>
        <w:tc>
          <w:tcPr>
            <w:tcW w:w="4962" w:type="dxa"/>
            <w:tcBorders>
              <w:top w:val="nil"/>
              <w:left w:val="nil"/>
              <w:bottom w:val="single" w:color="auto" w:sz="4" w:space="0"/>
              <w:right w:val="single" w:color="auto" w:sz="4" w:space="0"/>
            </w:tcBorders>
            <w:vAlign w:val="center"/>
          </w:tcPr>
          <w:p>
            <w:pPr>
              <w:pStyle w:val="19"/>
            </w:pPr>
            <w:r>
              <w:rPr>
                <w:rFonts w:hint="eastAsia"/>
              </w:rPr>
              <w:t>表示整数可计算形式。</w:t>
            </w:r>
          </w:p>
        </w:tc>
      </w:tr>
      <w:tr>
        <w:tblPrEx>
          <w:tblLayout w:type="fixed"/>
          <w:tblCellMar>
            <w:top w:w="0" w:type="dxa"/>
            <w:left w:w="108" w:type="dxa"/>
            <w:bottom w:w="0" w:type="dxa"/>
            <w:right w:w="108" w:type="dxa"/>
          </w:tblCellMar>
        </w:tblPrEx>
        <w:trPr>
          <w:trHeight w:val="270" w:hRule="atLeast"/>
          <w:jc w:val="center"/>
        </w:trPr>
        <w:tc>
          <w:tcPr>
            <w:tcW w:w="3151" w:type="dxa"/>
            <w:tcBorders>
              <w:top w:val="nil"/>
              <w:left w:val="single" w:color="auto" w:sz="4" w:space="0"/>
              <w:bottom w:val="single" w:color="auto" w:sz="4" w:space="0"/>
              <w:right w:val="single" w:color="auto" w:sz="4" w:space="0"/>
            </w:tcBorders>
            <w:vAlign w:val="center"/>
          </w:tcPr>
          <w:p>
            <w:pPr>
              <w:pStyle w:val="19"/>
            </w:pPr>
            <w:r>
              <w:t>I..n</w:t>
            </w:r>
          </w:p>
        </w:tc>
        <w:tc>
          <w:tcPr>
            <w:tcW w:w="4962" w:type="dxa"/>
            <w:tcBorders>
              <w:top w:val="nil"/>
              <w:left w:val="nil"/>
              <w:bottom w:val="single" w:color="auto" w:sz="4" w:space="0"/>
              <w:right w:val="single" w:color="auto" w:sz="4" w:space="0"/>
            </w:tcBorders>
            <w:vAlign w:val="center"/>
          </w:tcPr>
          <w:p>
            <w:pPr>
              <w:pStyle w:val="19"/>
            </w:pPr>
            <w:r>
              <w:t>表示最多为n位的整数可计算形式</w:t>
            </w:r>
            <w:r>
              <w:rPr>
                <w:rFonts w:hint="eastAsia"/>
              </w:rPr>
              <w:t>。</w:t>
            </w:r>
          </w:p>
        </w:tc>
      </w:tr>
      <w:tr>
        <w:tblPrEx>
          <w:tblLayout w:type="fixed"/>
          <w:tblCellMar>
            <w:top w:w="0" w:type="dxa"/>
            <w:left w:w="108" w:type="dxa"/>
            <w:bottom w:w="0" w:type="dxa"/>
            <w:right w:w="108" w:type="dxa"/>
          </w:tblCellMar>
        </w:tblPrEx>
        <w:trPr>
          <w:trHeight w:val="900" w:hRule="atLeast"/>
          <w:jc w:val="center"/>
        </w:trPr>
        <w:tc>
          <w:tcPr>
            <w:tcW w:w="3151" w:type="dxa"/>
            <w:tcBorders>
              <w:top w:val="nil"/>
              <w:left w:val="single" w:color="auto" w:sz="4" w:space="0"/>
              <w:bottom w:val="single" w:color="auto" w:sz="4" w:space="0"/>
              <w:right w:val="single" w:color="auto" w:sz="4" w:space="0"/>
            </w:tcBorders>
            <w:vAlign w:val="center"/>
          </w:tcPr>
          <w:p>
            <w:pPr>
              <w:pStyle w:val="19"/>
            </w:pPr>
            <w:r>
              <w:t>Dw.d</w:t>
            </w:r>
          </w:p>
        </w:tc>
        <w:tc>
          <w:tcPr>
            <w:tcW w:w="4962" w:type="dxa"/>
            <w:tcBorders>
              <w:top w:val="nil"/>
              <w:left w:val="nil"/>
              <w:bottom w:val="single" w:color="auto" w:sz="4" w:space="0"/>
              <w:right w:val="single" w:color="auto" w:sz="4" w:space="0"/>
            </w:tcBorders>
            <w:vAlign w:val="center"/>
          </w:tcPr>
          <w:p>
            <w:pPr>
              <w:pStyle w:val="19"/>
            </w:pPr>
            <w:r>
              <w:t>表示十进制小数可计算形式，w表示包含小数点前后字符位在内的整个</w:t>
            </w:r>
            <w:r>
              <w:rPr>
                <w:rFonts w:hint="eastAsia"/>
              </w:rPr>
              <w:t>数据项</w:t>
            </w:r>
            <w:r>
              <w:t>最多字符位数，d表示小数点后的最多字符位数</w:t>
            </w:r>
            <w:r>
              <w:rPr>
                <w:rFonts w:hint="eastAsia"/>
              </w:rPr>
              <w:t>。</w:t>
            </w:r>
          </w:p>
        </w:tc>
      </w:tr>
      <w:tr>
        <w:tblPrEx>
          <w:tblLayout w:type="fixed"/>
          <w:tblCellMar>
            <w:top w:w="0" w:type="dxa"/>
            <w:left w:w="108" w:type="dxa"/>
            <w:bottom w:w="0" w:type="dxa"/>
            <w:right w:w="108" w:type="dxa"/>
          </w:tblCellMar>
        </w:tblPrEx>
        <w:trPr>
          <w:trHeight w:val="270" w:hRule="atLeast"/>
          <w:jc w:val="center"/>
        </w:trPr>
        <w:tc>
          <w:tcPr>
            <w:tcW w:w="3151" w:type="dxa"/>
            <w:tcBorders>
              <w:top w:val="nil"/>
              <w:left w:val="single" w:color="auto" w:sz="4" w:space="0"/>
              <w:bottom w:val="single" w:color="auto" w:sz="4" w:space="0"/>
              <w:right w:val="single" w:color="auto" w:sz="4" w:space="0"/>
            </w:tcBorders>
            <w:vAlign w:val="center"/>
          </w:tcPr>
          <w:p>
            <w:pPr>
              <w:pStyle w:val="19"/>
              <w:rPr>
                <w:rFonts w:hint="default" w:eastAsia="宋体"/>
                <w:lang w:val="en-US" w:eastAsia="zh-CN"/>
              </w:rPr>
            </w:pPr>
            <w:r>
              <w:rPr>
                <w:rFonts w:hint="eastAsia"/>
                <w:lang w:val="en-US" w:eastAsia="zh-CN"/>
              </w:rPr>
              <w:t>YYYYMMDD</w:t>
            </w:r>
          </w:p>
        </w:tc>
        <w:tc>
          <w:tcPr>
            <w:tcW w:w="4962" w:type="dxa"/>
            <w:tcBorders>
              <w:top w:val="nil"/>
              <w:left w:val="nil"/>
              <w:bottom w:val="single" w:color="auto" w:sz="4" w:space="0"/>
              <w:right w:val="single" w:color="auto" w:sz="4" w:space="0"/>
            </w:tcBorders>
            <w:vAlign w:val="center"/>
          </w:tcPr>
          <w:p>
            <w:pPr>
              <w:pStyle w:val="19"/>
              <w:rPr>
                <w:rFonts w:hint="default" w:eastAsia="宋体"/>
                <w:lang w:val="en-US" w:eastAsia="zh-CN"/>
              </w:rPr>
            </w:pPr>
            <w:r>
              <w:rPr>
                <w:rFonts w:hint="eastAsia"/>
                <w:lang w:val="en-US" w:eastAsia="zh-CN"/>
              </w:rPr>
              <w:t>表示年月日。</w:t>
            </w:r>
          </w:p>
        </w:tc>
      </w:tr>
    </w:tbl>
    <w:p>
      <w:pPr>
        <w:pStyle w:val="3"/>
        <w:pageBreakBefore w:val="0"/>
        <w:widowControl w:val="0"/>
        <w:kinsoku/>
        <w:wordWrap/>
        <w:overflowPunct/>
        <w:topLinePunct w:val="0"/>
        <w:autoSpaceDE/>
        <w:autoSpaceDN/>
        <w:bidi w:val="0"/>
        <w:adjustRightInd/>
        <w:snapToGrid/>
        <w:spacing w:before="0" w:beforeLines="0" w:after="0" w:afterLines="0" w:line="560" w:lineRule="exact"/>
        <w:ind w:firstLine="602" w:firstLineChars="200"/>
        <w:textAlignment w:val="auto"/>
      </w:pPr>
      <w:bookmarkStart w:id="31" w:name="_Toc603"/>
      <w:bookmarkStart w:id="32" w:name="_Toc4329"/>
      <w:bookmarkStart w:id="33" w:name="_Toc24166"/>
      <w:bookmarkStart w:id="34" w:name="_Toc4995"/>
      <w:bookmarkStart w:id="35" w:name="_Toc1848"/>
      <w:bookmarkStart w:id="36" w:name="_Toc21034"/>
      <w:bookmarkStart w:id="37" w:name="_Toc12730"/>
      <w:bookmarkStart w:id="38" w:name="_Toc27334"/>
      <w:bookmarkStart w:id="39" w:name="_Toc11388"/>
      <w:bookmarkStart w:id="40" w:name="_Toc20686"/>
      <w:r>
        <w:rPr>
          <w:rFonts w:hint="eastAsia"/>
          <w:szCs w:val="22"/>
        </w:rPr>
        <w:t>（</w:t>
      </w:r>
      <w:r>
        <w:rPr>
          <w:rFonts w:hint="eastAsia"/>
          <w:szCs w:val="22"/>
          <w:lang w:eastAsia="zh-CN"/>
        </w:rPr>
        <w:t>三</w:t>
      </w:r>
      <w:r>
        <w:rPr>
          <w:rFonts w:hint="eastAsia"/>
          <w:szCs w:val="22"/>
        </w:rPr>
        <w:t>）数据结构</w:t>
      </w:r>
      <w:bookmarkEnd w:id="31"/>
      <w:bookmarkEnd w:id="32"/>
      <w:bookmarkEnd w:id="33"/>
      <w:bookmarkEnd w:id="34"/>
      <w:bookmarkEnd w:id="35"/>
      <w:bookmarkEnd w:id="36"/>
      <w:bookmarkEnd w:id="37"/>
      <w:bookmarkEnd w:id="38"/>
      <w:bookmarkEnd w:id="39"/>
      <w:bookmarkEnd w:id="40"/>
    </w:p>
    <w:p>
      <w:pPr>
        <w:pStyle w:val="4"/>
        <w:keepNext/>
        <w:keepLines/>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602" w:firstLineChars="200"/>
        <w:jc w:val="both"/>
        <w:textAlignment w:val="auto"/>
        <w:outlineLvl w:val="2"/>
        <w:rPr>
          <w:rFonts w:hint="eastAsia"/>
        </w:rPr>
      </w:pPr>
      <w:bookmarkStart w:id="41" w:name="_Toc24313"/>
      <w:bookmarkStart w:id="42" w:name="_Toc6578"/>
      <w:bookmarkStart w:id="43" w:name="_Toc29130"/>
      <w:bookmarkStart w:id="44" w:name="_Toc16636"/>
      <w:bookmarkStart w:id="45" w:name="_Toc22421"/>
      <w:bookmarkStart w:id="46" w:name="_Toc17515"/>
      <w:bookmarkStart w:id="47" w:name="_Toc15541"/>
      <w:bookmarkStart w:id="48" w:name="_Toc21563"/>
      <w:r>
        <w:t>公共信息</w:t>
      </w:r>
      <w:bookmarkEnd w:id="41"/>
      <w:bookmarkEnd w:id="42"/>
      <w:bookmarkEnd w:id="43"/>
      <w:bookmarkEnd w:id="44"/>
      <w:bookmarkEnd w:id="45"/>
      <w:bookmarkEnd w:id="46"/>
      <w:bookmarkEnd w:id="47"/>
      <w:bookmarkEnd w:id="48"/>
    </w:p>
    <w:p>
      <w:pPr>
        <w:pStyle w:val="6"/>
        <w:bidi w:val="0"/>
        <w:rPr>
          <w:rFonts w:hint="default"/>
          <w:lang w:val="en-US" w:eastAsia="zh-CN"/>
        </w:rPr>
      </w:pPr>
      <w:r>
        <w:rPr>
          <w:rFonts w:hint="eastAsia"/>
          <w:lang w:val="en-US" w:eastAsia="zh-CN"/>
        </w:rPr>
        <w:t>机构信息表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346"/>
        <w:gridCol w:w="1049"/>
        <w:gridCol w:w="635"/>
        <w:gridCol w:w="634"/>
        <w:gridCol w:w="3617"/>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488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JGXXB</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机构信息表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0101</w:t>
            </w:r>
          </w:p>
        </w:tc>
        <w:tc>
          <w:tcPr>
            <w:tcW w:w="488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本表报送再保险公司注册信息，月度报送月末时点状态。</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93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93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62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24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124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注册地区</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ZCDQ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001008</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保险公司注册地行政区划的名称，对应《业务代码表》中的“县及县以上行政区划代码”，填报中文描述。例如：北京市东城区、天津市和平区、河北省石家庄市长安区等。</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注册地址</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ZCDZ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001009</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保险公司注册详细地址。</w:t>
            </w:r>
          </w:p>
        </w:tc>
      </w:tr>
      <w:tr>
        <w:tblPrEx>
          <w:tblLayout w:type="fixed"/>
          <w:tblCellMar>
            <w:top w:w="0" w:type="dxa"/>
            <w:left w:w="0" w:type="dxa"/>
            <w:bottom w:w="0" w:type="dxa"/>
            <w:right w:w="0" w:type="dxa"/>
          </w:tblCellMar>
        </w:tblPrEx>
        <w:trPr>
          <w:trHeight w:val="62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注册资本</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ZCZB</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保险公司在工商机关注册时的资本金额，单位元（人民币）。</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法定代表人</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FDDBR</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001037</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填写法定代表人姓名，应与工商注册的姓名一致。</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工商注册日期</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GSZCRQ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以工商注册的成立日期为准。</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经营范围</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JYFW</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经营范围，应与工商注册中的经营范围一致。</w:t>
            </w:r>
          </w:p>
        </w:tc>
      </w:tr>
      <w:tr>
        <w:tblPrEx>
          <w:tblLayout w:type="fixed"/>
          <w:tblCellMar>
            <w:top w:w="0" w:type="dxa"/>
            <w:left w:w="0" w:type="dxa"/>
            <w:bottom w:w="0" w:type="dxa"/>
            <w:right w:w="0" w:type="dxa"/>
          </w:tblCellMar>
        </w:tblPrEx>
        <w:trPr>
          <w:trHeight w:val="93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实际控制人标志</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保险公司内部是否有实际控制人，填报中文描述：是，否。实际控制人指虽不是公司的股东，但通过投资关系、协议或者其他安排，能够实际支配公司行为的人。</w:t>
            </w:r>
          </w:p>
        </w:tc>
      </w:tr>
      <w:tr>
        <w:tblPrEx>
          <w:tblLayout w:type="fixed"/>
          <w:tblCellMar>
            <w:top w:w="0" w:type="dxa"/>
            <w:left w:w="0" w:type="dxa"/>
            <w:bottom w:w="0" w:type="dxa"/>
            <w:right w:w="0" w:type="dxa"/>
          </w:tblCellMar>
        </w:tblPrEx>
        <w:trPr>
          <w:trHeight w:val="62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实际控制人机构标志</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SJKZRJGBZ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实际控制人是否为机构的标志。填报中文描述：是，否。</w:t>
            </w:r>
          </w:p>
        </w:tc>
      </w:tr>
      <w:tr>
        <w:tblPrEx>
          <w:tblLayout w:type="fixed"/>
          <w:tblCellMar>
            <w:top w:w="0" w:type="dxa"/>
            <w:left w:w="0" w:type="dxa"/>
            <w:bottom w:w="0" w:type="dxa"/>
            <w:right w:w="0" w:type="dxa"/>
          </w:tblCellMar>
        </w:tblPrEx>
        <w:trPr>
          <w:trHeight w:val="62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实际控制人名称</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填写实际控制人名称，实际控制人为自然人时填报自然人姓名，为机构时填报机构全称。</w:t>
            </w:r>
          </w:p>
        </w:tc>
      </w:tr>
      <w:tr>
        <w:tblPrEx>
          <w:tblLayout w:type="fixed"/>
          <w:tblCellMar>
            <w:top w:w="0" w:type="dxa"/>
            <w:left w:w="0" w:type="dxa"/>
            <w:bottom w:w="0" w:type="dxa"/>
            <w:right w:w="0" w:type="dxa"/>
          </w:tblCellMar>
        </w:tblPrEx>
        <w:trPr>
          <w:trHeight w:val="124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机构实际控制人证件类型</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JGSJKZRZJLX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001021</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实际控制人为机构时必填。机构实际控制人的证件类型，对应《业务代码表》中的“机构证件类型代码”，填报中文描述。例如：统一社会信用代码、组织机构代码证等。</w:t>
            </w:r>
          </w:p>
        </w:tc>
      </w:tr>
      <w:tr>
        <w:tblPrEx>
          <w:tblLayout w:type="fixed"/>
          <w:tblCellMar>
            <w:top w:w="0" w:type="dxa"/>
            <w:left w:w="0" w:type="dxa"/>
            <w:bottom w:w="0" w:type="dxa"/>
            <w:right w:w="0" w:type="dxa"/>
          </w:tblCellMar>
        </w:tblPrEx>
        <w:trPr>
          <w:trHeight w:val="124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个人实际控制人证件类型</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GRSJKZRZJLX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001033</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实际控制人为自然人时必填。个人实际控制人证件类型，对应《业务代码表》中的“个人身份证件类型代码”，填报中文描述。例如：居民身份证、军人身份证件、护照、出生医学证明等。</w:t>
            </w:r>
          </w:p>
        </w:tc>
      </w:tr>
      <w:tr>
        <w:tblPrEx>
          <w:tblLayout w:type="fixed"/>
          <w:tblCellMar>
            <w:top w:w="0" w:type="dxa"/>
            <w:left w:w="0" w:type="dxa"/>
            <w:bottom w:w="0" w:type="dxa"/>
            <w:right w:w="0" w:type="dxa"/>
          </w:tblCellMar>
        </w:tblPrEx>
        <w:trPr>
          <w:trHeight w:val="62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实际控制人证件号码</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SJKZRZJHM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001034</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包括机构实际控制人和自然人实际控制人的证件号码。若为自然人证件号码，隐私，再保险公司变形。</w:t>
            </w:r>
          </w:p>
        </w:tc>
      </w:tr>
      <w:tr>
        <w:tblPrEx>
          <w:tblLayout w:type="fixed"/>
          <w:tblCellMar>
            <w:top w:w="0" w:type="dxa"/>
            <w:left w:w="0" w:type="dxa"/>
            <w:bottom w:w="0" w:type="dxa"/>
            <w:right w:w="0" w:type="dxa"/>
          </w:tblCellMar>
        </w:tblPrEx>
        <w:trPr>
          <w:trHeight w:val="62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保险许可证机构编码</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BXXKZJGBM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中国银保监会统一设计和印制，授权给保险公司经营保险业务的许可证上记录的机构编码。</w:t>
            </w:r>
          </w:p>
        </w:tc>
      </w:tr>
      <w:tr>
        <w:tblPrEx>
          <w:tblLayout w:type="fixed"/>
          <w:tblCellMar>
            <w:top w:w="0" w:type="dxa"/>
            <w:left w:w="0" w:type="dxa"/>
            <w:bottom w:w="0" w:type="dxa"/>
            <w:right w:w="0" w:type="dxa"/>
          </w:tblCellMar>
        </w:tblPrEx>
        <w:trPr>
          <w:trHeight w:val="124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全球法人机构识别编号</w:t>
            </w:r>
          </w:p>
        </w:tc>
        <w:tc>
          <w:tcPr>
            <w:tcW w:w="13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QQFRJGSBBH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001035</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LEI是按照国际标准化组织ISO 17442标准为全球法人分配的唯一识别编码，LEI编码是由20位数字和字母组成的唯一编码。我国LEI编码包括前缀码部分、预留位部分、机构特定部分和校验位四部分。</w:t>
            </w:r>
          </w:p>
        </w:tc>
      </w:tr>
    </w:tbl>
    <w:p>
      <w:pPr>
        <w:rPr>
          <w:rFonts w:hint="default"/>
          <w:lang w:val="en-US" w:eastAsia="zh-CN"/>
        </w:rPr>
      </w:pPr>
    </w:p>
    <w:p>
      <w:pPr>
        <w:pStyle w:val="6"/>
        <w:bidi w:val="0"/>
        <w:rPr>
          <w:rFonts w:hint="eastAsia"/>
          <w:lang w:val="en-US" w:eastAsia="zh-CN"/>
        </w:rPr>
      </w:pPr>
      <w:r>
        <w:rPr>
          <w:rFonts w:hint="eastAsia"/>
          <w:lang w:val="en-US" w:eastAsia="zh-CN"/>
        </w:rPr>
        <w:t>股权信息表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181"/>
        <w:gridCol w:w="1049"/>
        <w:gridCol w:w="716"/>
        <w:gridCol w:w="717"/>
        <w:gridCol w:w="3618"/>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05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00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GQXXB</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股权信息表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0102</w:t>
            </w:r>
          </w:p>
        </w:tc>
        <w:tc>
          <w:tcPr>
            <w:tcW w:w="505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本表报送再保险公司所有股权组成信息，对于上市公司仅报送持股5%及以上的机构及个人股东信息。外资再保险公司在华分公司不报送该表。月度报送月末时点状态。</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股东编号</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股东在本保险公司的唯一标识。</w:t>
            </w:r>
          </w:p>
        </w:tc>
      </w:tr>
      <w:tr>
        <w:tblPrEx>
          <w:tblLayout w:type="fixed"/>
          <w:tblCellMar>
            <w:top w:w="0" w:type="dxa"/>
            <w:left w:w="0" w:type="dxa"/>
            <w:bottom w:w="0" w:type="dxa"/>
            <w:right w:w="0" w:type="dxa"/>
          </w:tblCellMar>
        </w:tblPrEx>
        <w:trPr>
          <w:trHeight w:val="201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股东持股类型</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GDCGLX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根据持股比例、资质条件和对保险公司经营管理的影响，根据《保险公司股权管理办法》（保监会令〔2018〕5号 ）保险公司股东分为四类，填报中文描述。包括： </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财务Ⅰ类股东</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xml:space="preserve">财务Ⅱ类股东 </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xml:space="preserve">战略类股东 </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控制类股东</w:t>
            </w:r>
          </w:p>
        </w:tc>
      </w:tr>
      <w:tr>
        <w:tblPrEx>
          <w:tblLayout w:type="fixed"/>
          <w:tblCellMar>
            <w:top w:w="0" w:type="dxa"/>
            <w:left w:w="0" w:type="dxa"/>
            <w:bottom w:w="0" w:type="dxa"/>
            <w:right w:w="0" w:type="dxa"/>
          </w:tblCellMar>
        </w:tblPrEx>
        <w:trPr>
          <w:trHeight w:val="230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股东类型</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按照股东自然人或机构属性，填报中文描述。包括：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自然人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机构股东</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境内企业法人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境内有限合伙企业</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境内事业单位、社会团体</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境外金融机构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其他</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填写保险公司股东名称。</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机构股东证件类型</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JGGDZJLX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股东为非自然人时，必填。机构股东证件类型优先填报统一社会信用代码，对应《业务代码表》中的“机构证件类型代码”，填报中文描述。例如：统一社会信用代码、组织机构代码证等。</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个人股东证件类型</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GRGDZJLX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股东为自然人时，必填。个人股东证件类型，对应《业务代码表》中的“个人身份证件类型代码”，填报中文描述。例如：居民身份证、军人身份证件、护照、出生医学证明等。</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股东证件号码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GDZJHM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股东的证件号码。若为自然人证件号码，隐私，再保险公司变形。</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出资日期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CZRQ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该股东最近一次持股份额变化的日期。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股东业务或经营范围</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GDJYFW</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股东为非自然人时，必填。填写经营范围，应与工商注册中的经营范围一致。</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持股比例</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CGBL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保留4位小数。若涉及到百分比，例如12.34%填写为0.1234。</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股东行业分类</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GDHYFL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股东为非自然人时，必填。按股东所从事的生产经营活动或其他社会经济活动的性质进行行业分类，对应《业务代码表》中的“国民经济行业分类代码”，填报中文描述。例如：农业、林业等。</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工商注册日期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GSZCRQ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股东为非自然人时，必填。股东机构的工商注册日期。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注册资本</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ZCZB</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股东为非自然人时，必填。股东机构的工商注册金额。单位为：元（人民币）。</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注册地区</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ZCDQ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001008</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股东为非自然人时，必填。股东机构的工商注册地区。对应《业务代码表》中的“县及县以上行政区划代码”，填报中文描述。例如：北京市东城区、天津市和平区、河北省石家庄市长安区等。</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注册地址</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ZCDZ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001009</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股东为非自然人时，必填。股东机构的详细注册地址。</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实际控制人标志</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非自然人股东是否有实际控制人，填报中文描述：是，否。实际控制人指虽不是公司的股东，但通过投资关系、协议或者其他安排，能够实际支配公司行为的人。</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实际控制人机构标志</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SJKZRJGBZ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非自然人股东实际控制人是否为机构的标志。填报中文描述：是，否。</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非自然人股东实际控制人名称，实际控制人为自然人时填报自然人姓名，为机构时填报机构全称。</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机构实际控制人证件类型</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JGSJKZRZJLX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实际控制人为非自然人时，必填。实际控制人机构证件类型优先填报统一社会信用代码，对应《业务代码表》中的“机构证件类型代码”，填报中文描述。例如：统一社会信用代码、组织机构代码证等。</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个人实际控制人证件类型</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GRSJKZRZJLX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若实际控制人为自然人，必填。实际控制人证件类型，对应《业务代码表》中的“个人身份证件类型代码”，填报中文描述。例如：居民身份证、军人身份证件、护照、出生医学证明等。</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实际控制人证件号码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SJKZRZJHM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实际控制人的证件号码。若为自然人证件号码，隐私，再保险公司变形。</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股东状态有效标志</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GDZTSFYXBZ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默认状态为有效；当原股东退出后，需要删除一条股东信息时，状态更新为失效。填报中文描述：是，否。</w:t>
            </w:r>
          </w:p>
        </w:tc>
      </w:tr>
      <w:tr>
        <w:tblPrEx>
          <w:tblLayout w:type="fixed"/>
          <w:tblCellMar>
            <w:top w:w="0" w:type="dxa"/>
            <w:left w:w="0" w:type="dxa"/>
            <w:bottom w:w="0" w:type="dxa"/>
            <w:right w:w="0" w:type="dxa"/>
          </w:tblCellMar>
        </w:tblPrEx>
        <w:trPr>
          <w:trHeight w:val="144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一致行动人标志</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YZXDRBZ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股东是否与其他保险公司股东构成一致行动人，填报中文描述：是，否。一致行动人是指投资者通过协议、其他安排，与其他投资者共同扩大其所能够支配的一个公司股份表决权数量的行为或者事实。达成一致行动的相关投资者，为一致行动人。</w:t>
            </w:r>
          </w:p>
        </w:tc>
      </w:tr>
      <w:tr>
        <w:tblPrEx>
          <w:tblLayout w:type="fixed"/>
          <w:tblCellMar>
            <w:top w:w="0" w:type="dxa"/>
            <w:left w:w="0" w:type="dxa"/>
            <w:bottom w:w="0" w:type="dxa"/>
            <w:right w:w="0" w:type="dxa"/>
          </w:tblCellMar>
        </w:tblPrEx>
        <w:trPr>
          <w:trHeight w:val="144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一致行动人组别</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YZXDRZB</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填写该股东与其他保险公司股东构成一致行动人的组别。组别用数字填写。例如：保险公司有6个股东，分别是A B C D E F，其中A B C三方为一致行动人，D E两方为另一组一致行动人，则A B C的一致行动人组别填写1，D E的一致行动人组别填写2。</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股权质押数量</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GQZYSL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截至采集日期当日，股东质押的股份数量。若无质押，则填0。</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股权质押比例</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GQZYBL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保留4位小数。若涉及百分比，例如12.34%填写为0.1234。</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股权冻结数量</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GQDJSL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已冻结的股权数量。若无冻结，则填0。</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股权冻结比例</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GQDJBL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保留4位小数。若涉及百分比，例如12.34%填写为0.1234。</w:t>
            </w:r>
          </w:p>
        </w:tc>
      </w:tr>
    </w:tbl>
    <w:p>
      <w:pPr>
        <w:rPr>
          <w:rFonts w:hint="eastAsia"/>
          <w:lang w:val="en-US" w:eastAsia="zh-CN"/>
        </w:rPr>
      </w:pPr>
    </w:p>
    <w:p>
      <w:pPr>
        <w:pStyle w:val="6"/>
        <w:bidi w:val="0"/>
        <w:rPr>
          <w:rFonts w:hint="eastAsia"/>
          <w:lang w:val="en-US" w:eastAsia="zh-CN"/>
        </w:rPr>
      </w:pPr>
      <w:r>
        <w:rPr>
          <w:rFonts w:hint="eastAsia"/>
          <w:lang w:val="en-US" w:eastAsia="zh-CN"/>
        </w:rPr>
        <w:t>分支机构信息表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181"/>
        <w:gridCol w:w="1049"/>
        <w:gridCol w:w="716"/>
        <w:gridCol w:w="717"/>
        <w:gridCol w:w="3618"/>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05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00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FZJGXXB</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0103</w:t>
            </w:r>
          </w:p>
        </w:tc>
        <w:tc>
          <w:tcPr>
            <w:tcW w:w="505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本表报送再保险公司总部及分支机构信息：对于中资再保险公司，总公司作为分支机构第1层级进行报送；对于外资再保险公司，在华分公司作为分支机构第1层级进行报送。</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分支机构代码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股东在本保险公司的唯一标识。</w:t>
            </w:r>
          </w:p>
        </w:tc>
      </w:tr>
      <w:tr>
        <w:tblPrEx>
          <w:tblLayout w:type="fixed"/>
          <w:tblCellMar>
            <w:top w:w="0" w:type="dxa"/>
            <w:left w:w="0" w:type="dxa"/>
            <w:bottom w:w="0" w:type="dxa"/>
            <w:right w:w="0" w:type="dxa"/>
          </w:tblCellMar>
        </w:tblPrEx>
        <w:trPr>
          <w:trHeight w:val="201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GDCGLX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根据持股比例、资质条件和对保险公司经营管理的影响，根据《保险公司股权管理办法》（保监会令〔2018〕5号 ）保险公司股东分为四类，填报中文描述。包括： </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财务Ⅰ类股东</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xml:space="preserve">财务Ⅱ类股东 </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xml:space="preserve">战略类股东 </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控制类股东</w:t>
            </w:r>
          </w:p>
        </w:tc>
      </w:tr>
      <w:tr>
        <w:tblPrEx>
          <w:tblLayout w:type="fixed"/>
          <w:tblCellMar>
            <w:top w:w="0" w:type="dxa"/>
            <w:left w:w="0" w:type="dxa"/>
            <w:bottom w:w="0" w:type="dxa"/>
            <w:right w:w="0" w:type="dxa"/>
          </w:tblCellMar>
        </w:tblPrEx>
        <w:trPr>
          <w:trHeight w:val="230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分支机构状态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按照股东自然人或机构属性，填报中文描述。包括：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自然人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机构股东</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境内企业法人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境内有限合伙企业</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境内事业单位、社会团体</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境外金融机构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其他</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分支机构成立日期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填写保险公司股东名称。</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统一社会信用代码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JGGDZJLX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股东为非自然人时，必填。机构股东证件类型优先填报统一社会信用代码，对应《业务代码表》中的“机构证件类型代码”，填报中文描述。例如：统一社会信用代码、组织机构代码证等。</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分支机构地址</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GRGDZJLX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股东为自然人时，必填。个人股东证件类型，对应《业务代码表》中的“个人身份证件类型代码”，填报中文描述。例如：居民身份证、军人身份证件、护照、出生医学证明等。</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分支机构层级</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GDZJHM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股东的证件号码。若为自然人证件号码，隐私，再保险公司变形。</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上级机构代码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CZRQ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该股东最近一次持股份额变化的日期。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保险许可证机构编码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GDJYFW</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股东为非自然人时，必填。填写经营范围，应与工商注册中的经营范围一致。</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许可证发放日期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CGBL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保留4位小数。若涉及到百分比，例如12.34%填写为0.1234。</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许可证注销日期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GDHYFL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股东为非自然人时，必填。按股东所从事的生产经营活动或其他社会经济活动的性质进行行业分类，对应《业务代码表》中的“国民经济行业分类代码”，填报中文描述。例如：农业、林业等。</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负责人代码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GSZCRQ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股东为非自然人时，必填。股东机构的工商注册日期。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违法违规记录</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ZCZB</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股东为非自然人时，必填。股东机构的工商注册金额。单位为：元（人民币）。</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经营范围</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ZCDQ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001008</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股东为非自然人时，必填。股东机构的工商注册地区。对应《业务代码表》中的“县及县以上行政区划代码”，填报中文描述。例如：北京市东城区、天津市和平区、河北省石家庄市长安区等。</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ZCDZ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001009</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股东为非自然人时，必填。股东机构的详细注册地址。</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非自然人股东是否有实际控制人，填报中文描述：是，否。实际控制人指虽不是公司的股东，但通过投资关系、协议或者其他安排，能够实际支配公司行为的人。</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SJKZRJGBZ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非自然人股东实际控制人是否为机构的标志。填报中文描述：是，否。</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非自然人股东实际控制人名称，实际控制人为自然人时填报自然人姓名，为机构时填报机构全称。</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JGSJKZRZJLX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实际控制人为非自然人时，必填。实际控制人机构证件类型优先填报统一社会信用代码，对应《业务代码表》中的“机构证件类型代码”，填报中文描述。例如：统一社会信用代码、组织机构代码证等。</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员工代码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GRSJKZRZJLX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若实际控制人为自然人，必填。实际控制人证件类型，对应《业务代码表》中的“个人身份证件类型代码”，填报中文描述。例如：居民身份证、军人身份证件、护照、出生医学证明等。</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所属分支机构代码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SJKZRZJHM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实际控制人的证件号码。若为自然人证件号码，隐私，再保险公司变形。</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员工姓名</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GDZTSFYXBZ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默认状态为有效；当原股东退出后，需要删除一条股东信息时，状态更新为失效。填报中文描述：是，否。</w:t>
            </w:r>
          </w:p>
        </w:tc>
      </w:tr>
      <w:tr>
        <w:tblPrEx>
          <w:tblLayout w:type="fixed"/>
          <w:tblCellMar>
            <w:top w:w="0" w:type="dxa"/>
            <w:left w:w="0" w:type="dxa"/>
            <w:bottom w:w="0" w:type="dxa"/>
            <w:right w:w="0" w:type="dxa"/>
          </w:tblCellMar>
        </w:tblPrEx>
        <w:trPr>
          <w:trHeight w:val="144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性别</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YZXDRBZ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股东是否与其他保险公司股东构成一致行动人，填报中文描述：是，否。一致行动人是指投资者通过协议、其他安排，与其他投资者共同扩大其所能够支配的一个公司股份表决权数量的行为或者事实。达成一致行动的相关投资者，为一致行动人。</w:t>
            </w:r>
          </w:p>
        </w:tc>
      </w:tr>
      <w:tr>
        <w:tblPrEx>
          <w:tblLayout w:type="fixed"/>
          <w:tblCellMar>
            <w:top w:w="0" w:type="dxa"/>
            <w:left w:w="0" w:type="dxa"/>
            <w:bottom w:w="0" w:type="dxa"/>
            <w:right w:w="0" w:type="dxa"/>
          </w:tblCellMar>
        </w:tblPrEx>
        <w:trPr>
          <w:trHeight w:val="144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民族</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YZXDRZB</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填写该股东与其他保险公司股东构成一致行动人的组别。组别用数字填写。例如：保险公司有6个股东，分别是A B C D E F，其中A B C三方为一致行动人，D E两方为另一组一致行动人，则A B C的一致行动人组别填写1，D E的一致行动人组别填写2。</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出生日期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GQZYSL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截至采集日期当日，股东质押的股份数量。若无质押，则填0。</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政治面貌</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GQZYBL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保留4位小数。若涉及百分比，例如12.34%填写为0.1234。</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参加政党日期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GQDJSL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已冻结的股权数量。若无冻结，则填0。</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证件类型</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GQDJBL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保留4位小数。若涉及百分比，例如12.34%填写为0.1234。</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证件号码</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本表报送再保险公司总部及分支机构信息：对于中资再保险公司，总公司作为分支机构第1层级进行报送；对于外资再保险公司，在华分公司作为分支机构第1层级进行报送。</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联系电话</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学历</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专业技术资格</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董监高标志</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岗位</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FZJGDM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保险公司分支机构的内部编码。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入司日期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FZJGMC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保险公司分支机构的名称，应与公章所使用的名称完全一致。保险机构以银保监会金融机构许可证登记名称为准。</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离司日期</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FZJGZT</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001017</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保险公司分支机构当前经营状态，对应《业务代码表》中的“经营状态代码”，填报中文描述。例如：存续、在业、吊销、改建等。</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FZJGCLRQ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营业执照上登记的成立日期。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银行账号</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TYSHXYDM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001028</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保险公司分支机构的统一社会信用代码，是一组长度为18位的用于法人和其他组织身份识别的代码。</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FZJGDZ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001009</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1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以机构营业执照登记地址为准。</w:t>
            </w:r>
          </w:p>
        </w:tc>
      </w:tr>
    </w:tbl>
    <w:p>
      <w:pPr>
        <w:rPr>
          <w:rFonts w:hint="eastAsia"/>
          <w:lang w:val="en-US" w:eastAsia="zh-CN"/>
        </w:rPr>
      </w:pPr>
    </w:p>
    <w:p>
      <w:pPr>
        <w:pStyle w:val="6"/>
        <w:bidi w:val="0"/>
        <w:rPr>
          <w:rFonts w:hint="eastAsia"/>
          <w:lang w:val="en-US" w:eastAsia="zh-CN"/>
        </w:rPr>
      </w:pPr>
      <w:r>
        <w:rPr>
          <w:rFonts w:hint="eastAsia"/>
          <w:lang w:val="en-US" w:eastAsia="zh-CN"/>
        </w:rPr>
        <w:t>员工信息表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00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YGXXB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0104</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本表报送再保险公司总部及分支机构所有与公司签订劳动合同的员工信息，包括在岗和离职员工。董事、监事、高管等人员信息应包含在内。</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保险公司自行定义的员工编号，具有唯一性。一般由英文字母、数字、常见字符组成。</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所属分支机构代码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SSFZJGDM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员工所属分支机构的代码。关联数据项：分支机构信息表-分支机构代码。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员工姓名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YGXM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001037</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员工身份证或护照的姓名。隐私，再保险公司变形，名称保留最后一个字或单词，其余汉字及单词丢弃。</w:t>
            </w:r>
          </w:p>
        </w:tc>
      </w:tr>
      <w:tr>
        <w:tblPrEx>
          <w:tblLayout w:type="fixed"/>
          <w:tblCellMar>
            <w:top w:w="0" w:type="dxa"/>
            <w:left w:w="0" w:type="dxa"/>
            <w:bottom w:w="0" w:type="dxa"/>
            <w:right w:w="0" w:type="dxa"/>
          </w:tblCellMar>
        </w:tblPrEx>
        <w:trPr>
          <w:trHeight w:val="144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性别</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XB</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001038</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员工性别，填报中文描述。包括：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未知的性别</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男性</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女性</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未说明的性别</w:t>
            </w:r>
          </w:p>
        </w:tc>
      </w:tr>
      <w:tr>
        <w:tblPrEx>
          <w:tblLayout w:type="fixed"/>
          <w:tblCellMar>
            <w:top w:w="0" w:type="dxa"/>
            <w:left w:w="0" w:type="dxa"/>
            <w:bottom w:w="0" w:type="dxa"/>
            <w:right w:w="0" w:type="dxa"/>
          </w:tblCellMar>
        </w:tblPrEx>
        <w:trPr>
          <w:trHeight w:val="144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民族</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MZ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001039</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员工的民族。国家认可的在公安户籍管理部门正式登记注册的客户所属民族，对应《业务代码表》中的“民族代码”，填报中文描述。例如：汉族、蒙古族、回族、藏族等。</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不掌握相关信息时，对于中国员工，可以填写“未记录”；对于外国员工，可以填写“不适用”</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出生日期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CSRQ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员工出生日期。隐私，暂不取。公司需在本地保留原文数据，并报送99991231。</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政治面貌</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ZZMM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001019</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保险公司员工的政治面貌，对应《业务代码表》中的“政治面貌代码”，填报中文描述。例如：中国共产党党员、中国共产党预备党员、中国共产主义青年团团员、群众等。</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参加政党日期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CJZDRQ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参加政党的日期。YYYYMM，默认值999912。</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证件类型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员工的证件类型，对应《业务代码表》中的“个人身份证件类型代码”，填报中文描述。例如：居民身份证、军人身份证件、护照、出生医学证明等。</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证件号码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ZJHM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身份证号、护照号、军官证号等有效证件号码。隐私，再保险公司变形。</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联系电话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LXDH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员工联系电话，区号-座机电话/手机。隐私，暂不取。公司需在本地保留原文数据，并报送“隐私”。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学历</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001040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员工学历，对应《业务代码表》中的“学历代码”，填报中文描述。例如：研究生教育、大学本科教育、大学专科教育。</w:t>
            </w:r>
          </w:p>
        </w:tc>
      </w:tr>
      <w:tr>
        <w:tblPrEx>
          <w:tblLayout w:type="fixed"/>
          <w:tblCellMar>
            <w:top w:w="0" w:type="dxa"/>
            <w:left w:w="0" w:type="dxa"/>
            <w:bottom w:w="0" w:type="dxa"/>
            <w:right w:w="0" w:type="dxa"/>
          </w:tblCellMar>
        </w:tblPrEx>
        <w:trPr>
          <w:trHeight w:val="144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专业技术资格</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ZYJSZG</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员工专业技术资格等级，填报中文描述。包括：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高级技术资格人员</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中级技术资格人员</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初级技术资格人员</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其他</w:t>
            </w:r>
          </w:p>
        </w:tc>
      </w:tr>
      <w:tr>
        <w:tblPrEx>
          <w:tblLayout w:type="fixed"/>
          <w:tblCellMar>
            <w:top w:w="0" w:type="dxa"/>
            <w:left w:w="0" w:type="dxa"/>
            <w:bottom w:w="0" w:type="dxa"/>
            <w:right w:w="0" w:type="dxa"/>
          </w:tblCellMar>
        </w:tblPrEx>
        <w:trPr>
          <w:trHeight w:val="489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董监高标志</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DJGBZ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是否属于银保监会监管的董事、监事、高管范围，填报中文描述。包括：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员工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董事</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监事</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高管</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高管范围参照《保险公司董事、监事和高级管理人员任职资格管理规定》第一章第四条：本规定所称高级管理人员，是指对保险机构经营管理活动和风险控制具有决策权或者重大影响的下列人员：</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（一）总公司总经理、副总经理和总经理助理；</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（二）总公司董事会秘书、合规负责人、总精算师、财务负责人和审计责任人；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（三）分公司、中心支公司总经理、副总经理和总经理助理；</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（四）支公司、营业部经理；</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（五）与上述高级管理人员具有相同职权的管理人员。</w:t>
            </w:r>
          </w:p>
        </w:tc>
      </w:tr>
      <w:tr>
        <w:tblPrEx>
          <w:shd w:val="clear" w:color="auto" w:fill="auto"/>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岗位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GW</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如为董事、监事、高管人员，须按监管规定填写（参考[董监高标志]数据项备注），其他人员按公司内部规定名称填写。</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入司日期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RSRQ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如董监高标志为员工，则填报最近一次签订劳动合同的日期，其他人员则填报任职开始日期。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离司日期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如董监高标志为员工，则填报离司日期，其他人员则填报任职结束日期，若未离司或仍在任职期则填默认值99991231。</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员工工资卡对应开户银行的名称。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YHZH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员工工资卡账号。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YHZHMC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员工工资卡银行账户名称。隐私，再保险公司变形，名称保留最后一个字或单词，其余汉字及单词丢弃。</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本表报送再保险公司总部及分支机构内所有属于银保监会监管的董事、监事、高管范围的人员履职信息，如董事、监事、高管兼任多个职务，需要分开报送。</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保险公司自行定义的员工编号，具有唯一性。一般由英文字母、数字、常见字符组成。</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所属分支机构代码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SSFZJGDM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对应到分支机构信息表的分支机构代码数据项。关联数据项：分支机构信息表-分支机构代码。</w:t>
            </w:r>
          </w:p>
        </w:tc>
      </w:tr>
      <w:tr>
        <w:tblPrEx>
          <w:tblLayout w:type="fixed"/>
          <w:tblCellMar>
            <w:top w:w="0" w:type="dxa"/>
            <w:left w:w="0" w:type="dxa"/>
            <w:bottom w:w="0" w:type="dxa"/>
            <w:right w:w="0" w:type="dxa"/>
          </w:tblCellMar>
        </w:tblPrEx>
        <w:trPr>
          <w:trHeight w:val="345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职务</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ZW</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若为董事、监事，则填报公司自定义职务；若为高管，则参考银保监会监管的高管范围人员定义。《保险公司董事、监事和高级管理人员任职资格管理规定》第一章 第四条 本规定所称高级管理人员，是指对保险机构经营管理活动和风险控制具有决策权或者重大影响的下列人员：</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（一）总公司总经理、副总经理和总经理助理；</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（二）总公司董事会秘书、合规负责人、总精算师、财务负责人和审计责任人；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（三）分公司、中心支公司总经理、副总经理和总经理助理；</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（四）支公司、营业部经理；</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（五）与上述高级管理人员具有相同职权的管理人员。</w:t>
            </w:r>
          </w:p>
        </w:tc>
      </w:tr>
      <w:tr>
        <w:tblPrEx>
          <w:shd w:val="clear" w:color="auto" w:fill="auto"/>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履职序号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LZXH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职务下的履职顺序号，同一职务下有多段履职经历的，履职序号按时间顺序依次加1，职务下唯一。</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开始日期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KSRQ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董事、监事、高管任职开始日期。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结束日期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JSRQA</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董事、监事、高管离任日期，若现任职则填默认值99991231。</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批复日期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PFRQ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获得董事、监事、高管任职资格的批复日期。YYYYMMDD。</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报告日期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BGRQ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董事、监事或者高级管理人员的任职决定生效后，向银保监会报告的日期。YYYYMMDD。</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过往任职信息</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GWRZXX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填写自工作以来担任董事、监事、高管的过往任职信息。参考格式为：XXXX年XX月XX日-XXXX年XX月XX日于XX机构担任XXX职务。</w:t>
            </w:r>
          </w:p>
        </w:tc>
      </w:tr>
      <w:tr>
        <w:tblPrEx>
          <w:tblLayout w:type="fixed"/>
          <w:tblCellMar>
            <w:top w:w="0" w:type="dxa"/>
            <w:left w:w="0" w:type="dxa"/>
            <w:bottom w:w="0" w:type="dxa"/>
            <w:right w:w="0" w:type="dxa"/>
          </w:tblCellMar>
        </w:tblPrEx>
        <w:trPr>
          <w:trHeight w:val="201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本表报送再保险公司总部及分支机构内所有属于银保监会监管的董事、监事、高管范围的人员信息，如董事、监事、高管兼任多个职务或受到多个处罚，需要分开报送。未发生处罚，则该表不需报送。</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数据范围同同董监高履职信息表，即所有报送了在履职信息表中报送的董监高，如果有处罚记录（不限于报送时间范围内），即需要报送，且每次都需报送过往所有的处罚记录。</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bl>
    <w:p>
      <w:pPr>
        <w:rPr>
          <w:rFonts w:hint="eastAsia"/>
          <w:lang w:val="en-US" w:eastAsia="zh-CN"/>
        </w:rPr>
      </w:pPr>
    </w:p>
    <w:p>
      <w:pPr>
        <w:pStyle w:val="6"/>
        <w:bidi w:val="0"/>
        <w:rPr>
          <w:rFonts w:hint="eastAsia"/>
          <w:lang w:val="en-US" w:eastAsia="zh-CN"/>
        </w:rPr>
      </w:pPr>
      <w:r>
        <w:rPr>
          <w:rFonts w:hint="eastAsia"/>
          <w:lang w:val="en-US" w:eastAsia="zh-CN"/>
        </w:rPr>
        <w:t>董监高履职信息表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8"/>
        <w:gridCol w:w="1050"/>
        <w:gridCol w:w="1049"/>
        <w:gridCol w:w="716"/>
        <w:gridCol w:w="716"/>
        <w:gridCol w:w="3751"/>
      </w:tblGrid>
      <w:tr>
        <w:tblPrEx>
          <w:shd w:val="clear" w:color="auto" w:fill="auto"/>
          <w:tblLayout w:type="fixed"/>
          <w:tblCellMar>
            <w:top w:w="0" w:type="dxa"/>
            <w:left w:w="0" w:type="dxa"/>
            <w:bottom w:w="0" w:type="dxa"/>
            <w:right w:w="0" w:type="dxa"/>
          </w:tblCellMar>
        </w:tblPrEx>
        <w:trPr>
          <w:trHeight w:val="31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00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DJGLZXXB</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董监高履职信息表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0105</w:t>
            </w:r>
          </w:p>
        </w:tc>
        <w:tc>
          <w:tcPr>
            <w:tcW w:w="518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本表报送再保险公司总部及分支机构内所有属于银保监会监管的董事、监事、高管范围的人员履职信息，如董事、监事、高管兼任多个职务，需要分开报送。</w:t>
            </w:r>
          </w:p>
        </w:tc>
      </w:tr>
      <w:tr>
        <w:tblPrEx>
          <w:tblLayout w:type="fixed"/>
          <w:tblCellMar>
            <w:top w:w="0" w:type="dxa"/>
            <w:left w:w="0" w:type="dxa"/>
            <w:bottom w:w="0" w:type="dxa"/>
            <w:right w:w="0" w:type="dxa"/>
          </w:tblCellMar>
        </w:tblPrEx>
        <w:trPr>
          <w:trHeight w:val="31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员工代码</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保险公司自行定义的员工编号，具有唯一性。一般由英文字母、数字、常见字符组成。</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所属分支机构代码</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SSFZJGDM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对应到分支机构信息表的分支机构代码数据项。关联数据项：分支机构信息表-分支机构代码。</w:t>
            </w:r>
          </w:p>
        </w:tc>
      </w:tr>
      <w:tr>
        <w:tblPrEx>
          <w:tblLayout w:type="fixed"/>
          <w:tblCellMar>
            <w:top w:w="0" w:type="dxa"/>
            <w:left w:w="0" w:type="dxa"/>
            <w:bottom w:w="0" w:type="dxa"/>
            <w:right w:w="0" w:type="dxa"/>
          </w:tblCellMar>
        </w:tblPrEx>
        <w:trPr>
          <w:trHeight w:val="345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职务</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ZW</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若为董事、监事，则填报公司自定义职务；若为高管，则参考银保监会监管的高管范围人员定义。《保险公司董事、监事和高级管理人员任职资格管理规定》第一章 第四条 本规定所称高级管理人员，是指对保险机构经营管理活动和风险控制具有决策权或者重大影响的下列人员：</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（一）总公司总经理、副总经理和总经理助理；</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（二）总公司董事会秘书、合规负责人、总精算师、财务负责人和审计责任人；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（三）分公司、中心支公司总经理、副总经理和总经理助理；</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（四）支公司、营业部经理；</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（五）与上述高级管理人员具有相同职权的管理人员。</w:t>
            </w:r>
          </w:p>
        </w:tc>
      </w:tr>
      <w:tr>
        <w:tblPrEx>
          <w:shd w:val="clear" w:color="auto" w:fill="auto"/>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履职序号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LZXH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职务下的履职顺序号，同一职务下有多段履职经历的，履职序号按时间顺序依次加1，职务下唯一。</w:t>
            </w:r>
          </w:p>
        </w:tc>
      </w:tr>
      <w:tr>
        <w:tblPrEx>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开始日期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KSRQ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董事、监事、高管任职开始日期。</w:t>
            </w:r>
          </w:p>
        </w:tc>
      </w:tr>
      <w:tr>
        <w:tblPrEx>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结束日期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JSRQA</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董事、监事、高管离任日期，若现任职则填默认值99991231。</w:t>
            </w:r>
          </w:p>
        </w:tc>
      </w:tr>
      <w:tr>
        <w:tblPrEx>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批复日期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PFRQ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获得董事、监事、高管任职资格的批复日期。YYYYMMDD。</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报告日期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BGRQ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董事、监事或者高级管理人员的任职决定生效后，向银保监会报告的日期。YYYYMMDD。</w:t>
            </w:r>
          </w:p>
        </w:tc>
      </w:tr>
      <w:tr>
        <w:tblPrEx>
          <w:tblLayout w:type="fixed"/>
          <w:tblCellMar>
            <w:top w:w="0" w:type="dxa"/>
            <w:left w:w="0" w:type="dxa"/>
            <w:bottom w:w="0" w:type="dxa"/>
            <w:right w:w="0" w:type="dxa"/>
          </w:tblCellMar>
        </w:tblPrEx>
        <w:trPr>
          <w:trHeight w:val="864"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过往任职信息</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GWRZXX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填写自工作以来担任董事、监事、高管的过往任职信息。参考格式为：XXXX年XX月XX日-XXXX年XX月XX日于XX机构担任XXX职务。</w:t>
            </w:r>
          </w:p>
        </w:tc>
      </w:tr>
    </w:tbl>
    <w:p>
      <w:pPr>
        <w:rPr>
          <w:rFonts w:hint="eastAsia"/>
          <w:lang w:val="en-US" w:eastAsia="zh-CN"/>
        </w:rPr>
      </w:pPr>
    </w:p>
    <w:p>
      <w:pPr>
        <w:pStyle w:val="6"/>
        <w:bidi w:val="0"/>
        <w:rPr>
          <w:rFonts w:hint="eastAsia"/>
          <w:lang w:val="en-US" w:eastAsia="zh-CN"/>
        </w:rPr>
      </w:pPr>
      <w:r>
        <w:rPr>
          <w:rFonts w:hint="eastAsia"/>
          <w:lang w:val="en-US" w:eastAsia="zh-CN"/>
        </w:rPr>
        <w:t>董监高处罚信息表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8"/>
        <w:gridCol w:w="1050"/>
        <w:gridCol w:w="1049"/>
        <w:gridCol w:w="716"/>
        <w:gridCol w:w="716"/>
        <w:gridCol w:w="3751"/>
      </w:tblGrid>
      <w:tr>
        <w:tblPrEx>
          <w:shd w:val="clear" w:color="auto" w:fill="auto"/>
          <w:tblLayout w:type="fixed"/>
          <w:tblCellMar>
            <w:top w:w="0" w:type="dxa"/>
            <w:left w:w="0" w:type="dxa"/>
            <w:bottom w:w="0" w:type="dxa"/>
            <w:right w:w="0" w:type="dxa"/>
          </w:tblCellMar>
        </w:tblPrEx>
        <w:trPr>
          <w:trHeight w:val="31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80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DJGCFXXB</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董监高处罚信息表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0106</w:t>
            </w:r>
          </w:p>
        </w:tc>
        <w:tc>
          <w:tcPr>
            <w:tcW w:w="518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本表报送再保险公司总部及分支机构内所有属于银保监会监管的董事、监事、高管范围的人员信息，如董事、监事、高管兼任多个职务或受到多个处罚，需要分开报送。未发生处罚，则该表不需报送。</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数据范围同同董监高履职信息表，即所有报送了在履职信息表中报送的董监高，如果有处罚记录（不限于报送时间范围内），即需要报送，且每次都需报送过往所有的处罚记录。</w:t>
            </w:r>
          </w:p>
        </w:tc>
      </w:tr>
      <w:tr>
        <w:tblPrEx>
          <w:tblLayout w:type="fixed"/>
          <w:tblCellMar>
            <w:top w:w="0" w:type="dxa"/>
            <w:left w:w="0" w:type="dxa"/>
            <w:bottom w:w="0" w:type="dxa"/>
            <w:right w:w="0" w:type="dxa"/>
          </w:tblCellMar>
        </w:tblPrEx>
        <w:trPr>
          <w:trHeight w:val="31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员工代码</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保险公司自行定义的员工编号，具有唯一性。一般由英文字母、数字、常见字符组成。</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所属分支机构代码</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SSFZJGDM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对应到分支机构信息表的分支机构代码数据项。关联数据项：分支机构信息表-分支机构代码。</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处罚序号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CFXH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当期报送处罚信息的序号。例如报送期间有10条处罚信息，序号从1到10。</w:t>
            </w:r>
          </w:p>
        </w:tc>
      </w:tr>
      <w:tr>
        <w:tblPrEx>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开始日期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KSRQ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处罚开始日期。</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结束日期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JSRQA</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处罚结束日期，存在罚款等处罚无持续时间的情况，开始和结束日期填报同一天。</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时任职务</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SRZW</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处罚行为发生时所任职务。关联数据项：董监高履职信息表-职务。</w:t>
            </w:r>
          </w:p>
        </w:tc>
      </w:tr>
      <w:tr>
        <w:tblPrEx>
          <w:tblLayout w:type="fixed"/>
          <w:tblCellMar>
            <w:top w:w="0" w:type="dxa"/>
            <w:left w:w="0" w:type="dxa"/>
            <w:bottom w:w="0" w:type="dxa"/>
            <w:right w:w="0" w:type="dxa"/>
          </w:tblCellMar>
        </w:tblPrEx>
        <w:trPr>
          <w:trHeight w:val="864"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履职序号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LZXH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职务下的履职顺序号，同一职务下有多段履职经历的，履职序号按时间顺序依次加1，职务下唯一。关联数据项：董监高履职信息表-履职序号。</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处罚机关</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CFJG</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发布该人员处罚决定的，依法有权或受托实施行政处罚的监管机构主体的规范全称。</w:t>
            </w:r>
          </w:p>
        </w:tc>
      </w:tr>
      <w:tr>
        <w:tblPrEx>
          <w:tblLayout w:type="fixed"/>
          <w:tblCellMar>
            <w:top w:w="0" w:type="dxa"/>
            <w:left w:w="0" w:type="dxa"/>
            <w:bottom w:w="0" w:type="dxa"/>
            <w:right w:w="0" w:type="dxa"/>
          </w:tblCellMar>
        </w:tblPrEx>
        <w:trPr>
          <w:trHeight w:val="201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处罚种类</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CFZL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董事、监事、高管处罚种类，填报中文描述。包括：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罚款</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警告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撤销任职资格</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司法处理</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禁止进入保险业</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其他</w:t>
            </w:r>
          </w:p>
        </w:tc>
      </w:tr>
      <w:tr>
        <w:tblPrEx>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处罚原因</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CFYY</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处罚原因的文字描述，若有处罚决定书，填写处罚决定书内容。</w:t>
            </w:r>
          </w:p>
        </w:tc>
      </w:tr>
      <w:tr>
        <w:tblPrEx>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处罚金额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CFJE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处罚金额，单位元（人民币）。</w:t>
            </w:r>
          </w:p>
        </w:tc>
      </w:tr>
    </w:tbl>
    <w:p>
      <w:pPr>
        <w:rPr>
          <w:rFonts w:hint="eastAsia"/>
          <w:lang w:val="en-US" w:eastAsia="zh-CN"/>
        </w:rPr>
      </w:pPr>
    </w:p>
    <w:p>
      <w:pPr>
        <w:pStyle w:val="6"/>
        <w:bidi w:val="0"/>
        <w:rPr>
          <w:rFonts w:hint="eastAsia"/>
          <w:lang w:val="en-US" w:eastAsia="zh-CN"/>
        </w:rPr>
      </w:pPr>
      <w:r>
        <w:rPr>
          <w:rFonts w:hint="eastAsia"/>
          <w:lang w:val="en-US" w:eastAsia="zh-CN"/>
        </w:rPr>
        <w:t>员工问责信息表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42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YGWZXXB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员工问责信息表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0107</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本表报送再保险公司总部及分支机构所有与公司签订劳动合同的员工的内部问责信息，包括在岗和离职员工。包括董事、监事、高管等人员的内部问责信息。</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保险公司自行定义的员工编号，具有唯一性。一般由英文字母、数字、常见字符组成。</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所属分支机构代码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SSFZJGDM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对应到分支机构信息表的分支机构代码数据项。关联数据项：分支机构信息表-分支机构代码。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内部问责序号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NBWZXH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当期报送内部问责信息的序号。例如报送期间有10条内部问责信息，序号从1到10。</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开始日期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KSRQ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内部问责开始日期。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结束日期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JSRQA</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内部问责结束日期，存在罚款等内部问责无持续时间的情况，开始和结束日期填报同一天。</w:t>
            </w:r>
          </w:p>
        </w:tc>
      </w:tr>
      <w:tr>
        <w:tblPrEx>
          <w:tblLayout w:type="fixed"/>
          <w:tblCellMar>
            <w:top w:w="0" w:type="dxa"/>
            <w:left w:w="0" w:type="dxa"/>
            <w:bottom w:w="0" w:type="dxa"/>
            <w:right w:w="0" w:type="dxa"/>
          </w:tblCellMar>
        </w:tblPrEx>
        <w:trPr>
          <w:trHeight w:val="201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内部问责种类</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NBWZZL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001042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员工内部问责种类，填报中文描述。包括：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降职</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解聘</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党纪处分</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罚款</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通报批评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其他</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内部问责原因</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NBWZYY</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内部问责原因的文字描述，若有内部问责决定书，填写内部问责决定书内容。</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内部问责金额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NBWZJE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内部问责金额，单位元（人民币）。</w:t>
            </w:r>
          </w:p>
        </w:tc>
      </w:tr>
    </w:tbl>
    <w:p>
      <w:pPr>
        <w:rPr>
          <w:rFonts w:hint="eastAsia"/>
        </w:rPr>
      </w:pPr>
    </w:p>
    <w:p>
      <w:pPr>
        <w:pStyle w:val="4"/>
        <w:keepNext/>
        <w:keepLines/>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602" w:firstLineChars="200"/>
        <w:jc w:val="both"/>
        <w:textAlignment w:val="auto"/>
        <w:outlineLvl w:val="2"/>
        <w:rPr>
          <w:rFonts w:hint="eastAsia"/>
          <w:szCs w:val="22"/>
          <w:lang w:eastAsia="zh-CN"/>
        </w:rPr>
      </w:pPr>
      <w:bookmarkStart w:id="49" w:name="_Toc16118"/>
      <w:bookmarkStart w:id="50" w:name="_Toc27594"/>
      <w:r>
        <w:rPr>
          <w:rFonts w:hint="eastAsia"/>
          <w:szCs w:val="22"/>
          <w:lang w:eastAsia="zh-CN"/>
        </w:rPr>
        <w:t>会计记账信息</w:t>
      </w:r>
      <w:bookmarkEnd w:id="49"/>
      <w:bookmarkEnd w:id="50"/>
    </w:p>
    <w:p>
      <w:pPr>
        <w:pStyle w:val="6"/>
        <w:numPr>
          <w:ilvl w:val="0"/>
          <w:numId w:val="4"/>
        </w:numPr>
        <w:bidi w:val="0"/>
        <w:rPr>
          <w:rFonts w:hint="eastAsia"/>
          <w:lang w:eastAsia="zh-CN"/>
        </w:rPr>
      </w:pPr>
      <w:r>
        <w:rPr>
          <w:rFonts w:hint="eastAsia"/>
          <w:lang w:eastAsia="zh-CN"/>
        </w:rPr>
        <w:t>总账会计全科目表</w:t>
      </w:r>
    </w:p>
    <w:tbl>
      <w:tblPr>
        <w:tblStyle w:val="15"/>
        <w:tblW w:w="8330" w:type="dxa"/>
        <w:tblInd w:w="0" w:type="dxa"/>
        <w:shd w:val="clear" w:color="auto" w:fill="auto"/>
        <w:tblLayout w:type="fixed"/>
        <w:tblCellMar>
          <w:top w:w="0" w:type="dxa"/>
          <w:left w:w="0" w:type="dxa"/>
          <w:bottom w:w="0" w:type="dxa"/>
          <w:right w:w="0" w:type="dxa"/>
        </w:tblCellMar>
      </w:tblPr>
      <w:tblGrid>
        <w:gridCol w:w="1048"/>
        <w:gridCol w:w="1050"/>
        <w:gridCol w:w="1049"/>
        <w:gridCol w:w="716"/>
        <w:gridCol w:w="716"/>
        <w:gridCol w:w="3751"/>
      </w:tblGrid>
      <w:tr>
        <w:tblPrEx>
          <w:shd w:val="clear" w:color="auto" w:fill="auto"/>
          <w:tblLayout w:type="fixed"/>
          <w:tblCellMar>
            <w:top w:w="0" w:type="dxa"/>
            <w:left w:w="0" w:type="dxa"/>
            <w:bottom w:w="0" w:type="dxa"/>
            <w:right w:w="0" w:type="dxa"/>
          </w:tblCellMar>
        </w:tblPrEx>
        <w:trPr>
          <w:trHeight w:val="31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shd w:val="clear" w:color="auto" w:fill="auto"/>
          <w:tblLayout w:type="fixed"/>
          <w:tblCellMar>
            <w:top w:w="0" w:type="dxa"/>
            <w:left w:w="0" w:type="dxa"/>
            <w:bottom w:w="0" w:type="dxa"/>
            <w:right w:w="0" w:type="dxa"/>
          </w:tblCellMar>
        </w:tblPrEx>
        <w:trPr>
          <w:trHeight w:val="110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ZZKJQKMB</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总账会计全科目表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0201</w:t>
            </w:r>
          </w:p>
        </w:tc>
        <w:tc>
          <w:tcPr>
            <w:tcW w:w="518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本表报送境内法人全科目报表数据，包括所有进行账务处理的机构，包括本位币汇总和交易币汇总。</w:t>
            </w:r>
          </w:p>
        </w:tc>
      </w:tr>
      <w:tr>
        <w:tblPrEx>
          <w:shd w:val="clear" w:color="auto" w:fill="auto"/>
          <w:tblLayout w:type="fixed"/>
          <w:tblCellMar>
            <w:top w:w="0" w:type="dxa"/>
            <w:left w:w="0" w:type="dxa"/>
            <w:bottom w:w="0" w:type="dxa"/>
            <w:right w:w="0" w:type="dxa"/>
          </w:tblCellMar>
        </w:tblPrEx>
        <w:trPr>
          <w:trHeight w:val="31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shd w:val="clear" w:color="auto" w:fill="auto"/>
          <w:tblLayout w:type="fixed"/>
          <w:tblCellMar>
            <w:top w:w="0" w:type="dxa"/>
            <w:left w:w="0" w:type="dxa"/>
            <w:bottom w:w="0" w:type="dxa"/>
            <w:right w:w="0" w:type="dxa"/>
          </w:tblCellMar>
        </w:tblPrEx>
        <w:trPr>
          <w:trHeight w:val="864"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shd w:val="clear" w:color="auto" w:fill="auto"/>
          <w:tblLayout w:type="fixed"/>
          <w:tblCellMar>
            <w:top w:w="0" w:type="dxa"/>
            <w:left w:w="0" w:type="dxa"/>
            <w:bottom w:w="0" w:type="dxa"/>
            <w:right w:w="0" w:type="dxa"/>
          </w:tblCellMar>
        </w:tblPrEx>
        <w:trPr>
          <w:trHeight w:val="864"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shd w:val="clear" w:color="auto" w:fill="auto"/>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shd w:val="clear" w:color="auto" w:fill="auto"/>
          <w:tblLayout w:type="fixed"/>
          <w:tblCellMar>
            <w:top w:w="0" w:type="dxa"/>
            <w:left w:w="0" w:type="dxa"/>
            <w:bottom w:w="0" w:type="dxa"/>
            <w:right w:w="0" w:type="dxa"/>
          </w:tblCellMar>
        </w:tblPrEx>
        <w:trPr>
          <w:trHeight w:val="115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shd w:val="clear" w:color="auto" w:fill="auto"/>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会计日期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会计记账日期。YYYYMMDD。</w:t>
            </w:r>
          </w:p>
        </w:tc>
      </w:tr>
      <w:tr>
        <w:tblPrEx>
          <w:shd w:val="clear" w:color="auto" w:fill="auto"/>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保险账套编号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BXZTBH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保险公司自己的账套编码，应具有唯一标识。</w:t>
            </w:r>
          </w:p>
        </w:tc>
      </w:tr>
      <w:tr>
        <w:tblPrEx>
          <w:shd w:val="clear" w:color="auto" w:fill="auto"/>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保险账套名称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BXZTMC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保险公司自己的账套名称，应具有唯一标识。</w:t>
            </w:r>
          </w:p>
        </w:tc>
      </w:tr>
      <w:tr>
        <w:tblPrEx>
          <w:shd w:val="clear" w:color="auto" w:fill="auto"/>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分支机构代码</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FZJGDM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保险公司分支机构的内部编码。关联数据项：分支机构信息表-分支机构代码。</w:t>
            </w:r>
          </w:p>
        </w:tc>
      </w:tr>
      <w:tr>
        <w:tblPrEx>
          <w:shd w:val="clear" w:color="auto" w:fill="auto"/>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总账会计科目编号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保险公司自己使用的科目编码。关联数据项：内部科目对照表-总账会计科目编号。</w:t>
            </w:r>
          </w:p>
        </w:tc>
      </w:tr>
      <w:tr>
        <w:tblPrEx>
          <w:shd w:val="clear" w:color="auto" w:fill="auto"/>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总账会计科目名称</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保险公司自己使用的科目名称。关联数据项：内部科目对照表-总账会计科目名称。</w:t>
            </w:r>
          </w:p>
        </w:tc>
      </w:tr>
      <w:tr>
        <w:tblPrEx>
          <w:shd w:val="clear" w:color="auto" w:fill="auto"/>
          <w:tblLayout w:type="fixed"/>
          <w:tblCellMar>
            <w:top w:w="0" w:type="dxa"/>
            <w:left w:w="0" w:type="dxa"/>
            <w:bottom w:w="0" w:type="dxa"/>
            <w:right w:w="0" w:type="dxa"/>
          </w:tblCellMar>
        </w:tblPrEx>
        <w:trPr>
          <w:trHeight w:val="259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总账会计科目级次</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KMJC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总账会计科目在科目结构中所对应的级次，未设置科目层级默认一级科目。关联数据项：内部科目对照表-会计科目级次代码。填报数字代码。包括：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1-一级科目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2-二级科目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3-三级科目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4-四级科目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5-五级科目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6-六级科目，以此类推。</w:t>
            </w:r>
          </w:p>
        </w:tc>
      </w:tr>
      <w:tr>
        <w:tblPrEx>
          <w:shd w:val="clear" w:color="auto" w:fill="auto"/>
          <w:tblLayout w:type="fixed"/>
          <w:tblCellMar>
            <w:top w:w="0" w:type="dxa"/>
            <w:left w:w="0" w:type="dxa"/>
            <w:bottom w:w="0" w:type="dxa"/>
            <w:right w:w="0" w:type="dxa"/>
          </w:tblCellMar>
        </w:tblPrEx>
        <w:trPr>
          <w:trHeight w:val="259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会计科目类型</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总账会计科目分类。关联数据项：内部科目对照表-会计科目类型代码。填报数字代码。包括：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1-资产</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2-负债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3-所有者权益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4-损益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5-资产负债共同类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6-表外</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7-其他</w:t>
            </w:r>
          </w:p>
        </w:tc>
      </w:tr>
      <w:tr>
        <w:tblPrEx>
          <w:shd w:val="clear" w:color="auto" w:fill="auto"/>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期初借方余额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QCJFYE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当前科目期初借方余额。</w:t>
            </w:r>
          </w:p>
        </w:tc>
      </w:tr>
      <w:tr>
        <w:tblPrEx>
          <w:shd w:val="clear" w:color="auto" w:fill="auto"/>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期初贷方余额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QCDFYE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当前科目期初贷方余额。</w:t>
            </w:r>
          </w:p>
        </w:tc>
      </w:tr>
      <w:tr>
        <w:tblPrEx>
          <w:shd w:val="clear" w:color="auto" w:fill="auto"/>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本期借方发生额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JFFSE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当前科目本期借方发生额。</w:t>
            </w:r>
          </w:p>
        </w:tc>
      </w:tr>
      <w:tr>
        <w:tblPrEx>
          <w:shd w:val="clear" w:color="auto" w:fill="auto"/>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本期贷方发生额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DFFSE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当前科目本期贷方发生额。</w:t>
            </w:r>
          </w:p>
        </w:tc>
      </w:tr>
      <w:tr>
        <w:tblPrEx>
          <w:shd w:val="clear" w:color="auto" w:fill="auto"/>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期末借方余额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QMJFYE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当前科目期末借方余额。</w:t>
            </w:r>
          </w:p>
        </w:tc>
      </w:tr>
      <w:tr>
        <w:tblPrEx>
          <w:shd w:val="clear" w:color="auto" w:fill="auto"/>
          <w:tblLayout w:type="fixed"/>
          <w:tblCellMar>
            <w:top w:w="0" w:type="dxa"/>
            <w:left w:w="0" w:type="dxa"/>
            <w:bottom w:w="0" w:type="dxa"/>
            <w:right w:w="0" w:type="dxa"/>
          </w:tblCellMar>
        </w:tblPrEx>
        <w:trPr>
          <w:trHeight w:val="288"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期末贷方余额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QMDFYE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当前科目期末贷方余额。</w:t>
            </w:r>
          </w:p>
        </w:tc>
      </w:tr>
      <w:tr>
        <w:tblPrEx>
          <w:shd w:val="clear" w:color="auto" w:fill="auto"/>
          <w:tblLayout w:type="fixed"/>
          <w:tblCellMar>
            <w:top w:w="0" w:type="dxa"/>
            <w:left w:w="0" w:type="dxa"/>
            <w:bottom w:w="0" w:type="dxa"/>
            <w:right w:w="0" w:type="dxa"/>
          </w:tblCellMar>
        </w:tblPrEx>
        <w:trPr>
          <w:trHeight w:val="576"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币种</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国际上表示货币和资金的名称代码，对应《业务代码表》中的“币种代码”，填报字母代码。例如：CNY、EUR、JRY等。</w:t>
            </w:r>
          </w:p>
        </w:tc>
      </w:tr>
      <w:tr>
        <w:tblPrEx>
          <w:shd w:val="clear" w:color="auto" w:fill="auto"/>
          <w:tblLayout w:type="fixed"/>
          <w:tblCellMar>
            <w:top w:w="0" w:type="dxa"/>
            <w:left w:w="0" w:type="dxa"/>
            <w:bottom w:w="0" w:type="dxa"/>
            <w:right w:w="0" w:type="dxa"/>
          </w:tblCellMar>
        </w:tblPrEx>
        <w:trPr>
          <w:trHeight w:val="115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报送周期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BSZQ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每月15日前应报送上月月报会计数据，每年5月15日前应报送上年年报会计数据，填报数字代码。包括：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2-月报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xml:space="preserve">5-年报                                                                                                                                                                                                                                        </w:t>
            </w:r>
          </w:p>
        </w:tc>
      </w:tr>
    </w:tbl>
    <w:p>
      <w:pPr>
        <w:rPr>
          <w:rFonts w:hint="eastAsia"/>
          <w:lang w:eastAsia="zh-CN"/>
        </w:rPr>
      </w:pPr>
    </w:p>
    <w:p>
      <w:pPr>
        <w:pStyle w:val="6"/>
        <w:numPr>
          <w:ilvl w:val="0"/>
          <w:numId w:val="4"/>
        </w:numPr>
        <w:bidi w:val="0"/>
        <w:rPr>
          <w:rFonts w:hint="eastAsia"/>
          <w:lang w:eastAsia="zh-CN"/>
        </w:rPr>
      </w:pPr>
      <w:r>
        <w:rPr>
          <w:rFonts w:hint="eastAsia"/>
          <w:lang w:eastAsia="zh-CN"/>
        </w:rPr>
        <w:t>内部科目对照表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10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NBKMDZB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内部科目对照表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0202</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总账会计全科目每一级科目由下级科目或明细账生成的关系，需要报送保险机构全量一级到最末级的会计科目。内部科目对照表由总公司统一确定，分支机构按同一内容报送。上级科目编号必须在该表中存在且具有唯一性。</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保险公司自己使用的科目编码，报送至最末级所有科目。</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保险公司自己使用的科目名称。</w:t>
            </w:r>
          </w:p>
        </w:tc>
      </w:tr>
      <w:tr>
        <w:tblPrEx>
          <w:tblLayout w:type="fixed"/>
          <w:tblCellMar>
            <w:top w:w="0" w:type="dxa"/>
            <w:left w:w="0" w:type="dxa"/>
            <w:bottom w:w="0" w:type="dxa"/>
            <w:right w:w="0" w:type="dxa"/>
          </w:tblCellMar>
        </w:tblPrEx>
        <w:trPr>
          <w:trHeight w:val="259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会计科目级次</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KMJC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总账会计科目在科目结构中所对应的级次，未设置科目层级默认一级科目。关联数据项：总账会计全科目表-总账会计科目级次。填报数字代码。包括：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1-一级科目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2-二级科目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3-三级科目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4-四级科目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5-五级科目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6-六级科目，以此类推</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上级科目编号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SJKMBH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填报会计科目归属的上级科目，一级科目的上级科目编号为0。</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上级科目名称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SJKMMC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填报会计科目归属的上级科目名称，一级科目的上级科目名称填写为“空”字。</w:t>
            </w:r>
          </w:p>
        </w:tc>
      </w:tr>
      <w:tr>
        <w:tblPrEx>
          <w:tblLayout w:type="fixed"/>
          <w:tblCellMar>
            <w:top w:w="0" w:type="dxa"/>
            <w:left w:w="0" w:type="dxa"/>
            <w:bottom w:w="0" w:type="dxa"/>
            <w:right w:w="0" w:type="dxa"/>
          </w:tblCellMar>
        </w:tblPrEx>
        <w:trPr>
          <w:trHeight w:val="230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会计科目类型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总账会计科目分类，填报数字代码。包括：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1-资产</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2-负债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3-所有者权益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4-损益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5-资产负债共同类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6-表外</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7-其他</w:t>
            </w:r>
          </w:p>
        </w:tc>
      </w:tr>
    </w:tbl>
    <w:p>
      <w:pPr>
        <w:rPr>
          <w:rFonts w:hint="eastAsia"/>
          <w:lang w:eastAsia="zh-CN"/>
        </w:rPr>
      </w:pPr>
    </w:p>
    <w:p>
      <w:pPr>
        <w:pStyle w:val="6"/>
        <w:numPr>
          <w:ilvl w:val="0"/>
          <w:numId w:val="4"/>
        </w:numPr>
        <w:bidi w:val="0"/>
        <w:rPr>
          <w:rFonts w:hint="eastAsia"/>
          <w:lang w:eastAsia="zh-CN"/>
        </w:rPr>
      </w:pPr>
      <w:r>
        <w:rPr>
          <w:rFonts w:hint="eastAsia"/>
          <w:lang w:eastAsia="zh-CN"/>
        </w:rPr>
        <w:t>财务凭证信息表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10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CWPZXXB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财务凭证信息表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0203</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本表报送境内法人全科目所有凭证数据，包括所有进行账务处理的机构，填报每日全科目凭证记录信息。</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保险公司自己使用的科目编码，报送至最末级所有科目。</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保险公司自己使用的科目名称。</w:t>
            </w:r>
          </w:p>
        </w:tc>
      </w:tr>
      <w:tr>
        <w:tblPrEx>
          <w:tblLayout w:type="fixed"/>
          <w:tblCellMar>
            <w:top w:w="0" w:type="dxa"/>
            <w:left w:w="0" w:type="dxa"/>
            <w:bottom w:w="0" w:type="dxa"/>
            <w:right w:w="0" w:type="dxa"/>
          </w:tblCellMar>
        </w:tblPrEx>
        <w:trPr>
          <w:trHeight w:val="259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会计科目级次</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KMJC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总账会计科目在科目结构中所对应的级次，未设置科目层级默认一级科目。关联数据项：总账会计全科目表-总账会计科目级次。填报数字代码。包括：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1-一级科目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2-二级科目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3-三级科目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4-四级科目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5-五级科目</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6-六级科目，以此类推</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上级科目编号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SJKMBH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填报会计科目归属的上级科目，一级科目的上级科目编号为0。</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上级科目名称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SJKMMC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填报会计科目归属的上级科目名称，一级科目的上级科目名称填写为“空”字。</w:t>
            </w:r>
          </w:p>
        </w:tc>
      </w:tr>
      <w:tr>
        <w:tblPrEx>
          <w:tblLayout w:type="fixed"/>
          <w:tblCellMar>
            <w:top w:w="0" w:type="dxa"/>
            <w:left w:w="0" w:type="dxa"/>
            <w:bottom w:w="0" w:type="dxa"/>
            <w:right w:w="0" w:type="dxa"/>
          </w:tblCellMar>
        </w:tblPrEx>
        <w:trPr>
          <w:trHeight w:val="230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会计科目类型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KMLX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总账会计科目分类，填报数字代码。包括：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1-资产</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2-负债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3-所有者权益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4-损益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5-资产负债共同类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6-表外</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7-其他</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本表报送境内法人全科目所有凭证数据，包括所有进行账务处理的机构，填报每日全科目凭证记录信息。</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保险账套编号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BXZTBH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保险公司自己的账套编码，应具有唯一标识。</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保险账套名称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BXZTMC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保险公司自己的账套名称，应具有唯一标识。</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FZJGDM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保险公司分支机构的内部编码。关联数据项：分支机构信息表-分支机构代码。</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归属期间</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GSQJ</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凭证的归属年月，YYYYMM。</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记账日期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JZRQ1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凭证的记账日期，YYYYMMDD。</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记账凭证号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JZPZH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保险公司内部根据一定的规则编制的凭证编号，为唯一标识。</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ZZKJKMBH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保险公司自己使用的科目编码。关联数据项：内部科目对照表-总账会计科目编号。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ZZKJKMMC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保险公司自己使用的科目名称。关联数据项：内部科目对照表-总账会计科目名称。</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凭证来源</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PZLY</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凭证的系统来源，填报中文描述。如投资系统、核心业务系统、手工等。</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摘要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ZY1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记账凭证摘要。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币种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国际上表示货币和资金的名称代码，对应《业务代码表》中的“币种代码”，填报字母代码。例如：CNY、EUR、JRY等。</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交易币借方</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JYBJF</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交易币借方发生金额。</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交易币贷方</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JYBDF</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交易币贷方发生金额。</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本位币借方</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BWBJF</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交易币按照既定规则的汇率折成的本位币借方发生金额。</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本位币贷方</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BWBDF</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交易币按照既定规则的汇率折成的本位币贷方发生金额。</w:t>
            </w:r>
          </w:p>
        </w:tc>
      </w:tr>
    </w:tbl>
    <w:p>
      <w:pPr>
        <w:rPr>
          <w:rFonts w:hint="eastAsia"/>
          <w:lang w:eastAsia="zh-CN"/>
        </w:rPr>
      </w:pPr>
    </w:p>
    <w:p>
      <w:pPr>
        <w:pStyle w:val="6"/>
        <w:numPr>
          <w:ilvl w:val="0"/>
          <w:numId w:val="4"/>
        </w:numPr>
        <w:bidi w:val="0"/>
        <w:rPr>
          <w:rFonts w:hint="eastAsia"/>
          <w:lang w:eastAsia="zh-CN"/>
        </w:rPr>
      </w:pPr>
      <w:r>
        <w:rPr>
          <w:rFonts w:hint="eastAsia"/>
          <w:lang w:eastAsia="zh-CN"/>
        </w:rPr>
        <w:t>银行账户信息表</w:t>
      </w:r>
    </w:p>
    <w:p>
      <w:pPr>
        <w:rPr>
          <w:rFonts w:hint="eastAsia"/>
          <w:lang w:eastAsia="zh-CN"/>
        </w:rPr>
      </w:pP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10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YHZHXXB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0204</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本表报送再保险公司所有银行账户信息。</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FZJGDM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保险公司分支机构的内部编码。关联数据项：分支机构信息表-分支机构代码。</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保险公司开户行名称。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YHZH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保险公司开户银行的账号。</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YHZHMC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银行账户名称。</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YHZHLX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保险公司银行账户的类型，对应《业务代码表》中的“银行账户类型代码”，填报中文描述。例如：活期、基本户等。</w:t>
            </w:r>
          </w:p>
        </w:tc>
      </w:tr>
      <w:tr>
        <w:tblPrEx>
          <w:tblLayout w:type="fixed"/>
          <w:tblCellMar>
            <w:top w:w="0" w:type="dxa"/>
            <w:left w:w="0" w:type="dxa"/>
            <w:bottom w:w="0" w:type="dxa"/>
            <w:right w:w="0" w:type="dxa"/>
          </w:tblCellMar>
        </w:tblPrEx>
        <w:trPr>
          <w:trHeight w:val="230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银行账户状态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YHZHZT</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保险公司银行账户的目前状态，填报中文描述。包括：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未启用</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正常</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冻结</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注销</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作废</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挂失</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其他</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币种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国际上表示货币和资金的名称代码，对应《业务代码表》中的“币种代码”，填报字母代码。例如：CNY、EUR、JRY等。</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开户日期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保险公司银行开户日期。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销户日期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XHRQ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保险公司银行销户日期。如未销户，填写默认值99991231。</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境外标志</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JWBZ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银行账户是否为境外账户。是，否。填报中文描述。</w:t>
            </w:r>
          </w:p>
        </w:tc>
      </w:tr>
    </w:tbl>
    <w:p>
      <w:pPr>
        <w:rPr>
          <w:rFonts w:hint="eastAsia"/>
          <w:lang w:eastAsia="zh-CN"/>
        </w:rPr>
      </w:pPr>
    </w:p>
    <w:p>
      <w:pPr>
        <w:pStyle w:val="4"/>
        <w:keepNext/>
        <w:keepLines/>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602" w:firstLineChars="200"/>
        <w:jc w:val="both"/>
        <w:textAlignment w:val="auto"/>
        <w:outlineLvl w:val="2"/>
        <w:rPr>
          <w:rFonts w:hint="eastAsia"/>
          <w:szCs w:val="22"/>
          <w:lang w:eastAsia="zh-CN"/>
        </w:rPr>
      </w:pPr>
      <w:bookmarkStart w:id="51" w:name="_Toc26735"/>
      <w:bookmarkStart w:id="52" w:name="_Toc4941"/>
      <w:r>
        <w:rPr>
          <w:rFonts w:hint="eastAsia"/>
          <w:szCs w:val="22"/>
          <w:lang w:eastAsia="zh-CN"/>
        </w:rPr>
        <w:t>再保业务信息</w:t>
      </w:r>
      <w:bookmarkEnd w:id="51"/>
      <w:bookmarkEnd w:id="52"/>
    </w:p>
    <w:p>
      <w:pPr>
        <w:pStyle w:val="6"/>
        <w:numPr>
          <w:ilvl w:val="0"/>
          <w:numId w:val="5"/>
        </w:numPr>
        <w:bidi w:val="0"/>
        <w:rPr>
          <w:rFonts w:hint="eastAsia"/>
          <w:lang w:eastAsia="zh-CN"/>
        </w:rPr>
      </w:pPr>
      <w:r>
        <w:rPr>
          <w:rFonts w:hint="eastAsia"/>
          <w:lang w:eastAsia="zh-CN"/>
        </w:rPr>
        <w:t>客户信息表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10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KHXXB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0301</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本表报送再保险公司所有有再保险业务关系的客户基本信息。</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再保险公司内部唯一标识该客户的编号。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再保险系统登记号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ZBXXTDJH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客户在银保监会再保险登记系统中的登记号码。在再保险登记系统中无法查询到的客户填写“不适用”。</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全球法人识别编码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QQFRSBBM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LEI是按照国际标准化组织ISO 17442标准为全球法人分配的唯一识别编码，LEI编码是由20位数字和字母组成的唯一编码。我国LEI编码包括前缀码部分、预留位部分、机构特定部分和校验位四部分。</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再保客户的中文或英文全称，应与公章所使用的名称完全一致。</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客户简称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KHJC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再保险公司内部使用该客户的中文或英文简称。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客户分类，保险/再保险公司，经纪公司。填报中文描述。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客户状态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KHZT</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正常，禁用，其他。填报中文描述。</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国家地区</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GJDQ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001007</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客户注册地址所在国家或者地区名称。按照《业务代码表》中的“国别代码”名称列填写。</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注册地址</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ZCDZ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001009</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营业执照上的住所或经营场所。</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法定代表人</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FDDBR</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营业执照上的法定代表人，没有法定代表人的填写负责人。隐私，再保险公司变形，名称保留最后一个字，其余汉字及单词丢弃。</w:t>
            </w:r>
          </w:p>
        </w:tc>
      </w:tr>
    </w:tbl>
    <w:p>
      <w:pPr>
        <w:rPr>
          <w:rFonts w:hint="eastAsia"/>
          <w:lang w:eastAsia="zh-CN"/>
        </w:rPr>
      </w:pPr>
    </w:p>
    <w:p>
      <w:pPr>
        <w:pStyle w:val="6"/>
        <w:numPr>
          <w:ilvl w:val="0"/>
          <w:numId w:val="5"/>
        </w:numPr>
        <w:bidi w:val="0"/>
        <w:rPr>
          <w:rFonts w:hint="eastAsia"/>
          <w:lang w:eastAsia="zh-CN"/>
        </w:rPr>
      </w:pPr>
      <w:r>
        <w:rPr>
          <w:rFonts w:hint="eastAsia"/>
          <w:lang w:eastAsia="zh-CN"/>
        </w:rPr>
        <w:t>合同基本信息表</w:t>
      </w:r>
    </w:p>
    <w:p>
      <w:pPr>
        <w:rPr>
          <w:rFonts w:hint="eastAsia"/>
          <w:lang w:eastAsia="zh-CN"/>
        </w:rPr>
      </w:pP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76"/>
        <w:gridCol w:w="1049"/>
        <w:gridCol w:w="716"/>
        <w:gridCol w:w="717"/>
        <w:gridCol w:w="3723"/>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5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HTJBXXB</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合同基本信息表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0302</w:t>
            </w:r>
          </w:p>
        </w:tc>
        <w:tc>
          <w:tcPr>
            <w:tcW w:w="515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本表报送再保险公司所有的业务合同，包含非保险合同。</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报送数据范围：</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1.集中采集：采集时间段内所有新签署合同及有效合同。</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2.持续采集：签署日期在采集日期之前所有有效合同。</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合同编号</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再保险公司内部定义的合同唯一编号。</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合同名称</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再保险公司内部定义的合同名称。</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合同有效标志</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HTYXBZ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合同是否有效的标志。填报中文描述：是，否。以再保责任是否存在作为判定依据。</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临分标志</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LFBZ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是否为临时分保。是，否。填报中文描述。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合同起期</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HTQQ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再保险合同上记录的生效日期。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合同止期</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HTZQ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再保险合同上记录的终止日期。开口合同写99991231。</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签署日期</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QSRQ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再保险合同上记录的签署日期。对于先录入系统较晚才签署文本的情况，填写业务在系统中复核生效日期。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合同类型</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再保险合同的类型标志，比例合同，非比例合同。填报中文描述。</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业务类型</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再保险业务的类型代码，填报中文描述。包括：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分出业务</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分入业务</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客户编号</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再保险机构内部客户编号。关联数据项：客户信息表-客户编号。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客户名称</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再保险机构内部客户名称。关联数据项：客户信息表-客户名称。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首席再保人编号</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SXZBRBH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再保险合同的首席再保险公司编号。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首席再保人</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SXZBR</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再保险合同的首席再保险公司名称，应与公章所使用的名称完全一致。</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经纪渠道标志</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JJQDBZ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该再保险合同是否通过再保险经纪人办理。是，否。填报中文描述。</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再保险经纪人编号</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ZBXJJRBH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当再保险合同通过再保险经纪人办理时，填报再保险经纪人编号。关联数据项：客户信息表-客户编号。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再保险经纪人机构名称</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ZBXJJRJGMC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当再保险合同通过再保险经纪人办理时，填报再保险经纪人名称。关联数据项：客户信息表-客户名称。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业务年度</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YWND</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再保险合同起期业务年度。仅财产险填写。</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续转标志</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XZBZ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是，否。填报中文描述。财产险按实际填写，寿险填“不适用”。</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续转合同编号</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XZHTBH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被续转的合同唯一编号。仅财产险填写。</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纯益标志</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CYBZ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是否约定纯益手续费。有，无。填报中文描述。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境外标志</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JWBZ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客户公司注册所在地是否在境外。是，否。填报中文描述。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合同终止方式</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HTZZFS</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003007</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合同的终止方式。自然终止,结清终止,混合或其他方式。</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合同属性</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HTSX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003008</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保险合同，非保险合同，混合。填报中文描述。</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本表报送再保险公司所有的按照产品约定分保条件的比例合同的产品相关信息（适用寿险可以细分到产品的业务）。</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合同编号</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再保险公司内部定义的合同唯一编号。关联数据项：合同基本信息表-合同编号。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产品序号</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CPXH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再保险合同下产品序号。例如某合同有10个产品，序号从1到10。</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产品名称</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CPMC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再保险合同下产品名称。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产品代码</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CPDM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再保险公司内部使用的产品代码。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险类名称</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XLMC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003009</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寿险，意外险，健康险。填报中文描述。多个责任险类以英文半角分号隔开。</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分保方式</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FBFS</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成数，溢额，成数溢额混合。填报中文描述。</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币种</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保费的币种。按照《业务代码表》中的“币种代码”字母代码列填写。</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再保责任适用起期</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ZBZRSYQQ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该产品再保责任起始日期。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再保责任适用止期</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ZBZRSYZQ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该产品再保责任终止日期。止期不定的填写99991231。</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自留比例</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ZLBL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适用于成数或成数溢额混合分保，多个责任险类填写最大比例。</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自留额</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ZLE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分出公司自留额，适用于溢额或成数溢额混合分保，多个责任险类填写最大值。</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承保限额</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CBXE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合同约定的自动接受限额。</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手续费类型</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SXFLX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固定，浮动，无。填报中文描述。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参与份额</w:t>
            </w:r>
          </w:p>
        </w:tc>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CYFE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分入公司接受分出部分的份额。</w:t>
            </w:r>
          </w:p>
        </w:tc>
      </w:tr>
    </w:tbl>
    <w:p>
      <w:pPr>
        <w:rPr>
          <w:rFonts w:hint="eastAsia"/>
          <w:lang w:eastAsia="zh-CN"/>
        </w:rPr>
      </w:pPr>
    </w:p>
    <w:p>
      <w:pPr>
        <w:pStyle w:val="6"/>
        <w:numPr>
          <w:ilvl w:val="0"/>
          <w:numId w:val="5"/>
        </w:numPr>
        <w:bidi w:val="0"/>
        <w:rPr>
          <w:rFonts w:hint="eastAsia"/>
          <w:lang w:eastAsia="zh-CN"/>
        </w:rPr>
      </w:pPr>
      <w:r>
        <w:rPr>
          <w:rFonts w:hint="eastAsia"/>
          <w:lang w:eastAsia="zh-CN"/>
        </w:rPr>
        <w:t>比例合同产品信息表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BLHTCPXXB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比例合同产品信息表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0303</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本表报送再保险公司所有的按照产品约定分保条件的比例合同的产品相关信息（适用寿险可以细分到产品的业务）。</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再保险公司内部定义的合同唯一编号。关联数据项：合同基本信息表-合同编号。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产品序号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CPXH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再保险合同下产品序号。例如某合同有10个产品，序号从1到10。</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CPMC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再保险合同下产品名称。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CPDM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再保险公司内部使用的产品代码。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险类名称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XLMC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003009</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寿险，意外险，健康险。填报中文描述。多个责任险类以英文半角分号隔开。</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分保方式</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FBFS</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成数，溢额，成数溢额混合。填报中文描述。</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币种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保费的币种。按照《业务代码表》中的“币种代码”字母代码列填写。</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再保责任适用起期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ZBZRSYQQ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该产品再保责任起始日期。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再保责任适用止期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ZBZRSYZQ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该产品再保责任终止日期。止期不定的填写99991231。</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自留比例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ZLBL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适用于成数或成数溢额混合分保，多个责任险类填写最大比例。</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自留额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ZLE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分出公司自留额，适用于溢额或成数溢额混合分保，多个责任险类填写最大值。</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承保限额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CBXE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合同约定的自动接受限额。</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手续费类型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SXFLX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固定，浮动，无。填报中文描述。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参与份额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CYFE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分入公司接受分出部分的份额。</w:t>
            </w:r>
          </w:p>
        </w:tc>
      </w:tr>
    </w:tbl>
    <w:p>
      <w:pPr>
        <w:rPr>
          <w:rFonts w:hint="eastAsia"/>
          <w:lang w:eastAsia="zh-CN"/>
        </w:rPr>
      </w:pPr>
    </w:p>
    <w:p>
      <w:pPr>
        <w:pStyle w:val="6"/>
        <w:numPr>
          <w:ilvl w:val="0"/>
          <w:numId w:val="5"/>
        </w:numPr>
        <w:bidi w:val="0"/>
        <w:rPr>
          <w:rFonts w:hint="eastAsia"/>
          <w:lang w:eastAsia="zh-CN"/>
        </w:rPr>
      </w:pPr>
      <w:r>
        <w:rPr>
          <w:rFonts w:hint="eastAsia"/>
          <w:lang w:eastAsia="zh-CN"/>
        </w:rPr>
        <w:t>比例合同分项信息表</w:t>
      </w:r>
    </w:p>
    <w:tbl>
      <w:tblPr>
        <w:tblStyle w:val="15"/>
        <w:tblW w:w="8330" w:type="dxa"/>
        <w:tblInd w:w="0" w:type="dxa"/>
        <w:shd w:val="clear" w:color="auto" w:fill="auto"/>
        <w:tblLayout w:type="fixed"/>
        <w:tblCellMar>
          <w:top w:w="0" w:type="dxa"/>
          <w:left w:w="0" w:type="dxa"/>
          <w:bottom w:w="0" w:type="dxa"/>
          <w:right w:w="0" w:type="dxa"/>
        </w:tblCellMar>
      </w:tblPr>
      <w:tblGrid>
        <w:gridCol w:w="1032"/>
        <w:gridCol w:w="1161"/>
        <w:gridCol w:w="1033"/>
        <w:gridCol w:w="705"/>
        <w:gridCol w:w="706"/>
        <w:gridCol w:w="3693"/>
      </w:tblGrid>
      <w:tr>
        <w:tblPrEx>
          <w:shd w:val="clear" w:color="auto" w:fill="auto"/>
          <w:tblLayout w:type="fixed"/>
          <w:tblCellMar>
            <w:top w:w="0" w:type="dxa"/>
            <w:left w:w="0" w:type="dxa"/>
            <w:bottom w:w="0" w:type="dxa"/>
            <w:right w:w="0" w:type="dxa"/>
          </w:tblCellMar>
        </w:tblPrEx>
        <w:trPr>
          <w:trHeight w:val="312"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0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BLHTFXXXB</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比例合同分项信息表</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0304</w:t>
            </w:r>
          </w:p>
        </w:tc>
        <w:tc>
          <w:tcPr>
            <w:tcW w:w="510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所有除《比例合同产品信息表》报送范围之外的比例合同的相关信息（适用财产险业务以及不能细分到产品的寿险业务）。分项是指合同信息根据不同险种或不同保障内容在系统中记入为多个子合同的，应按子合同填写。</w:t>
            </w:r>
          </w:p>
        </w:tc>
      </w:tr>
      <w:tr>
        <w:tblPrEx>
          <w:tblLayout w:type="fixed"/>
          <w:tblCellMar>
            <w:top w:w="0" w:type="dxa"/>
            <w:left w:w="0" w:type="dxa"/>
            <w:bottom w:w="0" w:type="dxa"/>
            <w:right w:w="0" w:type="dxa"/>
          </w:tblCellMar>
        </w:tblPrEx>
        <w:trPr>
          <w:trHeight w:val="312"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合同编号</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HTBH</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再保险公司内部定义的合同唯一编号。关联数据项：合同基本信息表-合同编号。</w:t>
            </w:r>
          </w:p>
        </w:tc>
      </w:tr>
      <w:tr>
        <w:tblPrEx>
          <w:tblLayout w:type="fixed"/>
          <w:tblCellMar>
            <w:top w:w="0" w:type="dxa"/>
            <w:left w:w="0" w:type="dxa"/>
            <w:bottom w:w="0" w:type="dxa"/>
            <w:right w:w="0" w:type="dxa"/>
          </w:tblCellMar>
        </w:tblPrEx>
        <w:trPr>
          <w:trHeight w:val="576"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分项序号</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FXXH</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再保险合同下一层级序号。例如某合同有10个分项，序号从1到10。</w:t>
            </w:r>
          </w:p>
        </w:tc>
      </w:tr>
      <w:tr>
        <w:tblPrEx>
          <w:tblLayout w:type="fixed"/>
          <w:tblCellMar>
            <w:top w:w="0" w:type="dxa"/>
            <w:left w:w="0" w:type="dxa"/>
            <w:bottom w:w="0" w:type="dxa"/>
            <w:right w:w="0"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业务险类名称</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YWXLMC</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公司内部业务管理过程中使用的险类名称。</w:t>
            </w:r>
          </w:p>
        </w:tc>
      </w:tr>
      <w:tr>
        <w:tblPrEx>
          <w:tblLayout w:type="fixed"/>
          <w:tblCellMar>
            <w:top w:w="0" w:type="dxa"/>
            <w:left w:w="0" w:type="dxa"/>
            <w:bottom w:w="0" w:type="dxa"/>
            <w:right w:w="0" w:type="dxa"/>
          </w:tblCellMar>
        </w:tblPrEx>
        <w:trPr>
          <w:trHeight w:val="576"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统计险类名称</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TJXLMC</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003012</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业务险类对应的统计信息系统报送的险类名称。按照《业务代码表》中的“统计险类代码”名称列填写。</w:t>
            </w:r>
          </w:p>
        </w:tc>
      </w:tr>
      <w:tr>
        <w:tblPrEx>
          <w:tblLayout w:type="fixed"/>
          <w:tblCellMar>
            <w:top w:w="0" w:type="dxa"/>
            <w:left w:w="0" w:type="dxa"/>
            <w:bottom w:w="0" w:type="dxa"/>
            <w:right w:w="0"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分保方式</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FBFS</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成数，溢额，成数溢额混合。填报中文描述。</w:t>
            </w:r>
          </w:p>
        </w:tc>
      </w:tr>
      <w:tr>
        <w:tblPrEx>
          <w:tblLayout w:type="fixed"/>
          <w:tblCellMar>
            <w:top w:w="0" w:type="dxa"/>
            <w:left w:w="0" w:type="dxa"/>
            <w:bottom w:w="0" w:type="dxa"/>
            <w:right w:w="0" w:type="dxa"/>
          </w:tblCellMar>
        </w:tblPrEx>
        <w:trPr>
          <w:trHeight w:val="576"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币种</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BZ</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001006</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保费的币种。按照《业务代码表》中的“币种代码”字母代码列填写。</w:t>
            </w:r>
          </w:p>
        </w:tc>
      </w:tr>
      <w:tr>
        <w:tblPrEx>
          <w:tblLayout w:type="fixed"/>
          <w:tblCellMar>
            <w:top w:w="0" w:type="dxa"/>
            <w:left w:w="0" w:type="dxa"/>
            <w:bottom w:w="0" w:type="dxa"/>
            <w:right w:w="0"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自留比例</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ZLBL</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适用成数或成数溢额混合分保，分出公司成数自留比例。</w:t>
            </w:r>
          </w:p>
        </w:tc>
      </w:tr>
      <w:tr>
        <w:tblPrEx>
          <w:tblLayout w:type="fixed"/>
          <w:tblCellMar>
            <w:top w:w="0" w:type="dxa"/>
            <w:left w:w="0" w:type="dxa"/>
            <w:bottom w:w="0" w:type="dxa"/>
            <w:right w:w="0"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最大净自留额</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ZDJZLE</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适用溢额或成数溢额混合分保，分出公司最大自留额。</w:t>
            </w:r>
          </w:p>
        </w:tc>
      </w:tr>
      <w:tr>
        <w:tblPrEx>
          <w:tblLayout w:type="fixed"/>
          <w:tblCellMar>
            <w:top w:w="0" w:type="dxa"/>
            <w:left w:w="0" w:type="dxa"/>
            <w:bottom w:w="0" w:type="dxa"/>
            <w:right w:w="0" w:type="dxa"/>
          </w:tblCellMar>
        </w:tblPrEx>
        <w:trPr>
          <w:trHeight w:val="576"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最大毛自留额</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ZDMZLE</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适用溢额或成数溢额混合分保，分出公司自留额与成数分出额之和。</w:t>
            </w:r>
          </w:p>
        </w:tc>
      </w:tr>
      <w:tr>
        <w:tblPrEx>
          <w:tblLayout w:type="fixed"/>
          <w:tblCellMar>
            <w:top w:w="0" w:type="dxa"/>
            <w:left w:w="0" w:type="dxa"/>
            <w:bottom w:w="0" w:type="dxa"/>
            <w:right w:w="0"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最大承保限额</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ZDCBXE</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分入公司承担的责任限额。如有多项，填写最大值。</w:t>
            </w:r>
          </w:p>
        </w:tc>
      </w:tr>
      <w:tr>
        <w:tblPrEx>
          <w:tblLayout w:type="fixed"/>
          <w:tblCellMar>
            <w:top w:w="0" w:type="dxa"/>
            <w:left w:w="0" w:type="dxa"/>
            <w:bottom w:w="0" w:type="dxa"/>
            <w:right w:w="0"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溢额线数</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YEXS</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适用溢额或成数溢额混合分保，毛自留额的倍数。</w:t>
            </w:r>
          </w:p>
        </w:tc>
      </w:tr>
      <w:tr>
        <w:tblPrEx>
          <w:tblLayout w:type="fixed"/>
          <w:tblCellMar>
            <w:top w:w="0" w:type="dxa"/>
            <w:left w:w="0" w:type="dxa"/>
            <w:bottom w:w="0" w:type="dxa"/>
            <w:right w:w="0"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手续费类型</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SXFLX</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003011</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固定，浮动，无。填报中文描述。</w:t>
            </w:r>
          </w:p>
        </w:tc>
      </w:tr>
      <w:tr>
        <w:tblPrEx>
          <w:tblLayout w:type="fixed"/>
          <w:tblCellMar>
            <w:top w:w="0" w:type="dxa"/>
            <w:left w:w="0" w:type="dxa"/>
            <w:bottom w:w="0" w:type="dxa"/>
            <w:right w:w="0"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固定手续费率</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GDSXFL</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固定分保手续费率，填写百分比</w:t>
            </w:r>
          </w:p>
        </w:tc>
      </w:tr>
      <w:tr>
        <w:tblPrEx>
          <w:tblLayout w:type="fixed"/>
          <w:tblCellMar>
            <w:top w:w="0" w:type="dxa"/>
            <w:left w:w="0" w:type="dxa"/>
            <w:bottom w:w="0" w:type="dxa"/>
            <w:right w:w="0" w:type="dxa"/>
          </w:tblCellMar>
        </w:tblPrEx>
        <w:trPr>
          <w:trHeight w:val="576"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浮动手续费率上限</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FDSXFLSX</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浮动手续费率上限，填写百分比</w:t>
            </w:r>
          </w:p>
        </w:tc>
      </w:tr>
      <w:tr>
        <w:tblPrEx>
          <w:tblLayout w:type="fixed"/>
          <w:tblCellMar>
            <w:top w:w="0" w:type="dxa"/>
            <w:left w:w="0" w:type="dxa"/>
            <w:bottom w:w="0" w:type="dxa"/>
            <w:right w:w="0" w:type="dxa"/>
          </w:tblCellMar>
        </w:tblPrEx>
        <w:trPr>
          <w:trHeight w:val="576"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浮动手续费率下限</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FDSXFLXX</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浮动手续费率下限，填写百分比</w:t>
            </w:r>
          </w:p>
        </w:tc>
      </w:tr>
      <w:tr>
        <w:tblPrEx>
          <w:tblLayout w:type="fixed"/>
          <w:tblCellMar>
            <w:top w:w="0" w:type="dxa"/>
            <w:left w:w="0" w:type="dxa"/>
            <w:bottom w:w="0" w:type="dxa"/>
            <w:right w:w="0"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纯益手续费率</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CYSXFL</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填写百分比。如无填写0.</w:t>
            </w:r>
          </w:p>
        </w:tc>
      </w:tr>
      <w:tr>
        <w:tblPrEx>
          <w:tblLayout w:type="fixed"/>
          <w:tblCellMar>
            <w:top w:w="0" w:type="dxa"/>
            <w:left w:w="0" w:type="dxa"/>
            <w:bottom w:w="0" w:type="dxa"/>
            <w:right w:w="0" w:type="dxa"/>
          </w:tblCellMar>
        </w:tblPrEx>
        <w:trPr>
          <w:trHeight w:val="2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参与份额</w:t>
            </w:r>
          </w:p>
        </w:tc>
        <w:tc>
          <w:tcPr>
            <w:tcW w:w="116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CYFE</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分入公司接受分出部分的份额。</w:t>
            </w:r>
          </w:p>
        </w:tc>
      </w:tr>
    </w:tbl>
    <w:p>
      <w:pPr>
        <w:rPr>
          <w:rFonts w:hint="eastAsia"/>
          <w:lang w:eastAsia="zh-CN"/>
        </w:rPr>
      </w:pPr>
    </w:p>
    <w:p>
      <w:pPr>
        <w:pStyle w:val="6"/>
        <w:numPr>
          <w:ilvl w:val="0"/>
          <w:numId w:val="5"/>
        </w:numPr>
        <w:bidi w:val="0"/>
        <w:rPr>
          <w:rFonts w:hint="eastAsia"/>
          <w:lang w:eastAsia="zh-CN"/>
        </w:rPr>
      </w:pPr>
      <w:r>
        <w:rPr>
          <w:rFonts w:hint="eastAsia"/>
          <w:lang w:eastAsia="zh-CN"/>
        </w:rPr>
        <w:t>非比例合同分层信息表</w:t>
      </w:r>
    </w:p>
    <w:p>
      <w:pPr>
        <w:rPr>
          <w:rFonts w:hint="eastAsia"/>
          <w:lang w:eastAsia="zh-CN"/>
        </w:rPr>
      </w:pPr>
    </w:p>
    <w:tbl>
      <w:tblPr>
        <w:tblStyle w:val="15"/>
        <w:tblW w:w="8330" w:type="dxa"/>
        <w:tblInd w:w="0" w:type="dxa"/>
        <w:shd w:val="clear" w:color="auto" w:fill="auto"/>
        <w:tblLayout w:type="fixed"/>
        <w:tblCellMar>
          <w:top w:w="0" w:type="dxa"/>
          <w:left w:w="0" w:type="dxa"/>
          <w:bottom w:w="0" w:type="dxa"/>
          <w:right w:w="0" w:type="dxa"/>
        </w:tblCellMar>
      </w:tblPr>
      <w:tblGrid>
        <w:gridCol w:w="1076"/>
        <w:gridCol w:w="1269"/>
        <w:gridCol w:w="1017"/>
        <w:gridCol w:w="695"/>
        <w:gridCol w:w="694"/>
        <w:gridCol w:w="3579"/>
      </w:tblGrid>
      <w:tr>
        <w:tblPrEx>
          <w:shd w:val="clear" w:color="auto" w:fill="auto"/>
          <w:tblLayout w:type="fixed"/>
          <w:tblCellMar>
            <w:top w:w="0" w:type="dxa"/>
            <w:left w:w="0" w:type="dxa"/>
            <w:bottom w:w="0" w:type="dxa"/>
            <w:right w:w="0" w:type="dxa"/>
          </w:tblCellMar>
        </w:tblPrEx>
        <w:trPr>
          <w:trHeight w:val="312"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49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FBLHTFCXXB</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非比例合同分层信息表</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0305</w:t>
            </w:r>
          </w:p>
        </w:tc>
        <w:tc>
          <w:tcPr>
            <w:tcW w:w="49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本表报送再保险公司所有非比例合同的相关信息（非比例合同的不同层分别录入为子合同的，应按子合同填写）。</w:t>
            </w:r>
          </w:p>
        </w:tc>
      </w:tr>
      <w:tr>
        <w:tblPrEx>
          <w:tblLayout w:type="fixed"/>
          <w:tblCellMar>
            <w:top w:w="0" w:type="dxa"/>
            <w:left w:w="0" w:type="dxa"/>
            <w:bottom w:w="0" w:type="dxa"/>
            <w:right w:w="0" w:type="dxa"/>
          </w:tblCellMar>
        </w:tblPrEx>
        <w:trPr>
          <w:trHeight w:val="312"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合同编号</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HTBH</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再保险公司内部定义的合同唯一编号。关联数据项：合同基本信息表-合同编号。</w:t>
            </w:r>
          </w:p>
        </w:tc>
      </w:tr>
      <w:tr>
        <w:tblPrEx>
          <w:tblLayout w:type="fixed"/>
          <w:tblCellMar>
            <w:top w:w="0" w:type="dxa"/>
            <w:left w:w="0" w:type="dxa"/>
            <w:bottom w:w="0" w:type="dxa"/>
            <w:right w:w="0" w:type="dxa"/>
          </w:tblCellMar>
        </w:tblPrEx>
        <w:trPr>
          <w:trHeight w:val="288"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分层序号</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FCXH</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再保险合同下的层级序号。例如某合同分10层，序号从1到10。</w:t>
            </w:r>
          </w:p>
        </w:tc>
      </w:tr>
      <w:tr>
        <w:tblPrEx>
          <w:tblLayout w:type="fixed"/>
          <w:tblCellMar>
            <w:top w:w="0" w:type="dxa"/>
            <w:left w:w="0" w:type="dxa"/>
            <w:bottom w:w="0" w:type="dxa"/>
            <w:right w:w="0" w:type="dxa"/>
          </w:tblCellMar>
        </w:tblPrEx>
        <w:trPr>
          <w:trHeight w:val="288"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业务险类名称</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YWXLMC</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公司内部业务管理过程中使用的险类名称。</w:t>
            </w:r>
          </w:p>
        </w:tc>
      </w:tr>
      <w:tr>
        <w:tblPrEx>
          <w:tblLayout w:type="fixed"/>
          <w:tblCellMar>
            <w:top w:w="0" w:type="dxa"/>
            <w:left w:w="0" w:type="dxa"/>
            <w:bottom w:w="0" w:type="dxa"/>
            <w:right w:w="0" w:type="dxa"/>
          </w:tblCellMar>
        </w:tblPrEx>
        <w:trPr>
          <w:trHeight w:val="576"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统计险类名称</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TJXLMC</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003012</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业务险类对应的统计信息系统报送的险类名称。按照《业务代码表》中的“统计险类代码”名称列填写。</w:t>
            </w:r>
          </w:p>
        </w:tc>
      </w:tr>
      <w:tr>
        <w:tblPrEx>
          <w:tblLayout w:type="fixed"/>
          <w:tblCellMar>
            <w:top w:w="0" w:type="dxa"/>
            <w:left w:w="0" w:type="dxa"/>
            <w:bottom w:w="0" w:type="dxa"/>
            <w:right w:w="0" w:type="dxa"/>
          </w:tblCellMar>
        </w:tblPrEx>
        <w:trPr>
          <w:trHeight w:val="576"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非比例合同分保方式</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FBLHTFBFS</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003013</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事故或险位超赔，赔付率超赔，伞状超赔。填报中文描述。</w:t>
            </w:r>
          </w:p>
        </w:tc>
      </w:tr>
      <w:tr>
        <w:tblPrEx>
          <w:tblLayout w:type="fixed"/>
          <w:tblCellMar>
            <w:top w:w="0" w:type="dxa"/>
            <w:left w:w="0" w:type="dxa"/>
            <w:bottom w:w="0" w:type="dxa"/>
            <w:right w:w="0" w:type="dxa"/>
          </w:tblCellMar>
        </w:tblPrEx>
        <w:trPr>
          <w:trHeight w:val="576"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币种</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BZ</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001006</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合同约定的币种。按照《业务代码表》中的“币种代码”字母代码列填写。</w:t>
            </w:r>
          </w:p>
        </w:tc>
      </w:tr>
      <w:tr>
        <w:tblPrEx>
          <w:tblLayout w:type="fixed"/>
          <w:tblCellMar>
            <w:top w:w="0" w:type="dxa"/>
            <w:left w:w="0" w:type="dxa"/>
            <w:bottom w:w="0" w:type="dxa"/>
            <w:right w:w="0" w:type="dxa"/>
          </w:tblCellMar>
        </w:tblPrEx>
        <w:trPr>
          <w:trHeight w:val="288"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免赔额</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MPE</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适用于事故或险位超赔，分出公司承担的损失金额。</w:t>
            </w:r>
          </w:p>
        </w:tc>
      </w:tr>
      <w:tr>
        <w:tblPrEx>
          <w:tblLayout w:type="fixed"/>
          <w:tblCellMar>
            <w:top w:w="0" w:type="dxa"/>
            <w:left w:w="0" w:type="dxa"/>
            <w:bottom w:w="0" w:type="dxa"/>
            <w:right w:w="0" w:type="dxa"/>
          </w:tblCellMar>
        </w:tblPrEx>
        <w:trPr>
          <w:trHeight w:val="288"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免赔额比例</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MPEBL</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适用于赔付率超赔，分出公司承担的免赔额比例。</w:t>
            </w:r>
          </w:p>
        </w:tc>
      </w:tr>
      <w:tr>
        <w:tblPrEx>
          <w:tblLayout w:type="fixed"/>
          <w:tblCellMar>
            <w:top w:w="0" w:type="dxa"/>
            <w:left w:w="0" w:type="dxa"/>
            <w:bottom w:w="0" w:type="dxa"/>
            <w:right w:w="0" w:type="dxa"/>
          </w:tblCellMar>
        </w:tblPrEx>
        <w:trPr>
          <w:trHeight w:val="288"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限额</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XE</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适用于事故或险位超赔，分入公司承担的最大赔付金额。</w:t>
            </w:r>
          </w:p>
        </w:tc>
      </w:tr>
      <w:tr>
        <w:tblPrEx>
          <w:tblLayout w:type="fixed"/>
          <w:tblCellMar>
            <w:top w:w="0" w:type="dxa"/>
            <w:left w:w="0" w:type="dxa"/>
            <w:bottom w:w="0" w:type="dxa"/>
            <w:right w:w="0" w:type="dxa"/>
          </w:tblCellMar>
        </w:tblPrEx>
        <w:trPr>
          <w:trHeight w:val="288"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限额比例</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XEBL</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适用于赔付率超赔，分入公司承担的最大赔付金额比例。</w:t>
            </w:r>
          </w:p>
        </w:tc>
      </w:tr>
      <w:tr>
        <w:tblPrEx>
          <w:tblLayout w:type="fixed"/>
          <w:tblCellMar>
            <w:top w:w="0" w:type="dxa"/>
            <w:left w:w="0" w:type="dxa"/>
            <w:bottom w:w="0" w:type="dxa"/>
            <w:right w:w="0" w:type="dxa"/>
          </w:tblCellMar>
        </w:tblPrEx>
        <w:trPr>
          <w:trHeight w:val="288"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分保费</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FBF</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分入公司接受的预付再保险保费。</w:t>
            </w:r>
          </w:p>
        </w:tc>
      </w:tr>
      <w:tr>
        <w:tblPrEx>
          <w:tblLayout w:type="fixed"/>
          <w:tblCellMar>
            <w:top w:w="0" w:type="dxa"/>
            <w:left w:w="0" w:type="dxa"/>
            <w:bottom w:w="0" w:type="dxa"/>
            <w:right w:w="0" w:type="dxa"/>
          </w:tblCellMar>
        </w:tblPrEx>
        <w:trPr>
          <w:trHeight w:val="288"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ROL</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ROL</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非比例合同基于分层限额的费率（100%分保费除以层限额）。</w:t>
            </w:r>
          </w:p>
        </w:tc>
      </w:tr>
      <w:tr>
        <w:tblPrEx>
          <w:tblLayout w:type="fixed"/>
          <w:tblCellMar>
            <w:top w:w="0" w:type="dxa"/>
            <w:left w:w="0" w:type="dxa"/>
            <w:bottom w:w="0" w:type="dxa"/>
            <w:right w:w="0" w:type="dxa"/>
          </w:tblCellMar>
        </w:tblPrEx>
        <w:trPr>
          <w:trHeight w:val="288"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参与份额</w:t>
            </w: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CYFE</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5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分入公司接受分出部分的份额。</w:t>
            </w:r>
          </w:p>
        </w:tc>
      </w:tr>
    </w:tbl>
    <w:p>
      <w:pPr>
        <w:rPr>
          <w:rFonts w:hint="eastAsia"/>
          <w:lang w:eastAsia="zh-CN"/>
        </w:rPr>
      </w:pPr>
    </w:p>
    <w:p>
      <w:pPr>
        <w:pStyle w:val="6"/>
        <w:numPr>
          <w:ilvl w:val="0"/>
          <w:numId w:val="5"/>
        </w:numPr>
        <w:bidi w:val="0"/>
        <w:rPr>
          <w:rFonts w:hint="eastAsia"/>
          <w:lang w:eastAsia="zh-CN"/>
        </w:rPr>
      </w:pPr>
      <w:r>
        <w:rPr>
          <w:rFonts w:hint="eastAsia"/>
          <w:lang w:eastAsia="zh-CN"/>
        </w:rPr>
        <w:t>账单信息表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ZDXXB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账单信息表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0306</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本表报送再保险公司所有的业务合同账单，按照结算日期在报送周期内确定应报送账单范围。</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账单编号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ZDBH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再保险公司基于管理需要对账单编制的唯一编号。</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账单对应的再保险业务的类型代码，填报中文描述。包括：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分出业务</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分入业务</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账单起期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ZDQQ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分保账单的账单计算起始日期。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账单止期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ZDZQ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分保账单的账单计算截止日期。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再保险机构内部客户编号。关联数据项：客户信息表-客户编号。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再保险机构内部客户名称。关联数据项：客户信息表-客户名称。</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再保险公司内部定义的合同唯一编号。关联数据项：合同基本信息表-合同编号。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再保险公司内部定义的合同名称。关联数据项：合同基本信息表-合同名称。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合同属性</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HTSX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003008</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保险合同，非保险合同，混合。填报中文描述。</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币种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合同约定的币种。按照《业务代码表》中的“币种代码”字母代码列填写。</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业务年度</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YWND</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账单所属的业务年度。仅财产险填写。</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业务险类名称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YWXLMC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公司内部业务管理过程中使用的险类名称。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统计险类名称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TJXLMC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按照《业务代码表》中的“统计险类代码”名称列填写。</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分保费收入</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FBFSR</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分出公司根据分保业务计算的应向分入公司分出的保费。没有该项时填写0。</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分保费用支出</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FBFYZC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分出公司向分入公司收取的报酬，即分出公司支付的佣金中应由分入公司承担的份额。没有该项时填写0。</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分保赔款支出</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FBPKZC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分出公司分保业务发生赔款后收到分入公司支付的应由其承担的赔款支出。没有该项时填写0。</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分保退保金</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FBTBJ</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分出公司分保业务发生退保后收到分入公司支付的应由其承担的退保金支出。没有该项时填写0。</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分保满期给付</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FBMQJF</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分出公司分保业务发生满期后收到分入公司支付的应由其承担的满期金支出。没有该项时填写0。</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分保年金给付</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FBNJJF</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分出公司分保业务发生年金领取后收到分入公司支付的应由其承担的年金支出。没有该项时填写0。</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税金</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SJ</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账单涉及的税金，如增值税等。没有该项时填写0。</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账单余额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ZDYE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按照账单上相关项目计算得出应当结付的金额。</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确认日期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QRRQ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账单确认日期。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结算日期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JSRQB</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账单结付日期。</w:t>
            </w:r>
          </w:p>
        </w:tc>
      </w:tr>
    </w:tbl>
    <w:p>
      <w:pPr>
        <w:rPr>
          <w:rFonts w:hint="eastAsia"/>
          <w:lang w:eastAsia="zh-CN"/>
        </w:rPr>
      </w:pPr>
    </w:p>
    <w:p>
      <w:pPr>
        <w:pStyle w:val="6"/>
        <w:numPr>
          <w:ilvl w:val="0"/>
          <w:numId w:val="5"/>
        </w:numPr>
        <w:bidi w:val="0"/>
        <w:rPr>
          <w:rFonts w:hint="eastAsia"/>
          <w:lang w:eastAsia="zh-CN"/>
        </w:rPr>
      </w:pPr>
      <w:r>
        <w:rPr>
          <w:rFonts w:hint="eastAsia"/>
          <w:lang w:eastAsia="zh-CN"/>
        </w:rPr>
        <w:t>收付费信息表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SFFXXB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收付费信息表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0307</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本表报送再保险公司所有的再保险业务相关的收付费信息。</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费用编号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FYBH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再保险公司基于管理需要对收付费编制的唯一编号。</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费用类型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FYLX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收付费类型，收费，付费。填报中文描述。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账户名称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再保险公司对应账户的账户名称。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开户银行</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KHYH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再保险公司对应账户开户银行的名称。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YHZH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再保险公司对应账户的银行账号。</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费用日期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FYRQ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收费时的到账日期，付费时的出账日期。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币种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001006</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收付费的币种。按照《业务代码表》中的“币种代码”字母代码列填写。</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收付费的金额。</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再保险机构内部客户名称。关联数据项：客户信息表-客户名称。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客户开户银行</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KHKHYH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客户对应账户开户银行的名称。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客户银行账号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KHYHZH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客户对应账户的银行账号。</w:t>
            </w:r>
          </w:p>
        </w:tc>
      </w:tr>
    </w:tbl>
    <w:p>
      <w:pPr>
        <w:rPr>
          <w:rFonts w:hint="eastAsia"/>
          <w:lang w:eastAsia="zh-CN"/>
        </w:rPr>
      </w:pPr>
    </w:p>
    <w:p>
      <w:pPr>
        <w:pStyle w:val="4"/>
        <w:keepNext/>
        <w:keepLines/>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602" w:firstLineChars="200"/>
        <w:jc w:val="both"/>
        <w:textAlignment w:val="auto"/>
        <w:outlineLvl w:val="2"/>
        <w:rPr>
          <w:rFonts w:hint="eastAsia"/>
          <w:szCs w:val="22"/>
          <w:lang w:eastAsia="zh-CN"/>
        </w:rPr>
      </w:pPr>
      <w:bookmarkStart w:id="53" w:name="_Toc21035"/>
      <w:bookmarkStart w:id="54" w:name="_Toc23018"/>
      <w:r>
        <w:rPr>
          <w:rFonts w:hint="eastAsia"/>
          <w:szCs w:val="22"/>
          <w:lang w:eastAsia="zh-CN"/>
        </w:rPr>
        <w:t>投资业务信息</w:t>
      </w:r>
      <w:bookmarkEnd w:id="53"/>
      <w:bookmarkEnd w:id="54"/>
    </w:p>
    <w:p>
      <w:pPr>
        <w:pStyle w:val="6"/>
        <w:numPr>
          <w:ilvl w:val="0"/>
          <w:numId w:val="6"/>
        </w:numPr>
        <w:bidi w:val="0"/>
        <w:rPr>
          <w:rFonts w:hint="eastAsia"/>
          <w:lang w:eastAsia="zh-CN"/>
        </w:rPr>
      </w:pPr>
      <w:r>
        <w:rPr>
          <w:rFonts w:hint="eastAsia"/>
          <w:lang w:eastAsia="zh-CN"/>
        </w:rPr>
        <w:t>资金运用规模汇总表</w:t>
      </w:r>
    </w:p>
    <w:tbl>
      <w:tblPr>
        <w:tblStyle w:val="15"/>
        <w:tblW w:w="8327" w:type="dxa"/>
        <w:tblInd w:w="0" w:type="dxa"/>
        <w:shd w:val="clear" w:color="auto" w:fill="auto"/>
        <w:tblLayout w:type="fixed"/>
        <w:tblCellMar>
          <w:top w:w="0" w:type="dxa"/>
          <w:left w:w="0" w:type="dxa"/>
          <w:bottom w:w="0" w:type="dxa"/>
          <w:right w:w="0" w:type="dxa"/>
        </w:tblCellMar>
      </w:tblPr>
      <w:tblGrid>
        <w:gridCol w:w="1045"/>
        <w:gridCol w:w="1490"/>
        <w:gridCol w:w="1045"/>
        <w:gridCol w:w="713"/>
        <w:gridCol w:w="714"/>
        <w:gridCol w:w="3320"/>
      </w:tblGrid>
      <w:tr>
        <w:tblPrEx>
          <w:shd w:val="clear" w:color="auto" w:fill="auto"/>
          <w:tblLayout w:type="fixed"/>
          <w:tblCellMar>
            <w:top w:w="0" w:type="dxa"/>
            <w:left w:w="0" w:type="dxa"/>
            <w:bottom w:w="0" w:type="dxa"/>
            <w:right w:w="0" w:type="dxa"/>
          </w:tblCellMar>
        </w:tblPrEx>
        <w:trPr>
          <w:trHeight w:val="312"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4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ZJYYGMHZB</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资金运用规模汇总表</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0401</w:t>
            </w:r>
          </w:p>
        </w:tc>
        <w:tc>
          <w:tcPr>
            <w:tcW w:w="4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运用保险资金和自有资金的规模汇总信息。资产的划分标准依据银保监办发〔2019〕98号（中国银保监会办公厅关于明确保险资产负债管理报告报送要求的通知）《保险资产负债管理监管规则第2号：财产保险公司资产负债管理量化评估规则》附件1-1-2.资金运用规模。本表按月度报送各类资产月末账面余额，非标产品按照账面余额统计，标准产品按照产品市值（全价口径）统计。</w:t>
            </w:r>
          </w:p>
        </w:tc>
      </w:tr>
      <w:tr>
        <w:tblPrEx>
          <w:tblLayout w:type="fixed"/>
          <w:tblCellMar>
            <w:top w:w="0" w:type="dxa"/>
            <w:left w:w="0" w:type="dxa"/>
            <w:bottom w:w="0" w:type="dxa"/>
            <w:right w:w="0" w:type="dxa"/>
          </w:tblCellMar>
        </w:tblPrEx>
        <w:trPr>
          <w:trHeight w:val="312"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1152"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账面价值</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ZMJZ</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需参照银保监办发〔2019〕98号（中国银保监会办公厅关于明确保险资产负债管理报告报送要求的通知）《保险资产负债管理监管规则第2号：财产保险公司资产负债管理量化评估规则》报送资金账面价值</w:t>
            </w:r>
          </w:p>
        </w:tc>
      </w:tr>
      <w:tr>
        <w:tblPrEx>
          <w:tblLayout w:type="fixed"/>
          <w:tblCellMar>
            <w:top w:w="0" w:type="dxa"/>
            <w:left w:w="0" w:type="dxa"/>
            <w:bottom w:w="0" w:type="dxa"/>
            <w:right w:w="0" w:type="dxa"/>
          </w:tblCellMar>
        </w:tblPrEx>
        <w:trPr>
          <w:trHeight w:val="144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现金及流动性管理工具账面价值</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XJJLDXGLGJZMJZ</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现金及流动性管理工具类资产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w:t>
            </w:r>
          </w:p>
        </w:tc>
      </w:tr>
      <w:tr>
        <w:tblPrEx>
          <w:tblLayout w:type="fixed"/>
          <w:tblCellMar>
            <w:top w:w="0" w:type="dxa"/>
            <w:left w:w="0" w:type="dxa"/>
            <w:bottom w:w="0" w:type="dxa"/>
            <w:right w:w="0" w:type="dxa"/>
          </w:tblCellMar>
        </w:tblPrEx>
        <w:trPr>
          <w:trHeight w:val="144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固定收益类投资资产账面价值</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GDSYLTZZCZMJZ</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固定收益类投资资产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w:t>
            </w:r>
          </w:p>
        </w:tc>
      </w:tr>
      <w:tr>
        <w:tblPrEx>
          <w:tblLayout w:type="fixed"/>
          <w:tblCellMar>
            <w:top w:w="0" w:type="dxa"/>
            <w:left w:w="0" w:type="dxa"/>
            <w:bottom w:w="0" w:type="dxa"/>
            <w:right w:w="0" w:type="dxa"/>
          </w:tblCellMar>
        </w:tblPrEx>
        <w:trPr>
          <w:trHeight w:val="144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权益类投资资产账面价值</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QYLTZZCZMJZ</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权益类投资资产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w:t>
            </w:r>
          </w:p>
        </w:tc>
      </w:tr>
      <w:tr>
        <w:tblPrEx>
          <w:tblLayout w:type="fixed"/>
          <w:tblCellMar>
            <w:top w:w="0" w:type="dxa"/>
            <w:left w:w="0" w:type="dxa"/>
            <w:bottom w:w="0" w:type="dxa"/>
            <w:right w:w="0" w:type="dxa"/>
          </w:tblCellMar>
        </w:tblPrEx>
        <w:trPr>
          <w:trHeight w:val="144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投资性房地产账面价值</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TZXFDCZMJZ</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性房地产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w:t>
            </w:r>
          </w:p>
        </w:tc>
      </w:tr>
      <w:tr>
        <w:tblPrEx>
          <w:tblLayout w:type="fixed"/>
          <w:tblCellMar>
            <w:top w:w="0" w:type="dxa"/>
            <w:left w:w="0" w:type="dxa"/>
            <w:bottom w:w="0" w:type="dxa"/>
            <w:right w:w="0" w:type="dxa"/>
          </w:tblCellMar>
        </w:tblPrEx>
        <w:trPr>
          <w:trHeight w:val="144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贷款账面价值</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DKZMJZ</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贷款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w:t>
            </w:r>
          </w:p>
        </w:tc>
      </w:tr>
      <w:tr>
        <w:tblPrEx>
          <w:tblLayout w:type="fixed"/>
          <w:tblCellMar>
            <w:top w:w="0" w:type="dxa"/>
            <w:left w:w="0" w:type="dxa"/>
            <w:bottom w:w="0" w:type="dxa"/>
            <w:right w:w="0" w:type="dxa"/>
          </w:tblCellMar>
        </w:tblPrEx>
        <w:trPr>
          <w:trHeight w:val="144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金融衍生工具账面价值</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JRYSGJZMJZ</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衍生工具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w:t>
            </w:r>
          </w:p>
        </w:tc>
      </w:tr>
      <w:tr>
        <w:tblPrEx>
          <w:tblLayout w:type="fixed"/>
          <w:tblCellMar>
            <w:top w:w="0" w:type="dxa"/>
            <w:left w:w="0" w:type="dxa"/>
            <w:bottom w:w="0" w:type="dxa"/>
            <w:right w:w="0" w:type="dxa"/>
          </w:tblCellMar>
        </w:tblPrEx>
        <w:trPr>
          <w:trHeight w:val="144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自用性不动产账面价值</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ZYXBDCZMJZ</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自用性不动产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w:t>
            </w:r>
          </w:p>
        </w:tc>
      </w:tr>
      <w:tr>
        <w:tblPrEx>
          <w:tblLayout w:type="fixed"/>
          <w:tblCellMar>
            <w:top w:w="0" w:type="dxa"/>
            <w:left w:w="0" w:type="dxa"/>
            <w:bottom w:w="0" w:type="dxa"/>
            <w:right w:w="0" w:type="dxa"/>
          </w:tblCellMar>
        </w:tblPrEx>
        <w:trPr>
          <w:trHeight w:val="864"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本表报送再保险公司作为保险资金和自有资金投资管理人，存在对保险资金和自有资金做自主投资业务，报送投资账户持有的金融资产的明细信息。</w:t>
            </w:r>
          </w:p>
        </w:tc>
      </w:tr>
      <w:tr>
        <w:tblPrEx>
          <w:tblLayout w:type="fixed"/>
          <w:tblCellMar>
            <w:top w:w="0" w:type="dxa"/>
            <w:left w:w="0" w:type="dxa"/>
            <w:bottom w:w="0" w:type="dxa"/>
            <w:right w:w="0" w:type="dxa"/>
          </w:tblCellMar>
        </w:tblPrEx>
        <w:trPr>
          <w:trHeight w:val="864"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账户编号</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ZHBH</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保险公司系统中记录的进行投资的账户编号。</w:t>
            </w:r>
          </w:p>
        </w:tc>
      </w:tr>
      <w:tr>
        <w:tblPrEx>
          <w:tblLayout w:type="fixed"/>
          <w:tblCellMar>
            <w:top w:w="0" w:type="dxa"/>
            <w:left w:w="0" w:type="dxa"/>
            <w:bottom w:w="0" w:type="dxa"/>
            <w:right w:w="0" w:type="dxa"/>
          </w:tblCellMar>
        </w:tblPrEx>
        <w:trPr>
          <w:trHeight w:val="288"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账户名称</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ZHMC</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004001</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保险公司系统中记录的进行投资的账户名称。</w:t>
            </w:r>
          </w:p>
        </w:tc>
      </w:tr>
      <w:tr>
        <w:tblPrEx>
          <w:tblLayout w:type="fixed"/>
          <w:tblCellMar>
            <w:top w:w="0" w:type="dxa"/>
            <w:left w:w="0" w:type="dxa"/>
            <w:bottom w:w="0" w:type="dxa"/>
            <w:right w:w="0" w:type="dxa"/>
          </w:tblCellMar>
        </w:tblPrEx>
        <w:trPr>
          <w:trHeight w:val="1152"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投资产品编号</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TZCPBH</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为标准化的证券产品时，代码使用市场上的公开代码，例如财汇、wind的代码，若市场上没有公开代码，但公司网站上有编码，则取此代码，网站上若无，则使用各公司内部的自定义代码，如不动产的资产编号等。</w:t>
            </w:r>
          </w:p>
        </w:tc>
      </w:tr>
      <w:tr>
        <w:tblPrEx>
          <w:tblLayout w:type="fixed"/>
          <w:tblCellMar>
            <w:top w:w="0" w:type="dxa"/>
            <w:left w:w="0" w:type="dxa"/>
            <w:bottom w:w="0" w:type="dxa"/>
            <w:right w:w="0" w:type="dxa"/>
          </w:tblCellMar>
        </w:tblPrEx>
        <w:trPr>
          <w:trHeight w:val="1152"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投资产品名称</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TZCPMC</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为标准化的证券产品时，名称使用市场上的公开名称，例如财汇、wind的名称，若市场上没有公开名称，但公司网站上有名称，则取此名称，网站上若无，则使用各公司内部的自定义名称，如不动产的资产名称等。</w:t>
            </w:r>
          </w:p>
        </w:tc>
      </w:tr>
      <w:tr>
        <w:tblPrEx>
          <w:tblLayout w:type="fixed"/>
          <w:tblCellMar>
            <w:top w:w="0" w:type="dxa"/>
            <w:left w:w="0" w:type="dxa"/>
            <w:bottom w:w="0" w:type="dxa"/>
            <w:right w:w="0" w:type="dxa"/>
          </w:tblCellMar>
        </w:tblPrEx>
        <w:trPr>
          <w:trHeight w:val="864"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产品交易市场类型</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CPJYSCLX</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004002</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产品交易市场代码，非标产品的市场对应为场外市场，对应《业务代码表》中的“产品交易市场类型代码”，填报中文描述。例如：场外交易市场、上海证券交易所等。</w:t>
            </w:r>
          </w:p>
        </w:tc>
      </w:tr>
      <w:tr>
        <w:tblPrEx>
          <w:tblLayout w:type="fixed"/>
          <w:tblCellMar>
            <w:top w:w="0" w:type="dxa"/>
            <w:left w:w="0" w:type="dxa"/>
            <w:bottom w:w="0" w:type="dxa"/>
            <w:right w:w="0" w:type="dxa"/>
          </w:tblCellMar>
        </w:tblPrEx>
        <w:trPr>
          <w:trHeight w:val="144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资金运用资产类型</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ZJYYZCLX</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004003</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照银保监办发〔2019〕98号（中国银保监会办公厅关于明确保险资产负债管理报告报送要求的通知）《保险资产负债管理监管规则第2号：财产保险公司资产负债管理量化评估规则》附件1-1-2.资金运用规模，对应《业务代码表》中的“资金运用资产类型代码”，填报最末层级中文描述。</w:t>
            </w:r>
          </w:p>
        </w:tc>
      </w:tr>
      <w:tr>
        <w:tblPrEx>
          <w:tblLayout w:type="fixed"/>
          <w:tblCellMar>
            <w:top w:w="0" w:type="dxa"/>
            <w:left w:w="0" w:type="dxa"/>
            <w:bottom w:w="0" w:type="dxa"/>
            <w:right w:w="0" w:type="dxa"/>
          </w:tblCellMar>
        </w:tblPrEx>
        <w:trPr>
          <w:trHeight w:val="576"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估值日期</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GZRQ</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内部估值系统进行估值统计的日期。无估值日期的填写统计日期。</w:t>
            </w:r>
          </w:p>
        </w:tc>
      </w:tr>
      <w:tr>
        <w:tblPrEx>
          <w:tblLayout w:type="fixed"/>
          <w:tblCellMar>
            <w:top w:w="0" w:type="dxa"/>
            <w:left w:w="0" w:type="dxa"/>
            <w:bottom w:w="0" w:type="dxa"/>
            <w:right w:w="0" w:type="dxa"/>
          </w:tblCellMar>
        </w:tblPrEx>
        <w:trPr>
          <w:trHeight w:val="576"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份额</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FE</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当前资产的份额，若为标准化产品且计算份额时填写，无此定义可为空。</w:t>
            </w:r>
          </w:p>
        </w:tc>
      </w:tr>
      <w:tr>
        <w:tblPrEx>
          <w:tblLayout w:type="fixed"/>
          <w:tblCellMar>
            <w:top w:w="0" w:type="dxa"/>
            <w:left w:w="0" w:type="dxa"/>
            <w:bottom w:w="0" w:type="dxa"/>
            <w:right w:w="0" w:type="dxa"/>
          </w:tblCellMar>
        </w:tblPrEx>
        <w:trPr>
          <w:trHeight w:val="288"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成本</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CB</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当前资产的成本金额（全价），单位：元。</w:t>
            </w:r>
          </w:p>
        </w:tc>
      </w:tr>
      <w:tr>
        <w:tblPrEx>
          <w:tblLayout w:type="fixed"/>
          <w:tblCellMar>
            <w:top w:w="0" w:type="dxa"/>
            <w:left w:w="0" w:type="dxa"/>
            <w:bottom w:w="0" w:type="dxa"/>
            <w:right w:w="0" w:type="dxa"/>
          </w:tblCellMar>
        </w:tblPrEx>
        <w:trPr>
          <w:trHeight w:val="576"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市值</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SZ</w:t>
            </w:r>
          </w:p>
        </w:tc>
        <w:tc>
          <w:tcPr>
            <w:tcW w:w="10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若为标准产品时，填写当前的市场价值（全价），若为非标准化产品时，填写其账面金额（含息）。</w:t>
            </w:r>
          </w:p>
        </w:tc>
      </w:tr>
    </w:tbl>
    <w:p>
      <w:pPr>
        <w:rPr>
          <w:rFonts w:hint="eastAsia"/>
          <w:lang w:eastAsia="zh-CN"/>
        </w:rPr>
      </w:pPr>
    </w:p>
    <w:p>
      <w:pPr>
        <w:pStyle w:val="6"/>
        <w:numPr>
          <w:ilvl w:val="0"/>
          <w:numId w:val="6"/>
        </w:numPr>
        <w:bidi w:val="0"/>
        <w:rPr>
          <w:rFonts w:hint="eastAsia"/>
          <w:lang w:eastAsia="zh-CN"/>
        </w:rPr>
      </w:pPr>
      <w:r>
        <w:rPr>
          <w:rFonts w:hint="eastAsia"/>
          <w:lang w:eastAsia="zh-CN"/>
        </w:rPr>
        <w:t>自主投资账户持仓明细表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TZZHCCMXB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自主投资账户持仓明细表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0402</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本表报送再保险公司作为保险资金和自有资金投资管理人，存在对保险资金和自有资金做自主投资业务，报送投资账户持有的金融资产的明细信息。</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账户编号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ZHBH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保险公司系统中记录的进行投资的账户编号。</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账户名称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保险公司系统中记录的进行投资的账户名称。</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TZCPBH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为标准化的证券产品时，代码使用市场上的公开代码，例如财汇、wind的代码，若市场上没有公开代码，但公司网站上有编码，则取此代码，网站上若无，则使用各公司内部的自定义代码，如不动产的资产编号等。</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TZCPMC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为标准化的证券产品时，名称使用市场上的公开名称，例如财汇、wind的名称，若市场上没有公开名称，但公司网站上有名称，则取此名称，网站上若无，则使用各公司内部的自定义名称，如不动产的资产名称等。</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产品交易市场类型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CPJYSCLX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产品交易市场代码，非标产品的市场对应为场外市场，对应《业务代码表》中的“产品交易市场类型代码”，填报中文描述。例如：场外交易市场、上海证券交易所等。</w:t>
            </w:r>
          </w:p>
        </w:tc>
      </w:tr>
      <w:tr>
        <w:tblPrEx>
          <w:tblLayout w:type="fixed"/>
          <w:tblCellMar>
            <w:top w:w="0" w:type="dxa"/>
            <w:left w:w="0" w:type="dxa"/>
            <w:bottom w:w="0" w:type="dxa"/>
            <w:right w:w="0" w:type="dxa"/>
          </w:tblCellMar>
        </w:tblPrEx>
        <w:trPr>
          <w:trHeight w:val="144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资金运用资产类型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ZJYYZCLX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照银保监办发〔2019〕98号（中国银保监会办公厅关于明确保险资产负债管理报告报送要求的通知）《保险资产负债管理监管规则第2号：财产保险公司资产负债管理量化评估规则》附件1-1-2.资金运用规模，对应《业务代码表》中的“资金运用资产类型代码”，填报最末层级中文描述。</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估值日期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GZRQ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内部估值系统进行估值统计的日期。无估值日期的填写统计日期。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份额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FE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当前资产的份额，若为标准化产品且计算份额时填写，无此定义可为空。</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成本</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CB</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当前资产的成本金额（全价），单位：元。</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市值</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若为标准产品时，填写当前的市场价值（全价），若为非标准化产品时，填写其账面金额（含息）。</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作为保险资金和自有资金投资管理人，存在对保险资金和自有资金做自主投资业务，报送投资账户在每日交易时产生的交易流水信息。本表不报送营运资金数据和分入业务形成的保户质押贷款数据。填报按人民币计量的金额。</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识别交易的唯一编号，可为交易系统生成的编号或自定义的编号，确保唯一性。</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账户编号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ZHBH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保险公司系统中记录的进行投资的账户编号。</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账户名称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保险公司系统中记录的进行投资的账户名称。</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TZCPBH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为标准化的证券产品时，代码使用市场上的公开代码，例如财汇、wind的代码，若市场上没有公开代码，但公司网站上有编码，则取此代码，网站上若无，则使用各公司内部的自定义代码，如不动产的资产编号等。</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TZCPMC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为标准化的证券产品时，名称使用市场上的公开名称，例如财汇、wind的名称，若市场上没有公开名称，但公司网站上有名称，则取此名称，网站上若无，则使用各公司内部的自定义名称，如不动产的资产名称等。</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产品交易市场类型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CPJYSCLX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产品交易市场代码，非标产品的市场对应为场外市场，对应《业务代码表》中的“产品交易市场类型代码”，填报中文描述。例如：场外交易市场、上海证券交易所等。</w:t>
            </w:r>
          </w:p>
        </w:tc>
      </w:tr>
      <w:tr>
        <w:tblPrEx>
          <w:tblLayout w:type="fixed"/>
          <w:tblCellMar>
            <w:top w:w="0" w:type="dxa"/>
            <w:left w:w="0" w:type="dxa"/>
            <w:bottom w:w="0" w:type="dxa"/>
            <w:right w:w="0" w:type="dxa"/>
          </w:tblCellMar>
        </w:tblPrEx>
        <w:trPr>
          <w:trHeight w:val="144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资金运用资产类型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ZJYYZCLX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照银保监办发〔2019〕98号（中国银保监会办公厅关于明确保险资产负债管理报告报送要求的通知）《保险资产负债管理监管规则第2号：财产保险公司资产负债管理量化评估规则》附件1-1-2.资金运用规模，对应《业务代码表》中的“资金运用资产类型代码”，填报最末层级中文描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确认日期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QRRQ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资产确认的日期。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交易方向</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JYFX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资产的交易方向，填报中文描述。包括：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借（余额增）</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贷（余额减）</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交易数量</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JYSL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买卖资产的数量，不存在等额份额的产品可为空。</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成交金额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CJJE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买卖资产的成交金额，单位：元。</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实收结算金额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SSJSJE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资产最终实收的结算金额，单位：元。</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成本价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CBJ</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标准化产品时为单价（净价），非标产品可为空，单位：元。</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交易费用</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JYFY</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资产买卖产生的费用汇总，包括佣金、过户费、结算费、申购赎回费，交易费、手续费等。</w:t>
            </w:r>
          </w:p>
        </w:tc>
      </w:tr>
    </w:tbl>
    <w:p>
      <w:pPr>
        <w:rPr>
          <w:rFonts w:hint="eastAsia"/>
          <w:lang w:eastAsia="zh-CN"/>
        </w:rPr>
      </w:pPr>
    </w:p>
    <w:p>
      <w:pPr>
        <w:pStyle w:val="6"/>
        <w:numPr>
          <w:ilvl w:val="0"/>
          <w:numId w:val="6"/>
        </w:numPr>
        <w:bidi w:val="0"/>
        <w:rPr>
          <w:rFonts w:hint="eastAsia"/>
          <w:lang w:eastAsia="zh-CN"/>
        </w:rPr>
      </w:pPr>
      <w:r>
        <w:rPr>
          <w:rFonts w:hint="eastAsia"/>
          <w:lang w:eastAsia="zh-CN"/>
        </w:rPr>
        <w:t>自主投资交易流水表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ZZTZJYLSB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自主投资交易流水表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0403</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作为保险资金和自有资金投资管理人，存在对保险资金和自有资金做自主投资业务，报送投资账户在每日交易时产生的交易流水信息。本表不报送营运资金数据和分入业务形成的保户质押贷款数据。填报按人民币计量的金额。</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识别交易的唯一编号，可为交易系统生成的编号或自定义的编号，确保唯一性。</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账户编号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ZHBH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保险公司系统中记录的进行投资的账户编号。</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账户名称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ZHMC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保险公司系统中记录的进行投资的账户名称。</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TZCPBH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为标准化的证券产品时，代码使用市场上的公开代码，例如财汇、wind的代码，若市场上没有公开代码，但公司网站上有编码，则取此代码，网站上若无，则使用各公司内部的自定义代码，如不动产的资产编号等。</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TZCPMC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产品为标准化的证券产品时，名称使用市场上的公开名称，例如财汇、wind的名称，若市场上没有公开名称，但公司网站上有名称，则取此名称，网站上若无，则使用各公司内部的自定义名称，如不动产的资产名称等。</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产品交易市场类型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CPJYSCLX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产品交易市场代码，非标产品的市场对应为场外市场，对应《业务代码表》中的“产品交易市场类型代码”，填报中文描述。例如：场外交易市场、上海证券交易所等。</w:t>
            </w:r>
          </w:p>
        </w:tc>
      </w:tr>
      <w:tr>
        <w:tblPrEx>
          <w:tblLayout w:type="fixed"/>
          <w:tblCellMar>
            <w:top w:w="0" w:type="dxa"/>
            <w:left w:w="0" w:type="dxa"/>
            <w:bottom w:w="0" w:type="dxa"/>
            <w:right w:w="0" w:type="dxa"/>
          </w:tblCellMar>
        </w:tblPrEx>
        <w:trPr>
          <w:trHeight w:val="144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资金运用资产类型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ZJYYZCLX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照银保监办发〔2019〕98号（中国银保监会办公厅关于明确保险资产负债管理报告报送要求的通知）《保险资产负债管理监管规则第2号：财产保险公司资产负债管理量化评估规则》附件1-1-2.资金运用规模，对应《业务代码表》中的“资金运用资产类型代码”，填报最末层级中文描述。</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确认日期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QRRQ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资产确认的日期。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交易方向</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JYFX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资产的交易方向，填报中文描述。包括：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借（余额增）</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贷（余额减）</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交易数量</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JYSL</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买卖资产的数量，不存在等额份额的产品可为空。</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成交金额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CJJE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买卖资产的成交金额，单位：元。</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实收结算金额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SSJSJE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资产最终实收的结算金额，单位：元。</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成本价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CBJ</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标准化产品时为单价（净价），非标产品可为空，单位：元。</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交易费用</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JYFY</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资产买卖产生的费用汇总，包括佣金、过户费、结算费、申购赎回费，交易费、手续费等。</w:t>
            </w:r>
          </w:p>
        </w:tc>
      </w:tr>
    </w:tbl>
    <w:p>
      <w:pPr>
        <w:rPr>
          <w:rFonts w:hint="eastAsia"/>
          <w:lang w:eastAsia="zh-CN"/>
        </w:rPr>
      </w:pPr>
    </w:p>
    <w:p>
      <w:pPr>
        <w:pStyle w:val="6"/>
        <w:numPr>
          <w:ilvl w:val="0"/>
          <w:numId w:val="6"/>
        </w:numPr>
        <w:bidi w:val="0"/>
        <w:rPr>
          <w:rFonts w:hint="eastAsia"/>
          <w:lang w:eastAsia="zh-CN"/>
        </w:rPr>
      </w:pPr>
      <w:r>
        <w:rPr>
          <w:rFonts w:hint="eastAsia"/>
          <w:lang w:eastAsia="zh-CN"/>
        </w:rPr>
        <w:t>委托投资情况汇总表</w:t>
      </w:r>
    </w:p>
    <w:p>
      <w:pPr>
        <w:rPr>
          <w:rFonts w:hint="eastAsia"/>
          <w:lang w:eastAsia="zh-CN"/>
        </w:rPr>
      </w:pPr>
    </w:p>
    <w:tbl>
      <w:tblPr>
        <w:tblStyle w:val="15"/>
        <w:tblW w:w="8327" w:type="dxa"/>
        <w:tblInd w:w="0" w:type="dxa"/>
        <w:shd w:val="clear" w:color="auto" w:fill="auto"/>
        <w:tblLayout w:type="fixed"/>
        <w:tblCellMar>
          <w:top w:w="0" w:type="dxa"/>
          <w:left w:w="0" w:type="dxa"/>
          <w:bottom w:w="0" w:type="dxa"/>
          <w:right w:w="0" w:type="dxa"/>
        </w:tblCellMar>
      </w:tblPr>
      <w:tblGrid>
        <w:gridCol w:w="1038"/>
        <w:gridCol w:w="1480"/>
        <w:gridCol w:w="1038"/>
        <w:gridCol w:w="708"/>
        <w:gridCol w:w="709"/>
        <w:gridCol w:w="3354"/>
      </w:tblGrid>
      <w:tr>
        <w:tblPrEx>
          <w:shd w:val="clear" w:color="auto" w:fill="auto"/>
          <w:tblLayout w:type="fixed"/>
          <w:tblCellMar>
            <w:top w:w="0" w:type="dxa"/>
            <w:left w:w="0" w:type="dxa"/>
            <w:bottom w:w="0" w:type="dxa"/>
            <w:right w:w="0" w:type="dxa"/>
          </w:tblCellMar>
        </w:tblPrEx>
        <w:trPr>
          <w:trHeight w:val="312"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477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WTTZQKHZB</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委托投资情况汇总表</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0404</w:t>
            </w:r>
          </w:p>
        </w:tc>
        <w:tc>
          <w:tcPr>
            <w:tcW w:w="477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本表报送再保险公司签订所有的委托投资合同相关的信息。</w:t>
            </w:r>
          </w:p>
        </w:tc>
      </w:tr>
      <w:tr>
        <w:tblPrEx>
          <w:tblLayout w:type="fixed"/>
          <w:tblCellMar>
            <w:top w:w="0" w:type="dxa"/>
            <w:left w:w="0" w:type="dxa"/>
            <w:bottom w:w="0" w:type="dxa"/>
            <w:right w:w="0" w:type="dxa"/>
          </w:tblCellMar>
        </w:tblPrEx>
        <w:trPr>
          <w:trHeight w:val="312"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委托投资合同号</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WTTZHTH</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委托投资管理合同号码。如有公司内部合同编号则填报公司内部合同编号。</w:t>
            </w:r>
          </w:p>
        </w:tc>
      </w:tr>
      <w:tr>
        <w:tblPrEx>
          <w:tblLayout w:type="fixed"/>
          <w:tblCellMar>
            <w:top w:w="0" w:type="dxa"/>
            <w:left w:w="0" w:type="dxa"/>
            <w:bottom w:w="0" w:type="dxa"/>
            <w:right w:w="0" w:type="dxa"/>
          </w:tblCellMar>
        </w:tblPrEx>
        <w:trPr>
          <w:trHeight w:val="288"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签订日期</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QDRQ</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委托投资合同签订日期。</w:t>
            </w:r>
          </w:p>
        </w:tc>
      </w:tr>
      <w:tr>
        <w:tblPrEx>
          <w:tblLayout w:type="fixed"/>
          <w:tblCellMar>
            <w:top w:w="0" w:type="dxa"/>
            <w:left w:w="0" w:type="dxa"/>
            <w:bottom w:w="0" w:type="dxa"/>
            <w:right w:w="0" w:type="dxa"/>
          </w:tblCellMar>
        </w:tblPrEx>
        <w:trPr>
          <w:trHeight w:val="576"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委托投资管理合同期限</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WTTZGLHTQX</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委托投资管理合同期限，单位为年，无期限报送“9999”。</w:t>
            </w:r>
          </w:p>
        </w:tc>
      </w:tr>
      <w:tr>
        <w:tblPrEx>
          <w:tblLayout w:type="fixed"/>
          <w:tblCellMar>
            <w:top w:w="0" w:type="dxa"/>
            <w:left w:w="0" w:type="dxa"/>
            <w:bottom w:w="0" w:type="dxa"/>
            <w:right w:w="0" w:type="dxa"/>
          </w:tblCellMar>
        </w:tblPrEx>
        <w:trPr>
          <w:trHeight w:val="288"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投管人机构名称</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TOUGRJGMC</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委托投资管理机构名称。</w:t>
            </w:r>
          </w:p>
        </w:tc>
      </w:tr>
      <w:tr>
        <w:tblPrEx>
          <w:tblLayout w:type="fixed"/>
          <w:tblCellMar>
            <w:top w:w="0" w:type="dxa"/>
            <w:left w:w="0" w:type="dxa"/>
            <w:bottom w:w="0" w:type="dxa"/>
            <w:right w:w="0" w:type="dxa"/>
          </w:tblCellMar>
        </w:tblPrEx>
        <w:trPr>
          <w:trHeight w:val="864"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投管人机构证件类型</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TOUGJGZJLX</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001021</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投管机构的证件类型，优先填报统一社会信用代码。对应《业务代码表》中的“机构证件类型代码”，填报中文描述。例如：统一社会信用代码、组织机构代码证等。</w:t>
            </w:r>
          </w:p>
        </w:tc>
      </w:tr>
      <w:tr>
        <w:tblPrEx>
          <w:tblLayout w:type="fixed"/>
          <w:tblCellMar>
            <w:top w:w="0" w:type="dxa"/>
            <w:left w:w="0" w:type="dxa"/>
            <w:bottom w:w="0" w:type="dxa"/>
            <w:right w:w="0" w:type="dxa"/>
          </w:tblCellMar>
        </w:tblPrEx>
        <w:trPr>
          <w:trHeight w:val="576"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投管人证件号码</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TOUGRZJHM</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001034</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投管人的证件号码。若为自然人证件号码，隐私，再保险公司变形。</w:t>
            </w:r>
          </w:p>
        </w:tc>
      </w:tr>
      <w:tr>
        <w:tblPrEx>
          <w:tblLayout w:type="fixed"/>
          <w:tblCellMar>
            <w:top w:w="0" w:type="dxa"/>
            <w:left w:w="0" w:type="dxa"/>
            <w:bottom w:w="0" w:type="dxa"/>
            <w:right w:w="0" w:type="dxa"/>
          </w:tblCellMar>
        </w:tblPrEx>
        <w:trPr>
          <w:trHeight w:val="1152"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投管人全球法人机构识别编号</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TGRQQFRJGSBBH</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001035</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LEI是按照国际标准化组织ISO 17442标准为全球法人分配的唯一识别编码，LEI编码是由20位数字和字母组成的唯一编码。我国LEI编码包括前缀码部分、预留位部分、机构特定部分和校验位四部分。</w:t>
            </w:r>
          </w:p>
        </w:tc>
      </w:tr>
      <w:tr>
        <w:tblPrEx>
          <w:tblLayout w:type="fixed"/>
          <w:tblCellMar>
            <w:top w:w="0" w:type="dxa"/>
            <w:left w:w="0" w:type="dxa"/>
            <w:bottom w:w="0" w:type="dxa"/>
            <w:right w:w="0" w:type="dxa"/>
          </w:tblCellMar>
        </w:tblPrEx>
        <w:trPr>
          <w:trHeight w:val="576"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委托投资管理费率</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WTTZGLFL</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委托投资管理费用收取标准。如有公式请列出并加以说明。</w:t>
            </w:r>
          </w:p>
        </w:tc>
      </w:tr>
      <w:tr>
        <w:tblPrEx>
          <w:tblLayout w:type="fixed"/>
          <w:tblCellMar>
            <w:top w:w="0" w:type="dxa"/>
            <w:left w:w="0" w:type="dxa"/>
            <w:bottom w:w="0" w:type="dxa"/>
            <w:right w:w="0" w:type="dxa"/>
          </w:tblCellMar>
        </w:tblPrEx>
        <w:trPr>
          <w:trHeight w:val="288"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统计日期</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TJRQ</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进行数据统计的当日。</w:t>
            </w:r>
          </w:p>
        </w:tc>
      </w:tr>
      <w:tr>
        <w:tblPrEx>
          <w:tblLayout w:type="fixed"/>
          <w:tblCellMar>
            <w:top w:w="0" w:type="dxa"/>
            <w:left w:w="0" w:type="dxa"/>
            <w:bottom w:w="0" w:type="dxa"/>
            <w:right w:w="0" w:type="dxa"/>
          </w:tblCellMar>
        </w:tblPrEx>
        <w:trPr>
          <w:trHeight w:val="576"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委托投资管理总规模</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WTTZGLZGM</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本委托投资管理合同委托投资资产总规模。使用全价口径。</w:t>
            </w:r>
          </w:p>
        </w:tc>
      </w:tr>
      <w:tr>
        <w:tblPrEx>
          <w:tblLayout w:type="fixed"/>
          <w:tblCellMar>
            <w:top w:w="0" w:type="dxa"/>
            <w:left w:w="0" w:type="dxa"/>
            <w:bottom w:w="0" w:type="dxa"/>
            <w:right w:w="0" w:type="dxa"/>
          </w:tblCellMar>
        </w:tblPrEx>
        <w:trPr>
          <w:trHeight w:val="1152"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账面价值</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ZMJZ</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需参照银保监办发〔2019〕98号（中国银保监会办公厅关于明确保险资产负债管理报告报送要求的通知）《保险资产负债管理监管规则第2号：财产保险公司资产负债管理量化评估规则》报送资金账面余额</w:t>
            </w:r>
          </w:p>
        </w:tc>
      </w:tr>
      <w:tr>
        <w:tblPrEx>
          <w:tblLayout w:type="fixed"/>
          <w:tblCellMar>
            <w:top w:w="0" w:type="dxa"/>
            <w:left w:w="0" w:type="dxa"/>
            <w:bottom w:w="0" w:type="dxa"/>
            <w:right w:w="0" w:type="dxa"/>
          </w:tblCellMar>
        </w:tblPrEx>
        <w:trPr>
          <w:trHeight w:val="1440"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现金及流动性管理工具账面价值</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XJJLDXGLGJZMJZ</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现金及流动性管理工具类资产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w:t>
            </w:r>
          </w:p>
        </w:tc>
      </w:tr>
      <w:tr>
        <w:tblPrEx>
          <w:tblLayout w:type="fixed"/>
          <w:tblCellMar>
            <w:top w:w="0" w:type="dxa"/>
            <w:left w:w="0" w:type="dxa"/>
            <w:bottom w:w="0" w:type="dxa"/>
            <w:right w:w="0" w:type="dxa"/>
          </w:tblCellMar>
        </w:tblPrEx>
        <w:trPr>
          <w:trHeight w:val="1440"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固定收益类投资资产账面价值</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GDSYLTZZCZMJZ</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固定收益类投资资产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w:t>
            </w:r>
          </w:p>
        </w:tc>
      </w:tr>
      <w:tr>
        <w:tblPrEx>
          <w:tblLayout w:type="fixed"/>
          <w:tblCellMar>
            <w:top w:w="0" w:type="dxa"/>
            <w:left w:w="0" w:type="dxa"/>
            <w:bottom w:w="0" w:type="dxa"/>
            <w:right w:w="0" w:type="dxa"/>
          </w:tblCellMar>
        </w:tblPrEx>
        <w:trPr>
          <w:trHeight w:val="1440"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权益类投资资产账面价值</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QYLTZZCZMJZ</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权益类投资资产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w:t>
            </w:r>
          </w:p>
        </w:tc>
      </w:tr>
      <w:tr>
        <w:tblPrEx>
          <w:tblLayout w:type="fixed"/>
          <w:tblCellMar>
            <w:top w:w="0" w:type="dxa"/>
            <w:left w:w="0" w:type="dxa"/>
            <w:bottom w:w="0" w:type="dxa"/>
            <w:right w:w="0" w:type="dxa"/>
          </w:tblCellMar>
        </w:tblPrEx>
        <w:trPr>
          <w:trHeight w:val="1440"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投资性房地产账面价值</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TZXFDCZMJZ</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性房地产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w:t>
            </w:r>
          </w:p>
        </w:tc>
      </w:tr>
      <w:tr>
        <w:tblPrEx>
          <w:tblLayout w:type="fixed"/>
          <w:tblCellMar>
            <w:top w:w="0" w:type="dxa"/>
            <w:left w:w="0" w:type="dxa"/>
            <w:bottom w:w="0" w:type="dxa"/>
            <w:right w:w="0" w:type="dxa"/>
          </w:tblCellMar>
        </w:tblPrEx>
        <w:trPr>
          <w:trHeight w:val="1440"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贷款账面价值</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DKZMJZ</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贷款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不涉及该资产的填写0。</w:t>
            </w:r>
          </w:p>
        </w:tc>
      </w:tr>
      <w:tr>
        <w:tblPrEx>
          <w:tblLayout w:type="fixed"/>
          <w:tblCellMar>
            <w:top w:w="0" w:type="dxa"/>
            <w:left w:w="0" w:type="dxa"/>
            <w:bottom w:w="0" w:type="dxa"/>
            <w:right w:w="0" w:type="dxa"/>
          </w:tblCellMar>
        </w:tblPrEx>
        <w:trPr>
          <w:trHeight w:val="1440"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金融衍生工具账面价值</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JRYSGJZMJZ</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衍生工具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不涉及该资产的填写0。</w:t>
            </w:r>
          </w:p>
        </w:tc>
      </w:tr>
      <w:tr>
        <w:tblPrEx>
          <w:tblLayout w:type="fixed"/>
          <w:tblCellMar>
            <w:top w:w="0" w:type="dxa"/>
            <w:left w:w="0" w:type="dxa"/>
            <w:bottom w:w="0" w:type="dxa"/>
            <w:right w:w="0" w:type="dxa"/>
          </w:tblCellMar>
        </w:tblPrEx>
        <w:trPr>
          <w:trHeight w:val="1440" w:hRule="atLeast"/>
        </w:trPr>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自用性不动产账面价值</w:t>
            </w:r>
          </w:p>
        </w:tc>
        <w:tc>
          <w:tcPr>
            <w:tcW w:w="14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ZYXBDCZMJZ</w:t>
            </w:r>
          </w:p>
        </w:tc>
        <w:tc>
          <w:tcPr>
            <w:tcW w:w="10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3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自用性不动产的划分标准依据银保监办发〔2019〕98号（中国银保监会办公厅关于明确保险资产负债管理报告报送要求的通知）《保险资产负债管理监管规则第2号：财产保险公司资产负债管理量化评估规则》附件1-1-2.资金运用规模，详细资产内容请根据文中定义。使用全价口径。不涉及该资产的填写0。</w:t>
            </w:r>
          </w:p>
        </w:tc>
      </w:tr>
    </w:tbl>
    <w:p>
      <w:pPr>
        <w:rPr>
          <w:rFonts w:hint="eastAsia"/>
          <w:lang w:eastAsia="zh-CN"/>
        </w:rPr>
      </w:pPr>
    </w:p>
    <w:p>
      <w:pPr>
        <w:pStyle w:val="4"/>
        <w:keepNext/>
        <w:keepLines/>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602" w:firstLineChars="200"/>
        <w:jc w:val="both"/>
        <w:textAlignment w:val="auto"/>
        <w:outlineLvl w:val="2"/>
        <w:rPr>
          <w:rFonts w:hint="eastAsia"/>
          <w:szCs w:val="22"/>
          <w:lang w:eastAsia="zh-CN"/>
        </w:rPr>
      </w:pPr>
      <w:bookmarkStart w:id="55" w:name="_Toc23346"/>
      <w:bookmarkStart w:id="56" w:name="_Toc5524"/>
      <w:r>
        <w:rPr>
          <w:rFonts w:hint="eastAsia"/>
          <w:szCs w:val="22"/>
          <w:lang w:eastAsia="zh-CN"/>
        </w:rPr>
        <w:t>关联交易信息</w:t>
      </w:r>
      <w:bookmarkEnd w:id="55"/>
      <w:bookmarkEnd w:id="56"/>
    </w:p>
    <w:p>
      <w:pPr>
        <w:pStyle w:val="6"/>
        <w:numPr>
          <w:ilvl w:val="0"/>
          <w:numId w:val="7"/>
        </w:numPr>
        <w:bidi w:val="0"/>
        <w:rPr>
          <w:rFonts w:hint="eastAsia"/>
          <w:lang w:eastAsia="zh-CN"/>
        </w:rPr>
      </w:pPr>
      <w:r>
        <w:rPr>
          <w:rFonts w:hint="eastAsia"/>
          <w:lang w:eastAsia="zh-CN"/>
        </w:rPr>
        <w:t>关联方信息表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GLFXXB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关联方信息表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0501</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根据《保险公司关联交易管理办法》银保监发〔2019〕35号，保险公司自行认定关联方进行报送。含个人与个人、个人与企业、企业与企业之间的关系信息。同一个人兼任或具有多重关联关系的，分别填报。</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公司内唯一识别该关联方的编号。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关联方的名称。隐私，保险公司变形，名称保留最后一个字或字母，其余汉字及单词丢弃。</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机构证件类型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JGZJLX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对应《业务代码表》中的“机构证件类型代码”，填报中文描述。例如：统一社会信用代码、组织机构代码证等。</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个人证件类型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GRZJLX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对应《业务代码表》中的“个人身份证件类型代码”，填报中文描述。例如：居民身份证、军人身份证件、护照、出生医学证明等。</w:t>
            </w:r>
          </w:p>
        </w:tc>
      </w:tr>
      <w:tr>
        <w:tblPrEx>
          <w:tblLayout w:type="fixed"/>
          <w:tblCellMar>
            <w:top w:w="0" w:type="dxa"/>
            <w:left w:w="0" w:type="dxa"/>
            <w:bottom w:w="0" w:type="dxa"/>
            <w:right w:w="0" w:type="dxa"/>
          </w:tblCellMar>
        </w:tblPrEx>
        <w:trPr>
          <w:trHeight w:val="374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关联方识别码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GLFSBM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001034</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境内法人或其他组织填写统一社会信用代码；</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外法人或其他组织填写企业注册码、税务号等有效代码，如果无法获取，可填写填报机构自行编制代码（自行编制代码为14位，规则为报送机构的9位组织机构代码+1位关联方类型代码+4位顺序号，其中第10位的关联方类型代码应填写1,代表关联方/关联方中间节点类型为法人或其他组织）；</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境内自然人填写合法身份证件的号码（隐私，保险公司变形）。</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外自然人，填写护照号（隐私，保险公司变形），如无法获取，则填写填报机构自行编制号码（自行编制代码为14位，规则为报送机构的9位组织机构代码+1位关联方类型代码+4位顺序号，其中1位关联方类型代码应填写2,代表关联方/关联方中间节点类型为自然人。）</w:t>
            </w:r>
          </w:p>
        </w:tc>
      </w:tr>
      <w:tr>
        <w:tblPrEx>
          <w:shd w:val="clear" w:color="auto" w:fill="auto"/>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关联方类别</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GLFLB</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001041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关联方类别，填报中文描述。包括：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自然人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法人或其他组织</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境内外性质</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JNWXZ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关联方是境内还是境外自然人或机构，填报中文描述：</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境内</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境外</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有效标志</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YXBZ</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该关联方是否有效的标志。填报中文描述：是，否。</w:t>
            </w:r>
          </w:p>
        </w:tc>
      </w:tr>
    </w:tbl>
    <w:p>
      <w:pPr>
        <w:rPr>
          <w:rFonts w:hint="eastAsia"/>
          <w:lang w:eastAsia="zh-CN"/>
        </w:rPr>
      </w:pPr>
    </w:p>
    <w:p>
      <w:pPr>
        <w:pStyle w:val="6"/>
        <w:numPr>
          <w:ilvl w:val="0"/>
          <w:numId w:val="7"/>
        </w:numPr>
        <w:bidi w:val="0"/>
        <w:rPr>
          <w:rFonts w:hint="eastAsia"/>
          <w:lang w:eastAsia="zh-CN"/>
        </w:rPr>
      </w:pPr>
      <w:r>
        <w:rPr>
          <w:rFonts w:hint="eastAsia"/>
          <w:lang w:eastAsia="zh-CN"/>
        </w:rPr>
        <w:t>金融产品信息表</w:t>
      </w:r>
    </w:p>
    <w:tbl>
      <w:tblPr>
        <w:tblStyle w:val="15"/>
        <w:tblW w:w="8325" w:type="dxa"/>
        <w:tblInd w:w="0" w:type="dxa"/>
        <w:shd w:val="clear" w:color="auto" w:fill="auto"/>
        <w:tblLayout w:type="fixed"/>
        <w:tblCellMar>
          <w:top w:w="0" w:type="dxa"/>
          <w:left w:w="0" w:type="dxa"/>
          <w:bottom w:w="0" w:type="dxa"/>
          <w:right w:w="0" w:type="dxa"/>
        </w:tblCellMar>
      </w:tblPr>
      <w:tblGrid>
        <w:gridCol w:w="1039"/>
        <w:gridCol w:w="1170"/>
        <w:gridCol w:w="1039"/>
        <w:gridCol w:w="709"/>
        <w:gridCol w:w="710"/>
        <w:gridCol w:w="3658"/>
      </w:tblGrid>
      <w:tr>
        <w:tblPrEx>
          <w:shd w:val="clear" w:color="auto" w:fill="auto"/>
          <w:tblLayout w:type="fixed"/>
          <w:tblCellMar>
            <w:top w:w="0" w:type="dxa"/>
            <w:left w:w="0" w:type="dxa"/>
            <w:bottom w:w="0" w:type="dxa"/>
            <w:right w:w="0" w:type="dxa"/>
          </w:tblCellMar>
        </w:tblPrEx>
        <w:trPr>
          <w:trHeight w:val="312"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07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JRCPXXB</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金融产品信息表</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0502</w:t>
            </w:r>
          </w:p>
        </w:tc>
        <w:tc>
          <w:tcPr>
            <w:tcW w:w="507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逐笔报送在关联方认定或关联交易中涉及的金融产品，以便向上识别产品的最终投资者，向下识别产品的底层资产。金融产品相关信息根据关联方信息表、关联关系表、关联交易明细表、关联交易汇总表等报送所需进行报送。</w:t>
            </w:r>
          </w:p>
        </w:tc>
      </w:tr>
      <w:tr>
        <w:tblPrEx>
          <w:tblLayout w:type="fixed"/>
          <w:tblCellMar>
            <w:top w:w="0" w:type="dxa"/>
            <w:left w:w="0" w:type="dxa"/>
            <w:bottom w:w="0" w:type="dxa"/>
            <w:right w:w="0" w:type="dxa"/>
          </w:tblCellMar>
        </w:tblPrEx>
        <w:trPr>
          <w:trHeight w:val="312"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288"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金融产品名称</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JRCPMC</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金融产品在批准、注册或备案后的产品名称。</w:t>
            </w:r>
          </w:p>
        </w:tc>
      </w:tr>
      <w:tr>
        <w:tblPrEx>
          <w:tblLayout w:type="fixed"/>
          <w:tblCellMar>
            <w:top w:w="0" w:type="dxa"/>
            <w:left w:w="0" w:type="dxa"/>
            <w:bottom w:w="0" w:type="dxa"/>
            <w:right w:w="0" w:type="dxa"/>
          </w:tblCellMar>
        </w:tblPrEx>
        <w:trPr>
          <w:trHeight w:val="864"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金融产品批准/注册/备案号</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JRCPPZZCBAH</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产品批准、注册或备案机构配发的核准编号。如产品报送时产品批准、注册或备案号尚未公布，则填写产品管理人的内部编号，待后续产品批准、注册或备案号公布后及时更新。</w:t>
            </w:r>
          </w:p>
        </w:tc>
      </w:tr>
      <w:tr>
        <w:tblPrEx>
          <w:tblLayout w:type="fixed"/>
          <w:tblCellMar>
            <w:top w:w="0" w:type="dxa"/>
            <w:left w:w="0" w:type="dxa"/>
            <w:bottom w:w="0" w:type="dxa"/>
            <w:right w:w="0" w:type="dxa"/>
          </w:tblCellMar>
        </w:tblPrEx>
        <w:trPr>
          <w:trHeight w:val="288"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金融产品代码</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JRCPDM</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由产品登记机构配发的产品代码。</w:t>
            </w:r>
          </w:p>
        </w:tc>
      </w:tr>
      <w:tr>
        <w:tblPrEx>
          <w:tblLayout w:type="fixed"/>
          <w:tblCellMar>
            <w:top w:w="0" w:type="dxa"/>
            <w:left w:w="0" w:type="dxa"/>
            <w:bottom w:w="0" w:type="dxa"/>
            <w:right w:w="0" w:type="dxa"/>
          </w:tblCellMar>
        </w:tblPrEx>
        <w:trPr>
          <w:trHeight w:val="864"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金融产品分类</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JRCPFL</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005005</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金融产品分类的代码，对应《业务代码表》中的“金融产品分类代码”，填报中文描述。例如：证券投资基金、企业年金等。</w:t>
            </w:r>
          </w:p>
        </w:tc>
      </w:tr>
      <w:tr>
        <w:tblPrEx>
          <w:tblLayout w:type="fixed"/>
          <w:tblCellMar>
            <w:top w:w="0" w:type="dxa"/>
            <w:left w:w="0" w:type="dxa"/>
            <w:bottom w:w="0" w:type="dxa"/>
            <w:right w:w="0" w:type="dxa"/>
          </w:tblCellMar>
        </w:tblPrEx>
        <w:trPr>
          <w:trHeight w:val="576"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金融产品登记机构</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JRCPDJJG</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为金融产品信息及份额信息等提供登记、托管等服务的机构名称。</w:t>
            </w:r>
          </w:p>
        </w:tc>
      </w:tr>
      <w:tr>
        <w:tblPrEx>
          <w:tblLayout w:type="fixed"/>
          <w:tblCellMar>
            <w:top w:w="0" w:type="dxa"/>
            <w:left w:w="0" w:type="dxa"/>
            <w:bottom w:w="0" w:type="dxa"/>
            <w:right w:w="0" w:type="dxa"/>
          </w:tblCellMar>
        </w:tblPrEx>
        <w:trPr>
          <w:trHeight w:val="576"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金融产品管理人全称</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JRCPGLRQC</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发起金融产品设立、募集，并提供后续管理的金融机构名称。</w:t>
            </w:r>
          </w:p>
        </w:tc>
      </w:tr>
      <w:tr>
        <w:tblPrEx>
          <w:tblLayout w:type="fixed"/>
          <w:tblCellMar>
            <w:top w:w="0" w:type="dxa"/>
            <w:left w:w="0" w:type="dxa"/>
            <w:bottom w:w="0" w:type="dxa"/>
            <w:right w:w="0" w:type="dxa"/>
          </w:tblCellMar>
        </w:tblPrEx>
        <w:trPr>
          <w:trHeight w:val="576"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管理人统一社会信用代码</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GLRTYSHXYDM</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金融产品管理人的统一社会信用代码。</w:t>
            </w:r>
          </w:p>
        </w:tc>
      </w:tr>
      <w:tr>
        <w:tblPrEx>
          <w:tblLayout w:type="fixed"/>
          <w:tblCellMar>
            <w:top w:w="0" w:type="dxa"/>
            <w:left w:w="0" w:type="dxa"/>
            <w:bottom w:w="0" w:type="dxa"/>
            <w:right w:w="0" w:type="dxa"/>
          </w:tblCellMar>
        </w:tblPrEx>
        <w:trPr>
          <w:trHeight w:val="576"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金融产品托管人全称</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JRCPTGRQC</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负责本金融产品托管业务的金融机构名称。</w:t>
            </w:r>
          </w:p>
        </w:tc>
      </w:tr>
      <w:tr>
        <w:tblPrEx>
          <w:tblLayout w:type="fixed"/>
          <w:tblCellMar>
            <w:top w:w="0" w:type="dxa"/>
            <w:left w:w="0" w:type="dxa"/>
            <w:bottom w:w="0" w:type="dxa"/>
            <w:right w:w="0" w:type="dxa"/>
          </w:tblCellMar>
        </w:tblPrEx>
        <w:trPr>
          <w:trHeight w:val="576" w:hRule="atLeast"/>
        </w:trPr>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托管人统一社会信用代码</w:t>
            </w:r>
          </w:p>
        </w:tc>
        <w:tc>
          <w:tcPr>
            <w:tcW w:w="11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TGRTYSHXYDM</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6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金融产品托管人的统一社会信用代码。</w:t>
            </w:r>
          </w:p>
        </w:tc>
      </w:tr>
    </w:tbl>
    <w:p>
      <w:pPr>
        <w:rPr>
          <w:rFonts w:hint="eastAsia"/>
          <w:lang w:eastAsia="zh-CN"/>
        </w:rPr>
      </w:pPr>
    </w:p>
    <w:p>
      <w:pPr>
        <w:pStyle w:val="6"/>
        <w:numPr>
          <w:ilvl w:val="0"/>
          <w:numId w:val="7"/>
        </w:numPr>
        <w:bidi w:val="0"/>
        <w:rPr>
          <w:rFonts w:hint="eastAsia"/>
          <w:lang w:eastAsia="zh-CN"/>
        </w:rPr>
      </w:pPr>
      <w:r>
        <w:rPr>
          <w:rFonts w:hint="eastAsia"/>
          <w:lang w:eastAsia="zh-CN"/>
        </w:rPr>
        <w:t>关联关系表</w:t>
      </w:r>
    </w:p>
    <w:tbl>
      <w:tblPr>
        <w:tblStyle w:val="15"/>
        <w:tblW w:w="8328" w:type="dxa"/>
        <w:tblInd w:w="0" w:type="dxa"/>
        <w:shd w:val="clear" w:color="auto" w:fill="auto"/>
        <w:tblLayout w:type="fixed"/>
        <w:tblCellMar>
          <w:top w:w="0" w:type="dxa"/>
          <w:left w:w="0" w:type="dxa"/>
          <w:bottom w:w="0" w:type="dxa"/>
          <w:right w:w="0" w:type="dxa"/>
        </w:tblCellMar>
      </w:tblPr>
      <w:tblGrid>
        <w:gridCol w:w="991"/>
        <w:gridCol w:w="1725"/>
        <w:gridCol w:w="992"/>
        <w:gridCol w:w="678"/>
        <w:gridCol w:w="677"/>
        <w:gridCol w:w="3265"/>
      </w:tblGrid>
      <w:tr>
        <w:tblPrEx>
          <w:shd w:val="clear" w:color="auto" w:fill="auto"/>
          <w:tblLayout w:type="fixed"/>
          <w:tblCellMar>
            <w:top w:w="0" w:type="dxa"/>
            <w:left w:w="0" w:type="dxa"/>
            <w:bottom w:w="0" w:type="dxa"/>
            <w:right w:w="0" w:type="dxa"/>
          </w:tblCellMar>
        </w:tblPrEx>
        <w:trPr>
          <w:trHeight w:val="31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462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1520"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GLGXB</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关联关系表</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0503</w:t>
            </w:r>
          </w:p>
        </w:tc>
        <w:tc>
          <w:tcPr>
            <w:tcW w:w="462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报送关联方关联关系，出于关联方穿透管理的需要，通过金融产品持股或施加重大影响形成的关联方，将相应金融产品作为关联方中间节点进行报送。数据报送以填报机构为最前一层关联方逐步向后扩展；两个关联方之间同一关联关系填报时，仅填报一个方向即可；自然人股东的近亲属持有或控制填报机构股份，持有或控制的股份应与自然人股东持有或控制填报机构股份分别填报。</w:t>
            </w:r>
          </w:p>
        </w:tc>
      </w:tr>
      <w:tr>
        <w:tblPrEx>
          <w:tblLayout w:type="fixed"/>
          <w:tblCellMar>
            <w:top w:w="0" w:type="dxa"/>
            <w:left w:w="0" w:type="dxa"/>
            <w:bottom w:w="0" w:type="dxa"/>
            <w:right w:w="0" w:type="dxa"/>
          </w:tblCellMar>
        </w:tblPrEx>
        <w:trPr>
          <w:trHeight w:val="31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关联方名称/关联方中间节点名称</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GLFMCGLFZJJDMC</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关联方名称填写法人或其他组织的名称、自然人姓名。关联方中间节点名称填写金融产品名称</w:t>
            </w:r>
          </w:p>
        </w:tc>
      </w:tr>
      <w:tr>
        <w:tblPrEx>
          <w:tblLayout w:type="fixed"/>
          <w:tblCellMar>
            <w:top w:w="0" w:type="dxa"/>
            <w:left w:w="0" w:type="dxa"/>
            <w:bottom w:w="0" w:type="dxa"/>
            <w:right w:w="0" w:type="dxa"/>
          </w:tblCellMar>
        </w:tblPrEx>
        <w:trPr>
          <w:trHeight w:val="864"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关联方代码/关联方中间节点代码</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GLFDMGLFZJJDDM</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关联方代码法人或其他组织的统一社会信用代码等有效代码、自然人对应证件类型的证件号码。关联方中间节点代码填写金融产品的批准、注册/备案号。</w:t>
            </w:r>
          </w:p>
        </w:tc>
      </w:tr>
      <w:tr>
        <w:tblPrEx>
          <w:tblLayout w:type="fixed"/>
          <w:tblCellMar>
            <w:top w:w="0" w:type="dxa"/>
            <w:left w:w="0" w:type="dxa"/>
            <w:bottom w:w="0" w:type="dxa"/>
            <w:right w:w="0" w:type="dxa"/>
          </w:tblCellMar>
        </w:tblPrEx>
        <w:trPr>
          <w:trHeight w:val="115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关联方/关联方中间节点类型</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GLFGLFZJJDLX</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005003</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关联方/关联方中间节点类型代码，填报中文描述。包括：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法人或其他组织</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自然人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xml:space="preserve">金融产品等其他 </w:t>
            </w:r>
          </w:p>
        </w:tc>
      </w:tr>
      <w:tr>
        <w:tblPrEx>
          <w:tblLayout w:type="fixed"/>
          <w:tblCellMar>
            <w:top w:w="0" w:type="dxa"/>
            <w:left w:w="0" w:type="dxa"/>
            <w:bottom w:w="0" w:type="dxa"/>
            <w:right w:w="0" w:type="dxa"/>
          </w:tblCellMar>
        </w:tblPrEx>
        <w:trPr>
          <w:trHeight w:val="864"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前一层关联方名称/关联方中间节点名称</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QYCGLFMCGLFZJJDMC</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填写前一层法人或其他组织的法人名称、自然人姓名、金融产品的产品全称。</w:t>
            </w:r>
          </w:p>
        </w:tc>
      </w:tr>
      <w:tr>
        <w:tblPrEx>
          <w:tblLayout w:type="fixed"/>
          <w:tblCellMar>
            <w:top w:w="0" w:type="dxa"/>
            <w:left w:w="0" w:type="dxa"/>
            <w:bottom w:w="0" w:type="dxa"/>
            <w:right w:w="0" w:type="dxa"/>
          </w:tblCellMar>
        </w:tblPrEx>
        <w:trPr>
          <w:trHeight w:val="864"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前一层关联方代码/关联方中间节点代码</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QYCGLFDMGLFZJJDDM</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填写法人或其他组织的统一社会信用代码等有效代码、自然人的证件号码、金融产品的批准、注册/备案号。</w:t>
            </w:r>
          </w:p>
        </w:tc>
      </w:tr>
      <w:tr>
        <w:tblPrEx>
          <w:tblLayout w:type="fixed"/>
          <w:tblCellMar>
            <w:top w:w="0" w:type="dxa"/>
            <w:left w:w="0" w:type="dxa"/>
            <w:bottom w:w="0" w:type="dxa"/>
            <w:right w:w="0" w:type="dxa"/>
          </w:tblCellMar>
        </w:tblPrEx>
        <w:trPr>
          <w:trHeight w:val="1440"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前一层关联方/关联方中间节点类型</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QYCGLFGLFZJJDLX</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005003</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前一层关联方/关联方中间节点类型代码，填报中文描述。包括：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法人或其他组织</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自然人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 xml:space="preserve">金融产品等其他 </w:t>
            </w:r>
          </w:p>
        </w:tc>
      </w:tr>
      <w:tr>
        <w:tblPrEx>
          <w:tblLayout w:type="fixed"/>
          <w:tblCellMar>
            <w:top w:w="0" w:type="dxa"/>
            <w:left w:w="0" w:type="dxa"/>
            <w:bottom w:w="0" w:type="dxa"/>
            <w:right w:w="0" w:type="dxa"/>
          </w:tblCellMar>
        </w:tblPrEx>
        <w:trPr>
          <w:trHeight w:val="864"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与前一层的关联关系</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YQYCDGLGX</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005001</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与前一层的关联关系代码，对应《业务代码表》中的“关联关系代码”，填报中文描述。例如：被前一层共同控制、被前一层共同施加重大影响等。</w:t>
            </w:r>
          </w:p>
        </w:tc>
      </w:tr>
      <w:tr>
        <w:tblPrEx>
          <w:tblLayout w:type="fixed"/>
          <w:tblCellMar>
            <w:top w:w="0" w:type="dxa"/>
            <w:left w:w="0" w:type="dxa"/>
            <w:bottom w:w="0" w:type="dxa"/>
            <w:right w:w="0" w:type="dxa"/>
          </w:tblCellMar>
        </w:tblPrEx>
        <w:trPr>
          <w:trHeight w:val="1152"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与前一层之间是否有权益份额</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YQYCZJSFYQYFE</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005004</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与前一层之间是否有权益份额代码，填报中文描述。包括：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是，对前一层持有</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是，被前一层持有</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否</w:t>
            </w:r>
          </w:p>
        </w:tc>
      </w:tr>
      <w:tr>
        <w:tblPrEx>
          <w:tblLayout w:type="fixed"/>
          <w:tblCellMar>
            <w:top w:w="0" w:type="dxa"/>
            <w:left w:w="0" w:type="dxa"/>
            <w:bottom w:w="0" w:type="dxa"/>
            <w:right w:w="0" w:type="dxa"/>
          </w:tblCellMar>
        </w:tblPrEx>
        <w:trPr>
          <w:trHeight w:val="576"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持有比例</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CYBL</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与前一层之间是否有权益份额为1或2时，持有比例为必填。持有或被前一层关联方持有权益份额的比例。</w:t>
            </w:r>
          </w:p>
        </w:tc>
      </w:tr>
      <w:tr>
        <w:tblPrEx>
          <w:tblLayout w:type="fixed"/>
          <w:tblCellMar>
            <w:top w:w="0" w:type="dxa"/>
            <w:left w:w="0" w:type="dxa"/>
            <w:bottom w:w="0" w:type="dxa"/>
            <w:right w:w="0" w:type="dxa"/>
          </w:tblCellMar>
        </w:tblPrEx>
        <w:trPr>
          <w:trHeight w:val="864"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质押股权比例</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ZYGQBL</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当填报机构为前一层关联方时，关联方持有前一层关联方的质押股权数量占持有的股权总量的比例。与前一层之间是否有权益份额为1或2时，质押股权比例为必填。</w:t>
            </w:r>
          </w:p>
        </w:tc>
      </w:tr>
      <w:tr>
        <w:tblPrEx>
          <w:tblLayout w:type="fixed"/>
          <w:tblCellMar>
            <w:top w:w="0" w:type="dxa"/>
            <w:left w:w="0" w:type="dxa"/>
            <w:bottom w:w="0" w:type="dxa"/>
            <w:right w:w="0" w:type="dxa"/>
          </w:tblCellMar>
        </w:tblPrEx>
        <w:trPr>
          <w:trHeight w:val="288"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关联关系说明</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GLGXSM</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形成关联关系的原因说明。</w:t>
            </w:r>
          </w:p>
        </w:tc>
      </w:tr>
      <w:tr>
        <w:tblPrEx>
          <w:tblLayout w:type="fixed"/>
          <w:tblCellMar>
            <w:top w:w="0" w:type="dxa"/>
            <w:left w:w="0" w:type="dxa"/>
            <w:bottom w:w="0" w:type="dxa"/>
            <w:right w:w="0" w:type="dxa"/>
          </w:tblCellMar>
        </w:tblPrEx>
        <w:trPr>
          <w:trHeight w:val="288"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关系有效标志</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GXYXBZ</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该关联关系是否有效的标志。填报中文描述：是，否。</w:t>
            </w:r>
          </w:p>
        </w:tc>
      </w:tr>
      <w:tr>
        <w:tblPrEx>
          <w:tblLayout w:type="fixed"/>
          <w:tblCellMar>
            <w:top w:w="0" w:type="dxa"/>
            <w:left w:w="0" w:type="dxa"/>
            <w:bottom w:w="0" w:type="dxa"/>
            <w:right w:w="0" w:type="dxa"/>
          </w:tblCellMar>
        </w:tblPrEx>
        <w:trPr>
          <w:trHeight w:val="288"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生效日期</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SXRQ</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该关联关系生效的时间。</w:t>
            </w:r>
          </w:p>
        </w:tc>
      </w:tr>
      <w:tr>
        <w:tblPrEx>
          <w:tblLayout w:type="fixed"/>
          <w:tblCellMar>
            <w:top w:w="0" w:type="dxa"/>
            <w:left w:w="0" w:type="dxa"/>
            <w:bottom w:w="0" w:type="dxa"/>
            <w:right w:w="0" w:type="dxa"/>
          </w:tblCellMar>
        </w:tblPrEx>
        <w:trPr>
          <w:trHeight w:val="288" w:hRule="atLeast"/>
        </w:trPr>
        <w:tc>
          <w:tcPr>
            <w:tcW w:w="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失效日期</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SXRQ</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6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该关联关系失效的时间。</w:t>
            </w:r>
          </w:p>
        </w:tc>
      </w:tr>
    </w:tbl>
    <w:p>
      <w:pPr>
        <w:rPr>
          <w:rFonts w:hint="eastAsia"/>
          <w:lang w:eastAsia="zh-CN"/>
        </w:rPr>
      </w:pPr>
    </w:p>
    <w:p>
      <w:pPr>
        <w:pStyle w:val="6"/>
        <w:numPr>
          <w:ilvl w:val="0"/>
          <w:numId w:val="7"/>
        </w:numPr>
        <w:bidi w:val="0"/>
        <w:rPr>
          <w:rFonts w:hint="eastAsia"/>
          <w:lang w:eastAsia="zh-CN"/>
        </w:rPr>
      </w:pPr>
      <w:r>
        <w:rPr>
          <w:rFonts w:hint="eastAsia"/>
          <w:lang w:eastAsia="zh-CN"/>
        </w:rPr>
        <w:t>重大关联交易明细表</w:t>
      </w:r>
    </w:p>
    <w:tbl>
      <w:tblPr>
        <w:tblStyle w:val="15"/>
        <w:tblW w:w="8326" w:type="dxa"/>
        <w:tblInd w:w="0" w:type="dxa"/>
        <w:shd w:val="clear" w:color="auto" w:fill="auto"/>
        <w:tblLayout w:type="fixed"/>
        <w:tblCellMar>
          <w:top w:w="0" w:type="dxa"/>
          <w:left w:w="0" w:type="dxa"/>
          <w:bottom w:w="0" w:type="dxa"/>
          <w:right w:w="0" w:type="dxa"/>
        </w:tblCellMar>
      </w:tblPr>
      <w:tblGrid>
        <w:gridCol w:w="886"/>
        <w:gridCol w:w="2174"/>
        <w:gridCol w:w="887"/>
        <w:gridCol w:w="606"/>
        <w:gridCol w:w="607"/>
        <w:gridCol w:w="3166"/>
      </w:tblGrid>
      <w:tr>
        <w:tblPrEx>
          <w:shd w:val="clear" w:color="auto" w:fill="auto"/>
          <w:tblLayout w:type="fixed"/>
          <w:tblCellMar>
            <w:top w:w="0" w:type="dxa"/>
            <w:left w:w="0" w:type="dxa"/>
            <w:bottom w:w="0" w:type="dxa"/>
            <w:right w:w="0" w:type="dxa"/>
          </w:tblCellMar>
        </w:tblPrEx>
        <w:trPr>
          <w:trHeight w:val="312"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437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24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ZDGLJYMXB</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重大关联交易明细表</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0504</w:t>
            </w:r>
          </w:p>
        </w:tc>
        <w:tc>
          <w:tcPr>
            <w:tcW w:w="4379"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本表填报《保险公司关联交易管理办法》中认定的重大关联交易，统一交易协议的签署、续签和实质性变更，以及下列关联交易也应逐笔报送：</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（1）同一自然人同时担任保险公司和其他法人的独立董事且不存在其他构成关联方情形的，该法人与保险公司进行的交易；</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（2）交易的定价为国家规定的；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（3）银保监会规定的其他情形。</w:t>
            </w:r>
          </w:p>
        </w:tc>
      </w:tr>
      <w:tr>
        <w:tblPrEx>
          <w:tblLayout w:type="fixed"/>
          <w:tblCellMar>
            <w:top w:w="0" w:type="dxa"/>
            <w:left w:w="0" w:type="dxa"/>
            <w:bottom w:w="0" w:type="dxa"/>
            <w:right w:w="0" w:type="dxa"/>
          </w:tblCellMar>
        </w:tblPrEx>
        <w:trPr>
          <w:trHeight w:val="312"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关联方编号</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GLFBH</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公司内唯一识别该关联方的编号。关联数据项：关联方信息表-关联方编号。</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关联方名称</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GLFMC</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关联方的名称。自然人姓名为隐私，保险公司变形，名称保留最后一个字或字母，其余汉字及单词丢弃。</w:t>
            </w:r>
          </w:p>
        </w:tc>
      </w:tr>
      <w:tr>
        <w:tblPrEx>
          <w:tblLayout w:type="fixed"/>
          <w:tblCellMar>
            <w:top w:w="0" w:type="dxa"/>
            <w:left w:w="0" w:type="dxa"/>
            <w:bottom w:w="0" w:type="dxa"/>
            <w:right w:w="0" w:type="dxa"/>
          </w:tblCellMar>
        </w:tblPrEx>
        <w:trPr>
          <w:trHeight w:val="345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关联方识别码</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GLFSBM</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001034</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境内法人或其他组织填写统一社会信用代码；境外法人或其他组织填写企业注册码、税务号等有效代码，如果无法获取，可填写填报机构自行编制代码（自行编制代码与填报关联自行编制代码为报送机构的9位组织机构代码+1位关联方类型代码+4位顺序号，其中1位关联方类型代码应填写”1”,代表关联方/关联方中间节点类型位法人或其他组织）；境内自然人填写合法身份证件的号码（隐私，财产保险公司变形）。境外自然人，填写护照号（隐私，财产保险公司变形），如无法获取，则填写填报机构自行编制号码（自行编制代码为报送机构的9位组织机构代码+1位关联方类型代码+4位顺序号，其中1位关联方类型代码应填写”2”,代表关联方/关联方中间节点类型为自然人。）</w:t>
            </w:r>
          </w:p>
        </w:tc>
      </w:tr>
      <w:tr>
        <w:tblPrEx>
          <w:shd w:val="clear" w:color="auto" w:fill="auto"/>
          <w:tblLayout w:type="fixed"/>
          <w:tblCellMar>
            <w:top w:w="0" w:type="dxa"/>
            <w:left w:w="0" w:type="dxa"/>
            <w:bottom w:w="0" w:type="dxa"/>
            <w:right w:w="0" w:type="dxa"/>
          </w:tblCellMar>
        </w:tblPrEx>
        <w:trPr>
          <w:trHeight w:val="864"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关联方类别</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GLFLB</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001041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关联方类别，填报中文描述。包括：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自然人</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法人或其他组织</w:t>
            </w:r>
          </w:p>
        </w:tc>
      </w:tr>
      <w:tr>
        <w:tblPrEx>
          <w:tblLayout w:type="fixed"/>
          <w:tblCellMar>
            <w:top w:w="0" w:type="dxa"/>
            <w:left w:w="0" w:type="dxa"/>
            <w:bottom w:w="0" w:type="dxa"/>
            <w:right w:w="0" w:type="dxa"/>
          </w:tblCellMar>
        </w:tblPrEx>
        <w:trPr>
          <w:trHeight w:val="288"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交易编号</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JYBH</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系统内用以区分每笔关联交易的编号，具有唯一性。</w:t>
            </w:r>
          </w:p>
        </w:tc>
      </w:tr>
      <w:tr>
        <w:tblPrEx>
          <w:tblLayout w:type="fixed"/>
          <w:tblCellMar>
            <w:top w:w="0" w:type="dxa"/>
            <w:left w:w="0" w:type="dxa"/>
            <w:bottom w:w="0" w:type="dxa"/>
            <w:right w:w="0" w:type="dxa"/>
          </w:tblCellMar>
        </w:tblPrEx>
        <w:trPr>
          <w:trHeight w:val="1728"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交易标的</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JYBD</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关联方之间关联交易的对象。对于资金运用类：如为存款，为存款具体类型。如投资关联方股权，为投资股权比例以及最终持股比例。如投资关联方发行的金融产品，为金融产品的相关信息。如投资基础资产包括关联方资产的金融产品，需说明金融产品情况。如与关联方共同投资，为被投资企业的具体情况。</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统一交易协议标志</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TYJYXYBZ</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是否为统一交易协议。填报中文描述：是，否。</w:t>
            </w:r>
          </w:p>
        </w:tc>
      </w:tr>
      <w:tr>
        <w:tblPrEx>
          <w:tblLayout w:type="fixed"/>
          <w:tblCellMar>
            <w:top w:w="0" w:type="dxa"/>
            <w:left w:w="0" w:type="dxa"/>
            <w:bottom w:w="0" w:type="dxa"/>
            <w:right w:w="0" w:type="dxa"/>
          </w:tblCellMar>
        </w:tblPrEx>
        <w:trPr>
          <w:trHeight w:val="288"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合同编号</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HTBH</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与关联方签署的交易协议或合同的内部编号。</w:t>
            </w:r>
          </w:p>
        </w:tc>
      </w:tr>
      <w:tr>
        <w:tblPrEx>
          <w:tblLayout w:type="fixed"/>
          <w:tblCellMar>
            <w:top w:w="0" w:type="dxa"/>
            <w:left w:w="0" w:type="dxa"/>
            <w:bottom w:w="0" w:type="dxa"/>
            <w:right w:w="0" w:type="dxa"/>
          </w:tblCellMar>
        </w:tblPrEx>
        <w:trPr>
          <w:trHeight w:val="288"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合同签订日期</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HTQDRQ</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关联交易协议签署的日期。</w:t>
            </w:r>
          </w:p>
        </w:tc>
      </w:tr>
      <w:tr>
        <w:tblPrEx>
          <w:tblLayout w:type="fixed"/>
          <w:tblCellMar>
            <w:top w:w="0" w:type="dxa"/>
            <w:left w:w="0" w:type="dxa"/>
            <w:bottom w:w="0" w:type="dxa"/>
            <w:right w:w="0" w:type="dxa"/>
          </w:tblCellMar>
        </w:tblPrEx>
        <w:trPr>
          <w:trHeight w:val="288"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业务起始日期</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YWQSRQ</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关联交易发生的起始日期。</w:t>
            </w:r>
          </w:p>
        </w:tc>
      </w:tr>
      <w:tr>
        <w:tblPrEx>
          <w:tblLayout w:type="fixed"/>
          <w:tblCellMar>
            <w:top w:w="0" w:type="dxa"/>
            <w:left w:w="0" w:type="dxa"/>
            <w:bottom w:w="0" w:type="dxa"/>
            <w:right w:w="0" w:type="dxa"/>
          </w:tblCellMar>
        </w:tblPrEx>
        <w:trPr>
          <w:trHeight w:val="288"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业务结束日期</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YWJSRQ</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关联交易发生的结束日期。</w:t>
            </w:r>
          </w:p>
        </w:tc>
      </w:tr>
      <w:tr>
        <w:tblPrEx>
          <w:tblLayout w:type="fixed"/>
          <w:tblCellMar>
            <w:top w:w="0" w:type="dxa"/>
            <w:left w:w="0" w:type="dxa"/>
            <w:bottom w:w="0" w:type="dxa"/>
            <w:right w:w="0" w:type="dxa"/>
          </w:tblCellMar>
        </w:tblPrEx>
        <w:trPr>
          <w:trHeight w:val="864"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关联交易业务类型</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GLJYLX</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对应《业务代码表》中的“关联交易业务类型代码”，填报中文描述。例如：投资入股类-新设入股或增资，资金运用类-股权，利益转移类-出售资产等。</w:t>
            </w:r>
          </w:p>
        </w:tc>
      </w:tr>
      <w:tr>
        <w:tblPrEx>
          <w:tblLayout w:type="fixed"/>
          <w:tblCellMar>
            <w:top w:w="0" w:type="dxa"/>
            <w:left w:w="0" w:type="dxa"/>
            <w:bottom w:w="0" w:type="dxa"/>
            <w:right w:w="0" w:type="dxa"/>
          </w:tblCellMar>
        </w:tblPrEx>
        <w:trPr>
          <w:trHeight w:val="288"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关联交易金额</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JYJE</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005007</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关联交易的发生金额。单位万元，最大16位整数，6位小数。</w:t>
            </w:r>
          </w:p>
        </w:tc>
      </w:tr>
      <w:tr>
        <w:tblPrEx>
          <w:tblLayout w:type="fixed"/>
          <w:tblCellMar>
            <w:top w:w="0" w:type="dxa"/>
            <w:left w:w="0" w:type="dxa"/>
            <w:bottom w:w="0" w:type="dxa"/>
            <w:right w:w="0" w:type="dxa"/>
          </w:tblCellMar>
        </w:tblPrEx>
        <w:trPr>
          <w:trHeight w:val="864"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达到重大关联交易的情形</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DDZDGLJYDQX</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005009</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达到重大关联交易的情形，填报中文描述。包括：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单笔达到</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累计达到</w:t>
            </w:r>
          </w:p>
        </w:tc>
      </w:tr>
      <w:tr>
        <w:tblPrEx>
          <w:tblLayout w:type="fixed"/>
          <w:tblCellMar>
            <w:top w:w="0" w:type="dxa"/>
            <w:left w:w="0" w:type="dxa"/>
            <w:bottom w:w="0" w:type="dxa"/>
            <w:right w:w="0" w:type="dxa"/>
          </w:tblCellMar>
        </w:tblPrEx>
        <w:trPr>
          <w:trHeight w:val="1152"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本年度与该关联方发生关联交易累计金额</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BNDYGGLFFSGLJYLJJE</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005007</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除单笔达到重大关联交易及统一交易协议外，本年度与该关联方发生的累计交易金额，包括本笔交易金额在内。当“达到重大关联交易的情形”字段为“累计达到”时，必填。单位：万元，保留6位小数。</w:t>
            </w:r>
          </w:p>
        </w:tc>
      </w:tr>
      <w:tr>
        <w:tblPrEx>
          <w:tblLayout w:type="fixed"/>
          <w:tblCellMar>
            <w:top w:w="0" w:type="dxa"/>
            <w:left w:w="0" w:type="dxa"/>
            <w:bottom w:w="0" w:type="dxa"/>
            <w:right w:w="0" w:type="dxa"/>
          </w:tblCellMar>
        </w:tblPrEx>
        <w:trPr>
          <w:trHeight w:val="288"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关联交易价格</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JYJG</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提供或接受货物的单价。</w:t>
            </w:r>
          </w:p>
        </w:tc>
      </w:tr>
      <w:tr>
        <w:tblPrEx>
          <w:tblLayout w:type="fixed"/>
          <w:tblCellMar>
            <w:top w:w="0" w:type="dxa"/>
            <w:left w:w="0" w:type="dxa"/>
            <w:bottom w:w="0" w:type="dxa"/>
            <w:right w:w="0" w:type="dxa"/>
          </w:tblCellMar>
        </w:tblPrEx>
        <w:trPr>
          <w:trHeight w:val="288"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定价政策</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DJZC</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交易对价的确定原则及定价方法。</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对财务状况及经营成果的影响</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DCWZKJJYCGDYX</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对填报机构财务状况及经营成果影响的描述。</w:t>
            </w:r>
          </w:p>
        </w:tc>
      </w:tr>
      <w:tr>
        <w:tblPrEx>
          <w:tblLayout w:type="fixed"/>
          <w:tblCellMar>
            <w:top w:w="0" w:type="dxa"/>
            <w:left w:w="0" w:type="dxa"/>
            <w:bottom w:w="0" w:type="dxa"/>
            <w:right w:w="0" w:type="dxa"/>
          </w:tblCellMar>
        </w:tblPrEx>
        <w:trPr>
          <w:trHeight w:val="1728"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证券类型</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ZQLX</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关联交易业务类型为“投资入股类-保险公司发行的优先股、债券、或其他证券”时，必填。证券类型代码，填报中文描述。包括：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优先股</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债券</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其他证券</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收益率</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SYL</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投资该填报机构发行的优先股、债券或其他证券等金融工具时的收益率等。关联交易业务类型为“投资入股类”时，必填。</w:t>
            </w:r>
          </w:p>
        </w:tc>
      </w:tr>
      <w:tr>
        <w:tblPrEx>
          <w:tblLayout w:type="fixed"/>
          <w:tblCellMar>
            <w:top w:w="0" w:type="dxa"/>
            <w:left w:w="0" w:type="dxa"/>
            <w:bottom w:w="0" w:type="dxa"/>
            <w:right w:w="0" w:type="dxa"/>
          </w:tblCellMar>
        </w:tblPrEx>
        <w:trPr>
          <w:trHeight w:val="864"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交易数量</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GZFS</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投资入股、减资、收购合并时为股份数。投资填报机构发行的优先股、债券或其他证券等金融工具时的股/张/份的数量。关联交易业务类型为“投资入股类”时，必填。</w:t>
            </w:r>
          </w:p>
        </w:tc>
      </w:tr>
      <w:tr>
        <w:tblPrEx>
          <w:tblLayout w:type="fixed"/>
          <w:tblCellMar>
            <w:top w:w="0" w:type="dxa"/>
            <w:left w:w="0" w:type="dxa"/>
            <w:bottom w:w="0" w:type="dxa"/>
            <w:right w:w="0" w:type="dxa"/>
          </w:tblCellMar>
        </w:tblPrEx>
        <w:trPr>
          <w:trHeight w:val="864"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变动股比或份额占比</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BDGBHFEZB</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投资入股类交易的交易股份比例或份额占比。当业务类型为减资时，该字段填写减少的股份比例。如减少的股份比例为5%，则填写-5.00。关联交易业务类型为“投资入股类”时，必填。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变动后股比或份额占比</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BDHGBHFEZB</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投资入股类交易后的股份比例或份额占比。关联交易业务类型为“投资入股类时”，必填。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生效日期</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SXRQ</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投资入股类交易的生效日期。关联交易业务类型为“投资入股类”时，必填。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行政审批文号</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XZSPWH</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监管部门的行政许可批复文号。关联交易业务类型为“投资入股类-新设入股或增资、减资、收购合并”时，必填。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被投资企业情况</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BTZQYQK</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被投资企业的基本情况，营业范围，财务状况和盈利模式。当关联交易业务类型为“资金运用类-股权”时，必填。</w:t>
            </w:r>
          </w:p>
        </w:tc>
      </w:tr>
      <w:tr>
        <w:tblPrEx>
          <w:tblLayout w:type="fixed"/>
          <w:tblCellMar>
            <w:top w:w="0" w:type="dxa"/>
            <w:left w:w="0" w:type="dxa"/>
            <w:bottom w:w="0" w:type="dxa"/>
            <w:right w:w="0" w:type="dxa"/>
          </w:tblCellMar>
        </w:tblPrEx>
        <w:trPr>
          <w:trHeight w:val="864"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前次交易价格</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QCJYJG</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投资关联方的股权、不动产或其他资产的前次资产交易价格。当关联交易业务类型为“资金运用类-股权、不动产类，利益转移类-出售资产、租赁资产”时，必填。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前次交易日期</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QCJYRQ</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填报机构与关联方之间出售资产、租赁资产的前次交易时间。当关联交易业务类型为“利益转移类-出售资产”时，必填。</w:t>
            </w:r>
          </w:p>
        </w:tc>
      </w:tr>
      <w:tr>
        <w:tblPrEx>
          <w:tblLayout w:type="fixed"/>
          <w:tblCellMar>
            <w:top w:w="0" w:type="dxa"/>
            <w:left w:w="0" w:type="dxa"/>
            <w:bottom w:w="0" w:type="dxa"/>
            <w:right w:w="0" w:type="dxa"/>
          </w:tblCellMar>
        </w:tblPrEx>
        <w:trPr>
          <w:trHeight w:val="1152"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投资方式</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TZFS</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005008</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当关联交易业务类型为“资金运用类-不动产”时，必填。资金运用类投资方式代码，填报中文描述。包括：</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直接投资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间接投资</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股权比例</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GQBL</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投资不动产类交易时的股权占比。百分数，保留小数点后4位。当关联交易业务类型为“资金运用类-不动产”时，必填。</w:t>
            </w:r>
          </w:p>
        </w:tc>
      </w:tr>
      <w:tr>
        <w:tblPrEx>
          <w:tblLayout w:type="fixed"/>
          <w:tblCellMar>
            <w:top w:w="0" w:type="dxa"/>
            <w:left w:w="0" w:type="dxa"/>
            <w:bottom w:w="0" w:type="dxa"/>
            <w:right w:w="0" w:type="dxa"/>
          </w:tblCellMar>
        </w:tblPrEx>
        <w:trPr>
          <w:trHeight w:val="864"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金融产品名称</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JRCPMC</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填报机构投资的关联方发行的金融产品或投资基础资产涉及关联方资产的金融产品。当关联交易业务类型为“资金运用类-金融产品”时，必填。</w:t>
            </w:r>
          </w:p>
        </w:tc>
      </w:tr>
      <w:tr>
        <w:tblPrEx>
          <w:tblLayout w:type="fixed"/>
          <w:tblCellMar>
            <w:top w:w="0" w:type="dxa"/>
            <w:left w:w="0" w:type="dxa"/>
            <w:bottom w:w="0" w:type="dxa"/>
            <w:right w:w="0" w:type="dxa"/>
          </w:tblCellMar>
        </w:tblPrEx>
        <w:trPr>
          <w:trHeight w:val="1152"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产品批准/注册/备案号</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CPPZZCBAH</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批准、注册或备案机构配发的核准编号。如产品报送时产品批准、注册或备案号尚未公布，则填写产品管理人的内部编号，待后续产品批准、注册或备案号公布后及时更新。当关联交易业务类型为“资金运用类-金融产品”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金融产品发行规模</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JRCPFXGM</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005007</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金融产品设立时的募集规模。当关联交易业务类型为“资金运用类-金融产品”时，必填。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投资金融产品份额占比</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TZJRCPFEZB</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投资金融产品份额占比。百分数，保留小数点后2位。当关联交易业务类型为“资金运用类-金融产品”时，必填。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底层资产涉及关联方标志</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DCZCSJGLFBZ</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底层资产是否涉及关联方。填报中文描述：是，否。当关联交易业务类型为“资金运用类-金融产品”时，必填。</w:t>
            </w:r>
          </w:p>
        </w:tc>
      </w:tr>
      <w:tr>
        <w:tblPrEx>
          <w:tblLayout w:type="fixed"/>
          <w:tblCellMar>
            <w:top w:w="0" w:type="dxa"/>
            <w:left w:w="0" w:type="dxa"/>
            <w:bottom w:w="0" w:type="dxa"/>
            <w:right w:w="0" w:type="dxa"/>
          </w:tblCellMar>
        </w:tblPrEx>
        <w:trPr>
          <w:trHeight w:val="1152"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底层基础资产涉及控股股东或控股股东的关联方标志</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DCJCZCSJKGGDHKGGDDGLFBZ</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底层基础资产是否涉及控股股东或控股股东的关联方。填报中文描述：是，否。当关联交易业务类型为“资金运用类-金融产品”时，必填。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底层资产具体描述</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DCZCJTMS</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简要描述底层资产的具体情况或投向。当关联交易业务类型为“资金运用类-金融产品”时，必填。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底层资产涉及的关联方名称</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DCZCSJDGLFMC</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底层资产如涉及关联方，需说明关联方名称。当关联交易业务类型为“资金运用类-金融产品”时，必填。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被投企业名称</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BTQYMC</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与关联方共同投资企业的企业名称。当关联交易业务类型为“资金运用类-与关联方共同投资”时，必填。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业务模式</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YWMS</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与关联方共同投资企业的业务模式简要描述。当关联交易业务类型为“资金运用类-与关联方共同投资”时，必填。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盈利预期</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YLYQ</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与关联方共同投资企业的盈利预期的简要描述。当关联交易业务类型为“资金运用类-与关联方共同投资”时，必填。</w:t>
            </w:r>
          </w:p>
        </w:tc>
      </w:tr>
      <w:tr>
        <w:tblPrEx>
          <w:tblLayout w:type="fixed"/>
          <w:tblCellMar>
            <w:top w:w="0" w:type="dxa"/>
            <w:left w:w="0" w:type="dxa"/>
            <w:bottom w:w="0" w:type="dxa"/>
            <w:right w:w="0" w:type="dxa"/>
          </w:tblCellMar>
        </w:tblPrEx>
        <w:trPr>
          <w:trHeight w:val="864"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投资比例</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TZBL</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001027</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与关联方共同投资时，填报机构的投资占比。当关联交易业务类型为“资金运用类-与关联方共同投资”时，必填。百分数，保留小数点后4位。</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投资收益分配情况</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TZSYFPQK</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与关联方共同投资时，与关联方投资收益的分配情况。当关联交易业务类型为“资金运用类-与关联方共同投资”时，必填。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损失分担情况</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SSFDQK</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与关联方共同投资时，与关联方损失分担情况。当关联交易业务类型为“资金运用类-与关联方共同投资”时，必填。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标的资产情况</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BDZCQK</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填报机构与关联方之间发生关联交易的标的或其资产情况。当关联交易业务类型为“利益转移类”时，必填。</w:t>
            </w:r>
          </w:p>
        </w:tc>
      </w:tr>
      <w:tr>
        <w:tblPrEx>
          <w:tblLayout w:type="fixed"/>
          <w:tblCellMar>
            <w:top w:w="0" w:type="dxa"/>
            <w:left w:w="0" w:type="dxa"/>
            <w:bottom w:w="0" w:type="dxa"/>
            <w:right w:w="0" w:type="dxa"/>
          </w:tblCellMar>
        </w:tblPrEx>
        <w:trPr>
          <w:trHeight w:val="1152"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标的情况</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BDQK</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填报机构与关联方之间权利转让、担保、债权转移、债务转移、签订许可协议等标的情况。当关联交易业务类型为“利益转移类-权利转让、担保、债权转移、债务转移、签订许可协议”时，必填。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担保条件</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DBTJ</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填报机构与关联方之间提供担保时的担保条件。当关联交易业务类型为“利益转移类-担保”时，必填。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控股子公司交易标志</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KGZGSJYBZ</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是否为控股子公司交易。填报中文描述：是，否。</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控股子公司全称</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KGZGSQC</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控股子公司的全称。当“控股子公司交易标志”为是时，必填。</w:t>
            </w:r>
          </w:p>
        </w:tc>
      </w:tr>
      <w:tr>
        <w:tblPrEx>
          <w:tblLayout w:type="fixed"/>
          <w:tblCellMar>
            <w:top w:w="0" w:type="dxa"/>
            <w:left w:w="0" w:type="dxa"/>
            <w:bottom w:w="0" w:type="dxa"/>
            <w:right w:w="0" w:type="dxa"/>
          </w:tblCellMar>
        </w:tblPrEx>
        <w:trPr>
          <w:trHeight w:val="576"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控股子公司证件号码</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KGZGSZJHM</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控股子公司的统一社会信用代码。</w:t>
            </w:r>
          </w:p>
        </w:tc>
      </w:tr>
      <w:tr>
        <w:tblPrEx>
          <w:tblLayout w:type="fixed"/>
          <w:tblCellMar>
            <w:top w:w="0" w:type="dxa"/>
            <w:left w:w="0" w:type="dxa"/>
            <w:bottom w:w="0" w:type="dxa"/>
            <w:right w:w="0" w:type="dxa"/>
          </w:tblCellMar>
        </w:tblPrEx>
        <w:trPr>
          <w:trHeight w:val="288"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其他说明事项</w:t>
            </w:r>
          </w:p>
        </w:tc>
        <w:tc>
          <w:tcPr>
            <w:tcW w:w="21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QTSMSX</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6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31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除上述关键信息以外，其他需说明的重要或特殊事项。</w:t>
            </w:r>
          </w:p>
        </w:tc>
      </w:tr>
    </w:tbl>
    <w:p>
      <w:pPr>
        <w:rPr>
          <w:rFonts w:hint="eastAsia"/>
          <w:lang w:eastAsia="zh-CN"/>
        </w:rPr>
      </w:pPr>
    </w:p>
    <w:p>
      <w:pPr>
        <w:pStyle w:val="6"/>
        <w:numPr>
          <w:ilvl w:val="0"/>
          <w:numId w:val="7"/>
        </w:numPr>
        <w:bidi w:val="0"/>
        <w:rPr>
          <w:rFonts w:hint="eastAsia"/>
          <w:lang w:eastAsia="zh-CN"/>
        </w:rPr>
      </w:pPr>
      <w:r>
        <w:rPr>
          <w:rFonts w:hint="eastAsia"/>
          <w:lang w:eastAsia="zh-CN"/>
        </w:rPr>
        <w:t>关联交易汇总表</w:t>
      </w:r>
    </w:p>
    <w:tbl>
      <w:tblPr>
        <w:tblStyle w:val="15"/>
        <w:tblW w:w="8330" w:type="dxa"/>
        <w:tblInd w:w="0" w:type="dxa"/>
        <w:shd w:val="clear" w:color="auto" w:fill="auto"/>
        <w:tblLayout w:type="fixed"/>
        <w:tblCellMar>
          <w:top w:w="0" w:type="dxa"/>
          <w:left w:w="0" w:type="dxa"/>
          <w:bottom w:w="0" w:type="dxa"/>
          <w:right w:w="0" w:type="dxa"/>
        </w:tblCellMar>
      </w:tblPr>
      <w:tblGrid>
        <w:gridCol w:w="1049"/>
        <w:gridCol w:w="1048"/>
        <w:gridCol w:w="1049"/>
        <w:gridCol w:w="716"/>
        <w:gridCol w:w="717"/>
        <w:gridCol w:w="3751"/>
      </w:tblGrid>
      <w:tr>
        <w:tblPrEx>
          <w:shd w:val="clear" w:color="auto" w:fill="auto"/>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表名</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表中文名</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表编号</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246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GLJYHZB</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关联交易汇总表</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0505</w:t>
            </w:r>
          </w:p>
        </w:tc>
        <w:tc>
          <w:tcPr>
            <w:tcW w:w="518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本表报送所有关联交易汇总信息。同一关联方有多种关联交易类型的，分别报送。 </w:t>
            </w:r>
          </w:p>
        </w:tc>
      </w:tr>
      <w:tr>
        <w:tblPrEx>
          <w:tblLayout w:type="fixed"/>
          <w:tblCellMar>
            <w:top w:w="0" w:type="dxa"/>
            <w:left w:w="0" w:type="dxa"/>
            <w:bottom w:w="0" w:type="dxa"/>
            <w:right w:w="0" w:type="dxa"/>
          </w:tblCellMar>
        </w:tblPrEx>
        <w:trPr>
          <w:trHeight w:val="31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数据项代码</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是否主键</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是否可空</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数据项说明</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LSH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864"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BXJGDM</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保险行业保险公司总保险机构代码，是银行保险监督管理机构分配的机构编号，对应《业务代码表》中的“保险机构代码”。</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BXJGMC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1152"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采集日期</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CJRQ</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指该期（批次）数据报送的期末日期，例如：按日采集的表，采集日期应为每日；按月采集的表，采集日期应为月末最后一天；以此类推。有特殊报送要求的，应以报送要求的截至日期为采集日期。</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关联方编号</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GLFBH</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公司内唯一识别该关联方的编号。关联数据项：关联方信息表-关联方编号。</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关联方名称</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GLFMC</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关联方的名称。隐私，自然人为隐私，保险公司变形，名称保留最后一个字或字母，其余汉字及单词丢弃。</w:t>
            </w:r>
          </w:p>
        </w:tc>
      </w:tr>
      <w:tr>
        <w:tblPrEx>
          <w:tblLayout w:type="fixed"/>
          <w:tblCellMar>
            <w:top w:w="0" w:type="dxa"/>
            <w:left w:w="0" w:type="dxa"/>
            <w:bottom w:w="0" w:type="dxa"/>
            <w:right w:w="0" w:type="dxa"/>
          </w:tblCellMar>
        </w:tblPrEx>
        <w:trPr>
          <w:trHeight w:val="576"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关联交易业务类型</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GLJYLX</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005002</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Y</w:t>
            </w: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对应《业务代码表》中的“关联交易业务类型代码”，填报中文描述。例如：投资入股类，资金运用类，利益转移类等。</w:t>
            </w:r>
          </w:p>
        </w:tc>
      </w:tr>
      <w:tr>
        <w:tblPrEx>
          <w:tblLayout w:type="fixed"/>
          <w:tblCellMar>
            <w:top w:w="0" w:type="dxa"/>
            <w:left w:w="0" w:type="dxa"/>
            <w:bottom w:w="0" w:type="dxa"/>
            <w:right w:w="0" w:type="dxa"/>
          </w:tblCellMar>
        </w:tblPrEx>
        <w:trPr>
          <w:trHeight w:val="288"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关联交易金额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GLJYJE</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005007</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N</w:t>
            </w:r>
          </w:p>
        </w:tc>
        <w:tc>
          <w:tcPr>
            <w:tcW w:w="37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本月与该关联方关联交易累计金额，单位：万元（人民币）。</w:t>
            </w:r>
          </w:p>
        </w:tc>
      </w:tr>
    </w:tbl>
    <w:p>
      <w:pPr>
        <w:rPr>
          <w:rFonts w:hint="default"/>
          <w:lang w:val="en-US" w:eastAsia="zh-CN"/>
        </w:rPr>
      </w:pPr>
    </w:p>
    <w:p>
      <w:pPr>
        <w:pStyle w:val="2"/>
        <w:bidi w:val="0"/>
        <w:rPr>
          <w:rFonts w:hint="default"/>
          <w:lang w:val="en-US" w:eastAsia="zh-CN"/>
        </w:rPr>
      </w:pPr>
      <w:bookmarkStart w:id="57" w:name="_Toc8003"/>
      <w:bookmarkStart w:id="58" w:name="_Toc9333"/>
      <w:bookmarkStart w:id="59" w:name="_Toc17239"/>
      <w:bookmarkStart w:id="60" w:name="_Toc10789"/>
      <w:r>
        <w:rPr>
          <w:rFonts w:hint="default"/>
          <w:lang w:val="en-US" w:eastAsia="zh-CN"/>
        </w:rPr>
        <w:t>二、数据元</w:t>
      </w:r>
      <w:bookmarkEnd w:id="57"/>
      <w:bookmarkEnd w:id="58"/>
      <w:bookmarkEnd w:id="59"/>
      <w:bookmarkEnd w:id="60"/>
    </w:p>
    <w:p>
      <w:pPr>
        <w:pStyle w:val="3"/>
        <w:bidi w:val="0"/>
        <w:rPr>
          <w:rFonts w:hint="default"/>
          <w:lang w:val="en-US" w:eastAsia="zh-CN"/>
        </w:rPr>
      </w:pPr>
      <w:bookmarkStart w:id="61" w:name="_Toc19105"/>
      <w:bookmarkStart w:id="62" w:name="_Toc12019"/>
      <w:bookmarkStart w:id="63" w:name="_Toc16235"/>
      <w:bookmarkStart w:id="64" w:name="_Toc16834"/>
      <w:r>
        <w:rPr>
          <w:rFonts w:hint="default"/>
          <w:lang w:val="en-US" w:eastAsia="zh-CN"/>
        </w:rPr>
        <w:t>（一）数据元描述规则</w:t>
      </w:r>
      <w:bookmarkEnd w:id="61"/>
      <w:bookmarkEnd w:id="62"/>
      <w:bookmarkEnd w:id="63"/>
      <w:bookmarkEnd w:id="64"/>
    </w:p>
    <w:p>
      <w:pPr>
        <w:pStyle w:val="17"/>
        <w:bidi w:val="0"/>
        <w:rPr>
          <w:rFonts w:hint="default"/>
          <w:lang w:val="en-US" w:eastAsia="zh-CN"/>
        </w:rPr>
      </w:pPr>
      <w:r>
        <w:rPr>
          <w:rFonts w:hint="default"/>
          <w:lang w:val="en-US" w:eastAsia="zh-CN"/>
        </w:rPr>
        <w:t>数据元的描述格式如下：</w:t>
      </w:r>
    </w:p>
    <w:p>
      <w:pPr>
        <w:pStyle w:val="17"/>
        <w:bidi w:val="0"/>
        <w:rPr>
          <w:rFonts w:hint="default"/>
          <w:lang w:val="en-US" w:eastAsia="zh-CN"/>
        </w:rPr>
      </w:pPr>
      <w:r>
        <w:rPr>
          <w:rFonts w:hint="default"/>
          <w:lang w:val="en-US" w:eastAsia="zh-CN"/>
        </w:rPr>
        <w:t>1.分类：数据元所在类目组。</w:t>
      </w:r>
    </w:p>
    <w:p>
      <w:pPr>
        <w:pStyle w:val="17"/>
        <w:bidi w:val="0"/>
        <w:rPr>
          <w:rFonts w:hint="default"/>
          <w:lang w:val="en-US" w:eastAsia="zh-CN"/>
        </w:rPr>
      </w:pPr>
      <w:r>
        <w:rPr>
          <w:rFonts w:hint="default"/>
          <w:lang w:val="en-US" w:eastAsia="zh-CN"/>
        </w:rPr>
        <w:t>2.编码：该数据项所对应的数据元在数据元目录中的唯一标识符，采用六位数字来标记；其中第1-3位表示为元素类别号，第4-6位为数据表中经过元素标准化合并后的顺序号，如果某表中出现了之前已经编号的元素则不重复编号。本部分中，第1-3位的表示按如下分类：</w:t>
      </w:r>
    </w:p>
    <w:p>
      <w:pPr>
        <w:pStyle w:val="17"/>
        <w:bidi w:val="0"/>
        <w:rPr>
          <w:rFonts w:hint="default"/>
          <w:lang w:val="en-US" w:eastAsia="zh-CN"/>
        </w:rPr>
      </w:pPr>
      <w:r>
        <w:rPr>
          <w:rFonts w:hint="default"/>
          <w:lang w:val="en-US" w:eastAsia="zh-CN"/>
        </w:rPr>
        <w:t>--001 公共信息类</w:t>
      </w:r>
    </w:p>
    <w:p>
      <w:pPr>
        <w:pStyle w:val="17"/>
        <w:bidi w:val="0"/>
        <w:rPr>
          <w:rFonts w:hint="default"/>
          <w:lang w:val="en-US" w:eastAsia="zh-CN"/>
        </w:rPr>
      </w:pPr>
      <w:r>
        <w:rPr>
          <w:rFonts w:hint="default"/>
          <w:lang w:val="en-US" w:eastAsia="zh-CN"/>
        </w:rPr>
        <w:t xml:space="preserve">--002 </w:t>
      </w:r>
      <w:r>
        <w:rPr>
          <w:rFonts w:hint="eastAsia"/>
          <w:lang w:val="en-US" w:eastAsia="zh-CN"/>
        </w:rPr>
        <w:t>财务</w:t>
      </w:r>
      <w:r>
        <w:rPr>
          <w:rFonts w:hint="default"/>
          <w:lang w:val="en-US" w:eastAsia="zh-CN"/>
        </w:rPr>
        <w:t>信息类</w:t>
      </w:r>
    </w:p>
    <w:p>
      <w:pPr>
        <w:pStyle w:val="17"/>
        <w:bidi w:val="0"/>
        <w:rPr>
          <w:rFonts w:hint="default"/>
          <w:lang w:val="en-US" w:eastAsia="zh-CN"/>
        </w:rPr>
      </w:pPr>
      <w:r>
        <w:rPr>
          <w:rFonts w:hint="default"/>
          <w:lang w:val="en-US" w:eastAsia="zh-CN"/>
        </w:rPr>
        <w:t xml:space="preserve">--003 </w:t>
      </w:r>
      <w:r>
        <w:rPr>
          <w:rFonts w:hint="eastAsia"/>
          <w:lang w:val="en-US" w:eastAsia="zh-CN"/>
        </w:rPr>
        <w:t>再保业务信息</w:t>
      </w:r>
      <w:r>
        <w:rPr>
          <w:rFonts w:hint="default"/>
          <w:lang w:val="en-US" w:eastAsia="zh-CN"/>
        </w:rPr>
        <w:t>类</w:t>
      </w:r>
      <w:r>
        <w:rPr>
          <w:rFonts w:hint="default"/>
          <w:lang w:val="en-US" w:eastAsia="zh-CN"/>
        </w:rPr>
        <w:tab/>
      </w:r>
    </w:p>
    <w:p>
      <w:pPr>
        <w:pStyle w:val="17"/>
        <w:bidi w:val="0"/>
        <w:rPr>
          <w:rFonts w:hint="default"/>
          <w:lang w:val="en-US" w:eastAsia="zh-CN"/>
        </w:rPr>
      </w:pPr>
      <w:r>
        <w:rPr>
          <w:rFonts w:hint="default"/>
          <w:lang w:val="en-US" w:eastAsia="zh-CN"/>
        </w:rPr>
        <w:t xml:space="preserve">--004 </w:t>
      </w:r>
      <w:r>
        <w:rPr>
          <w:rFonts w:hint="eastAsia"/>
          <w:lang w:val="en-US" w:eastAsia="zh-CN"/>
        </w:rPr>
        <w:t>投资业务信息类</w:t>
      </w:r>
    </w:p>
    <w:p>
      <w:pPr>
        <w:pStyle w:val="17"/>
        <w:bidi w:val="0"/>
        <w:rPr>
          <w:rFonts w:hint="default"/>
          <w:lang w:val="en-US" w:eastAsia="zh-CN"/>
        </w:rPr>
      </w:pPr>
      <w:r>
        <w:rPr>
          <w:rFonts w:hint="default"/>
          <w:lang w:val="en-US" w:eastAsia="zh-CN"/>
        </w:rPr>
        <w:t xml:space="preserve">--005 </w:t>
      </w:r>
      <w:r>
        <w:rPr>
          <w:rFonts w:hint="eastAsia"/>
          <w:lang w:val="en-US" w:eastAsia="zh-CN"/>
        </w:rPr>
        <w:t>关联交易信息类</w:t>
      </w:r>
    </w:p>
    <w:p>
      <w:pPr>
        <w:pStyle w:val="17"/>
        <w:bidi w:val="0"/>
        <w:rPr>
          <w:rFonts w:hint="default"/>
          <w:lang w:val="en-US" w:eastAsia="zh-CN"/>
        </w:rPr>
      </w:pPr>
      <w:r>
        <w:rPr>
          <w:rFonts w:hint="default"/>
          <w:lang w:val="en-US" w:eastAsia="zh-CN"/>
        </w:rPr>
        <w:t>3.名称：数据元的中文名称，应按照国家标准GB/T 18391.5 -2001中规定的数据元命名原则进行命名。</w:t>
      </w:r>
    </w:p>
    <w:p>
      <w:pPr>
        <w:pStyle w:val="17"/>
        <w:bidi w:val="0"/>
        <w:rPr>
          <w:rFonts w:hint="default"/>
          <w:lang w:val="en-US" w:eastAsia="zh-CN"/>
        </w:rPr>
      </w:pPr>
      <w:r>
        <w:rPr>
          <w:rFonts w:hint="default"/>
          <w:lang w:val="en-US" w:eastAsia="zh-CN"/>
        </w:rPr>
        <w:t>4.说明：数据元的含义描述。</w:t>
      </w:r>
    </w:p>
    <w:p>
      <w:pPr>
        <w:pStyle w:val="17"/>
        <w:bidi w:val="0"/>
        <w:rPr>
          <w:rFonts w:hint="default"/>
          <w:lang w:val="en-US" w:eastAsia="zh-CN"/>
        </w:rPr>
      </w:pPr>
      <w:r>
        <w:rPr>
          <w:rFonts w:hint="default"/>
          <w:lang w:val="en-US" w:eastAsia="zh-CN"/>
        </w:rPr>
        <w:t>5.格式：数据元值的类型及长度的表示形式，按照GB/T 18142-2000的要求进行规定。</w:t>
      </w:r>
    </w:p>
    <w:p>
      <w:pPr>
        <w:pStyle w:val="3"/>
        <w:bidi w:val="0"/>
        <w:rPr>
          <w:rFonts w:hint="default"/>
          <w:lang w:val="en-US" w:eastAsia="zh-CN"/>
        </w:rPr>
      </w:pPr>
      <w:bookmarkStart w:id="65" w:name="_Toc13305"/>
      <w:bookmarkStart w:id="66" w:name="_Toc13930"/>
      <w:bookmarkStart w:id="67" w:name="_Toc13078"/>
      <w:bookmarkStart w:id="68" w:name="_Toc26108"/>
      <w:r>
        <w:rPr>
          <w:rFonts w:hint="default"/>
          <w:lang w:val="en-US" w:eastAsia="zh-CN"/>
        </w:rPr>
        <w:t>（二）数据元细目</w:t>
      </w:r>
      <w:bookmarkEnd w:id="65"/>
      <w:bookmarkEnd w:id="66"/>
      <w:bookmarkEnd w:id="67"/>
      <w:bookmarkEnd w:id="68"/>
    </w:p>
    <w:p>
      <w:pPr>
        <w:pStyle w:val="4"/>
        <w:keepNext/>
        <w:keepLines/>
        <w:pageBreakBefore w:val="0"/>
        <w:widowControl w:val="0"/>
        <w:numPr>
          <w:ilvl w:val="0"/>
          <w:numId w:val="0"/>
        </w:numPr>
        <w:tabs>
          <w:tab w:val="clear" w:pos="425"/>
        </w:tabs>
        <w:kinsoku/>
        <w:wordWrap/>
        <w:overflowPunct/>
        <w:topLinePunct w:val="0"/>
        <w:autoSpaceDE/>
        <w:autoSpaceDN/>
        <w:bidi w:val="0"/>
        <w:adjustRightInd/>
        <w:snapToGrid/>
        <w:spacing w:before="0" w:beforeLines="0" w:after="0" w:afterLines="0" w:line="240" w:lineRule="auto"/>
        <w:ind w:right="0" w:rightChars="0" w:firstLine="602" w:firstLineChars="200"/>
        <w:jc w:val="both"/>
        <w:textAlignment w:val="auto"/>
        <w:outlineLvl w:val="2"/>
        <w:rPr>
          <w:rFonts w:hint="default"/>
          <w:szCs w:val="22"/>
          <w:lang w:val="en-US" w:eastAsia="zh-CN"/>
        </w:rPr>
      </w:pPr>
      <w:bookmarkStart w:id="69" w:name="_Toc10117"/>
      <w:bookmarkStart w:id="70" w:name="_Toc28829"/>
      <w:bookmarkStart w:id="71" w:name="_Toc20494"/>
      <w:bookmarkStart w:id="72" w:name="_Toc12045"/>
      <w:r>
        <w:rPr>
          <w:rFonts w:hint="eastAsia"/>
          <w:szCs w:val="22"/>
          <w:lang w:val="en-US" w:eastAsia="zh-CN"/>
        </w:rPr>
        <w:t>1.公共信息类</w:t>
      </w:r>
      <w:bookmarkEnd w:id="69"/>
      <w:bookmarkEnd w:id="70"/>
      <w:bookmarkEnd w:id="71"/>
      <w:bookmarkEnd w:id="72"/>
    </w:p>
    <w:tbl>
      <w:tblPr>
        <w:tblStyle w:val="15"/>
        <w:tblW w:w="8330" w:type="dxa"/>
        <w:tblInd w:w="0" w:type="dxa"/>
        <w:shd w:val="clear" w:color="auto" w:fill="auto"/>
        <w:tblLayout w:type="fixed"/>
        <w:tblCellMar>
          <w:top w:w="0" w:type="dxa"/>
          <w:left w:w="0" w:type="dxa"/>
          <w:bottom w:w="0" w:type="dxa"/>
          <w:right w:w="0" w:type="dxa"/>
        </w:tblCellMar>
      </w:tblPr>
      <w:tblGrid>
        <w:gridCol w:w="1080"/>
        <w:gridCol w:w="1081"/>
        <w:gridCol w:w="2727"/>
        <w:gridCol w:w="2571"/>
        <w:gridCol w:w="871"/>
      </w:tblGrid>
      <w:tr>
        <w:tblPrEx>
          <w:shd w:val="clear" w:color="auto" w:fill="auto"/>
          <w:tblLayout w:type="fixed"/>
          <w:tblCellMar>
            <w:top w:w="0" w:type="dxa"/>
            <w:left w:w="0" w:type="dxa"/>
            <w:bottom w:w="0" w:type="dxa"/>
            <w:right w:w="0" w:type="dxa"/>
          </w:tblCellMar>
        </w:tblPrEx>
        <w:trPr>
          <w:trHeight w:val="31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数据元说明</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取值范围</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数据格式</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001001</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日期</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年月日，格式YYYYMMDD。</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001002</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年月类型</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年月类型，YYYYMM。</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001003</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数量</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人数、份数、重量等可量化数据。</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D18.2</w:t>
            </w:r>
          </w:p>
        </w:tc>
      </w:tr>
      <w:tr>
        <w:tblPrEx>
          <w:tblLayout w:type="fixed"/>
          <w:tblCellMar>
            <w:top w:w="0" w:type="dxa"/>
            <w:left w:w="0" w:type="dxa"/>
            <w:bottom w:w="0" w:type="dxa"/>
            <w:right w:w="0" w:type="dxa"/>
          </w:tblCellMar>
        </w:tblPrEx>
        <w:trPr>
          <w:trHeight w:val="86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001004</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比例/比率/利率/费率/汇率（六位）</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精度保留到小数点后六位，如0.0001%应填0.000001。</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D22.6</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001005</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金额</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默认人民币，单位元。在指定货币代码时，为相应的币种数额。</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D18.2</w:t>
            </w:r>
          </w:p>
        </w:tc>
      </w:tr>
      <w:tr>
        <w:tblPrEx>
          <w:tblLayout w:type="fixed"/>
          <w:tblCellMar>
            <w:top w:w="0" w:type="dxa"/>
            <w:left w:w="0" w:type="dxa"/>
            <w:bottom w:w="0" w:type="dxa"/>
            <w:right w:w="0"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001006</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币种代码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货币和资金的币种代码。例如：人民币、英镑等。</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引用《业务代码表》“币种代码”，编号CD000005</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C3</w:t>
            </w:r>
          </w:p>
        </w:tc>
      </w:tr>
      <w:tr>
        <w:tblPrEx>
          <w:tblLayout w:type="fixed"/>
          <w:tblCellMar>
            <w:top w:w="0" w:type="dxa"/>
            <w:left w:w="0" w:type="dxa"/>
            <w:bottom w:w="0" w:type="dxa"/>
            <w:right w:w="0"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001007</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国别代码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事物所属国家的名称。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引用《业务代码表》“国别代码”，编号CD000007</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C..100</w:t>
            </w:r>
          </w:p>
        </w:tc>
      </w:tr>
      <w:tr>
        <w:tblPrEx>
          <w:tblLayout w:type="fixed"/>
          <w:tblCellMar>
            <w:top w:w="0" w:type="dxa"/>
            <w:left w:w="0" w:type="dxa"/>
            <w:bottom w:w="0" w:type="dxa"/>
            <w:right w:w="0" w:type="dxa"/>
          </w:tblCellMar>
        </w:tblPrEx>
        <w:trPr>
          <w:trHeight w:val="172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001008</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地区代码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所在省、市/地区、县的名称。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引用《业务代码表》“县及县以上行政区划代码”，编号CD000012</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C..100</w:t>
            </w:r>
          </w:p>
        </w:tc>
      </w:tr>
      <w:tr>
        <w:tblPrEx>
          <w:tblLayout w:type="fixed"/>
          <w:tblCellMar>
            <w:top w:w="0" w:type="dxa"/>
            <w:left w:w="0" w:type="dxa"/>
            <w:bottom w:w="0" w:type="dxa"/>
            <w:right w:w="0" w:type="dxa"/>
          </w:tblCellMar>
        </w:tblPrEx>
        <w:trPr>
          <w:trHeight w:val="86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001009</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地址</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详细地址信息，应包括具体的村镇、街道名称及门牌号码等。如果已有配套地区代码，可省略省、市、区县信息。</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001010</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序号</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顺序号。</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001011</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标识号</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记录相关事件、单据、参与方或实物的唯一标识。</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001012</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描述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用于说明相关事件、状况的具体内容。</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C..4000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001013</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是否标志</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是否标志。</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枚举值为“是；否”。</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C..10</w:t>
            </w:r>
          </w:p>
        </w:tc>
      </w:tr>
      <w:tr>
        <w:tblPrEx>
          <w:tblLayout w:type="fixed"/>
          <w:tblCellMar>
            <w:top w:w="0" w:type="dxa"/>
            <w:left w:w="0" w:type="dxa"/>
            <w:bottom w:w="0" w:type="dxa"/>
            <w:right w:w="0" w:type="dxa"/>
          </w:tblCellMar>
        </w:tblPrEx>
        <w:trPr>
          <w:trHeight w:val="201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001014</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电话号码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固定及移动通讯电话号码。固定电话号码应由“国际长途区号+国内长途区号+电话号码”组成，国内电话可省略国际长途区号。移动通讯设备的号码，一般为手机号码，应由“国家代码”+“电话号码”组成，国内手机号可省略国家代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C..30</w:t>
            </w:r>
          </w:p>
        </w:tc>
      </w:tr>
      <w:tr>
        <w:tblPrEx>
          <w:tblLayout w:type="fixed"/>
          <w:tblCellMar>
            <w:top w:w="0" w:type="dxa"/>
            <w:left w:w="0" w:type="dxa"/>
            <w:bottom w:w="0" w:type="dxa"/>
            <w:right w:w="0" w:type="dxa"/>
          </w:tblCellMar>
        </w:tblPrEx>
        <w:trPr>
          <w:trHeight w:val="201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001015</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 股东持股类型</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根据持股比例、资质条件和对保险公司经营管理的影响，根据《保险公司股权管理办法》（保监会令〔2018〕5号 ）保险公司股东分为以下四类： 0财务Ⅰ类股东，0财务Ⅱ类股东 ，0战略类股东 ，04-控制类股东。</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枚举值为“财务Ⅰ类股东；财务Ⅱ类股东 ；战略类股东 ；控制类股东”</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316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001016</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股东类型</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按照股东自然人或机构属性。</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枚举值为“自然人；机构股东；境内企业法人；境内有限合伙企业；境内事业单位、社会团体；境外金融机构；其他”</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001017</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经营状态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分支机构当前状态。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引用《业务代码表》“经营状态代码”，编号CD000013</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86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001018</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机构层级</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分支机构的层级。</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枚举值为“总公司；分公司”。</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001019</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政治面貌</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保险公司人力资源系统存储的员工的政治面貌的文本描述。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引用《业务代码表》“政治面貌代码”，编号CD000014</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201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001020</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专业技术资格</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员工专业技术资格等级。</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枚举值为“高级技术资格人员；中级技术资格人员；初级技术资格人员；其他”</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172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001021</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机构证件类型</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非自然人证件类型描述。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引用《业务代码表》“机构证件类型代码”，编号CD000004</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115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001022</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董监高标志</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表示是否属于银保监会监管的董事、监事、高管范围。</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枚举值为“员工；董事；监事；高管”</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001023</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处罚种类</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处罚种类代码。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枚举值为“罚款；警告；撤销任职资格；其他”</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001024</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银行账户所属的银行名称。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C..100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001025</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银行账号</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个人或单位在银行所开账户的账号，如银行卡卡号或存折账号等。</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001026</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个人或单位在银行所开账户的名称。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C..100</w:t>
            </w:r>
          </w:p>
        </w:tc>
      </w:tr>
      <w:tr>
        <w:tblPrEx>
          <w:tblLayout w:type="fixed"/>
          <w:tblCellMar>
            <w:top w:w="0" w:type="dxa"/>
            <w:left w:w="0" w:type="dxa"/>
            <w:bottom w:w="0" w:type="dxa"/>
            <w:right w:w="0" w:type="dxa"/>
          </w:tblCellMar>
        </w:tblPrEx>
        <w:trPr>
          <w:trHeight w:val="86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001027</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比例/比率/利率/费率/汇率（四位）</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精度保留到小数点后4位，如0.01%应填0.0001。</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D20.4</w:t>
            </w:r>
          </w:p>
        </w:tc>
      </w:tr>
      <w:tr>
        <w:tblPrEx>
          <w:tblLayout w:type="fixed"/>
          <w:tblCellMar>
            <w:top w:w="0" w:type="dxa"/>
            <w:left w:w="0" w:type="dxa"/>
            <w:bottom w:w="0" w:type="dxa"/>
            <w:right w:w="0" w:type="dxa"/>
          </w:tblCellMar>
        </w:tblPrEx>
        <w:trPr>
          <w:trHeight w:val="86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001028</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统一社会信用代码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企业的统一社会信用代码，是一组长度为18位的用于法人和其他组织身份识别的代码。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C..30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001029</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执业许可证号</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机构获得执业许可的号码。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C..30</w:t>
            </w:r>
          </w:p>
        </w:tc>
      </w:tr>
      <w:tr>
        <w:tblPrEx>
          <w:tblLayout w:type="fixed"/>
          <w:tblCellMar>
            <w:top w:w="0" w:type="dxa"/>
            <w:left w:w="0" w:type="dxa"/>
            <w:bottom w:w="0" w:type="dxa"/>
            <w:right w:w="0"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001030</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保险机构编码是由银行保险监督管理机构分配的机构编号。</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引用《业务代码表》“保险机构代码”，编号CD000001</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C15</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001031</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用以识别某一个体或群体(人或事物)的专属名词。</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C..200</w:t>
            </w:r>
          </w:p>
        </w:tc>
      </w:tr>
      <w:tr>
        <w:tblPrEx>
          <w:tblLayout w:type="fixed"/>
          <w:tblCellMar>
            <w:top w:w="0" w:type="dxa"/>
            <w:left w:w="0" w:type="dxa"/>
            <w:bottom w:w="0" w:type="dxa"/>
            <w:right w:w="0"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001032</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流水号</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报送数据时系统自动生成的编号。保险机构代码+日期（YYYYMMDD）+10位流水，流水号是每天的流水号，每天都是从‘0000000001’开始。其中日期为上报数据时当前的系统日期。</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C24</w:t>
            </w:r>
          </w:p>
        </w:tc>
      </w:tr>
      <w:tr>
        <w:tblPrEx>
          <w:tblLayout w:type="fixed"/>
          <w:tblCellMar>
            <w:top w:w="0" w:type="dxa"/>
            <w:left w:w="0" w:type="dxa"/>
            <w:bottom w:w="0" w:type="dxa"/>
            <w:right w:w="0" w:type="dxa"/>
          </w:tblCellMar>
        </w:tblPrEx>
        <w:trPr>
          <w:trHeight w:val="172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001033</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证件类型代码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个人证件类型的名称。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引用《业务代码表》“个人身份证件类型代码”，编号CD000003</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001034</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证件号码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证件的号码。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172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001035</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全球法人识别编码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LEI是按照国际标准化组织ISO 17442标准为全球法人分配的唯一识别编码，LEI编码是由20位数字和字母组成的唯一编码。我国LEI编码包括前缀码部分、预留位部分、机构特定部分和校验位四部分。</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172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001036</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国民经济行业分类代码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按企业、事业单位、机关团体和个体从业人员所从事的生产经营活动或其他社会经济活动的性质进行行业分类描述。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引用《业务代码表》“国民经济行业分类代码”，编号CD000011</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C..100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001037</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姓名</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应与个人有效证件上的姓名保持一致。</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C..500</w:t>
            </w:r>
          </w:p>
        </w:tc>
      </w:tr>
      <w:tr>
        <w:tblPrEx>
          <w:tblLayout w:type="fixed"/>
          <w:tblCellMar>
            <w:top w:w="0" w:type="dxa"/>
            <w:left w:w="0" w:type="dxa"/>
            <w:bottom w:w="0" w:type="dxa"/>
            <w:right w:w="0" w:type="dxa"/>
          </w:tblCellMar>
        </w:tblPrEx>
        <w:trPr>
          <w:trHeight w:val="172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001038</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性别代码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描述人的基本生理特征的描述。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枚举值为“未知的性别；男性；女性；未说明的性别”。</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001039</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民族代码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个人所属民族的描述。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引用《业务代码表》“民族代码”，编号CD000002</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C..30</w:t>
            </w:r>
          </w:p>
        </w:tc>
      </w:tr>
      <w:tr>
        <w:tblPrEx>
          <w:tblLayout w:type="fixed"/>
          <w:tblCellMar>
            <w:top w:w="0" w:type="dxa"/>
            <w:left w:w="0" w:type="dxa"/>
            <w:bottom w:w="0" w:type="dxa"/>
            <w:right w:w="0"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001040</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学历代码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最高学历对应的名称。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引用《业务代码表》“学历代码”，编号CD000015</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115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001041</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客户分类代码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客户所属的类型代码。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枚举值为“自然人；法人或其他组织”</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172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001042</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内部问责种类代码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员工内部问责种类，填报中文描述。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枚举值为"降职；解聘；党纪处分；罚款；通报批评；其他”</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C..30</w:t>
            </w:r>
          </w:p>
        </w:tc>
      </w:tr>
    </w:tbl>
    <w:p>
      <w:pPr>
        <w:rPr>
          <w:rFonts w:hint="default"/>
          <w:lang w:val="en-US" w:eastAsia="zh-CN"/>
        </w:rPr>
      </w:pPr>
    </w:p>
    <w:p>
      <w:pPr>
        <w:pStyle w:val="4"/>
        <w:keepNext/>
        <w:keepLines/>
        <w:pageBreakBefore w:val="0"/>
        <w:widowControl w:val="0"/>
        <w:numPr>
          <w:ilvl w:val="0"/>
          <w:numId w:val="0"/>
        </w:numPr>
        <w:tabs>
          <w:tab w:val="clear" w:pos="425"/>
        </w:tabs>
        <w:kinsoku/>
        <w:wordWrap/>
        <w:overflowPunct/>
        <w:topLinePunct w:val="0"/>
        <w:autoSpaceDE/>
        <w:autoSpaceDN/>
        <w:bidi w:val="0"/>
        <w:adjustRightInd/>
        <w:snapToGrid/>
        <w:spacing w:before="0" w:beforeLines="0" w:after="0" w:afterLines="0" w:line="240" w:lineRule="auto"/>
        <w:ind w:right="0" w:rightChars="0" w:firstLine="602" w:firstLineChars="200"/>
        <w:jc w:val="both"/>
        <w:textAlignment w:val="auto"/>
        <w:outlineLvl w:val="2"/>
        <w:rPr>
          <w:rFonts w:hint="eastAsia"/>
          <w:szCs w:val="22"/>
          <w:lang w:val="en-US" w:eastAsia="zh-CN"/>
        </w:rPr>
      </w:pPr>
      <w:bookmarkStart w:id="73" w:name="_Toc10324"/>
      <w:bookmarkStart w:id="74" w:name="_Toc16364"/>
      <w:bookmarkStart w:id="75" w:name="_Toc16942"/>
      <w:bookmarkStart w:id="76" w:name="_Toc3538"/>
      <w:r>
        <w:rPr>
          <w:rFonts w:hint="eastAsia"/>
          <w:szCs w:val="22"/>
          <w:lang w:val="en-US" w:eastAsia="zh-CN"/>
        </w:rPr>
        <w:t>2.会计记账信息类</w:t>
      </w:r>
      <w:bookmarkEnd w:id="73"/>
      <w:bookmarkEnd w:id="74"/>
      <w:bookmarkEnd w:id="75"/>
      <w:bookmarkEnd w:id="76"/>
    </w:p>
    <w:tbl>
      <w:tblPr>
        <w:tblStyle w:val="15"/>
        <w:tblW w:w="8330" w:type="dxa"/>
        <w:tblInd w:w="0" w:type="dxa"/>
        <w:shd w:val="clear" w:color="auto" w:fill="auto"/>
        <w:tblLayout w:type="fixed"/>
        <w:tblCellMar>
          <w:top w:w="0" w:type="dxa"/>
          <w:left w:w="0" w:type="dxa"/>
          <w:bottom w:w="0" w:type="dxa"/>
          <w:right w:w="0" w:type="dxa"/>
        </w:tblCellMar>
      </w:tblPr>
      <w:tblGrid>
        <w:gridCol w:w="1080"/>
        <w:gridCol w:w="1081"/>
        <w:gridCol w:w="2727"/>
        <w:gridCol w:w="2571"/>
        <w:gridCol w:w="871"/>
      </w:tblGrid>
      <w:tr>
        <w:tblPrEx>
          <w:tblLayout w:type="fixed"/>
          <w:tblCellMar>
            <w:top w:w="0" w:type="dxa"/>
            <w:left w:w="0" w:type="dxa"/>
            <w:bottom w:w="0" w:type="dxa"/>
            <w:right w:w="0" w:type="dxa"/>
          </w:tblCellMar>
        </w:tblPrEx>
        <w:trPr>
          <w:trHeight w:val="31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数据元说明</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取值范围</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数据格式</w:t>
            </w:r>
          </w:p>
        </w:tc>
      </w:tr>
      <w:tr>
        <w:tblPrEx>
          <w:tblLayout w:type="fixed"/>
          <w:tblCellMar>
            <w:top w:w="0" w:type="dxa"/>
            <w:left w:w="0" w:type="dxa"/>
            <w:bottom w:w="0" w:type="dxa"/>
            <w:right w:w="0" w:type="dxa"/>
          </w:tblCellMar>
        </w:tblPrEx>
        <w:trPr>
          <w:trHeight w:val="86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002001</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会计科目级次代码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总账会计科目在科目结构中所对应的级次。</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枚举值为“1-一级科目；2-二级科目；3-三级科目；4-四级科目；5-五级科目；6-六级科目”</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I..2</w:t>
            </w:r>
          </w:p>
        </w:tc>
      </w:tr>
      <w:tr>
        <w:tblPrEx>
          <w:tblLayout w:type="fixed"/>
          <w:tblCellMar>
            <w:top w:w="0" w:type="dxa"/>
            <w:left w:w="0" w:type="dxa"/>
            <w:bottom w:w="0" w:type="dxa"/>
            <w:right w:w="0" w:type="dxa"/>
          </w:tblCellMar>
        </w:tblPrEx>
        <w:trPr>
          <w:trHeight w:val="86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002002</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会计科目类型</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总账会计科目分类。</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枚举值为“1-资产；2-负债；3-所有者权益；4-损益；5-资产负债共同类；6-表外；7-其他“</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002003</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报送周期</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财务报表报送周期，可分为日、月、季、年。</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枚举值为”1-日报；2-月报；3-季报；4-半年报；5-年报  “</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002004</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银行账户类型代码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保险公司银行账户的类型。</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引用《业务代码表》“银行账户类型代码”，编号CD000008</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002005</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银行账户状态代码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保险公司银行账户的目前状态。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枚举值为“未启用；正常；冻结；注销；作废；挂失；其他”</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bl>
    <w:p>
      <w:pPr>
        <w:rPr>
          <w:rFonts w:hint="eastAsia"/>
          <w:lang w:val="en-US" w:eastAsia="zh-CN"/>
        </w:rPr>
      </w:pPr>
    </w:p>
    <w:p>
      <w:pPr>
        <w:pStyle w:val="4"/>
        <w:keepNext/>
        <w:keepLines/>
        <w:pageBreakBefore w:val="0"/>
        <w:widowControl w:val="0"/>
        <w:numPr>
          <w:ilvl w:val="0"/>
          <w:numId w:val="0"/>
        </w:numPr>
        <w:tabs>
          <w:tab w:val="clear" w:pos="425"/>
        </w:tabs>
        <w:kinsoku/>
        <w:wordWrap/>
        <w:overflowPunct/>
        <w:topLinePunct w:val="0"/>
        <w:autoSpaceDE/>
        <w:autoSpaceDN/>
        <w:bidi w:val="0"/>
        <w:adjustRightInd/>
        <w:snapToGrid/>
        <w:spacing w:before="0" w:beforeLines="0" w:after="0" w:afterLines="0" w:line="240" w:lineRule="auto"/>
        <w:ind w:right="0" w:rightChars="0" w:firstLine="602" w:firstLineChars="200"/>
        <w:jc w:val="both"/>
        <w:textAlignment w:val="auto"/>
        <w:outlineLvl w:val="2"/>
        <w:rPr>
          <w:rFonts w:hint="eastAsia"/>
          <w:szCs w:val="22"/>
          <w:lang w:val="en-US" w:eastAsia="zh-CN"/>
        </w:rPr>
      </w:pPr>
      <w:bookmarkStart w:id="77" w:name="_Toc29191"/>
      <w:bookmarkStart w:id="78" w:name="_Toc18746"/>
      <w:bookmarkStart w:id="79" w:name="_Toc5379"/>
      <w:bookmarkStart w:id="80" w:name="_Toc15843"/>
      <w:r>
        <w:rPr>
          <w:rFonts w:hint="eastAsia"/>
          <w:szCs w:val="22"/>
          <w:lang w:val="en-US" w:eastAsia="zh-CN"/>
        </w:rPr>
        <w:t>3.再保业务信息类</w:t>
      </w:r>
      <w:bookmarkEnd w:id="77"/>
      <w:bookmarkEnd w:id="78"/>
      <w:bookmarkEnd w:id="79"/>
      <w:bookmarkEnd w:id="80"/>
    </w:p>
    <w:tbl>
      <w:tblPr>
        <w:tblStyle w:val="15"/>
        <w:tblW w:w="8330" w:type="dxa"/>
        <w:tblInd w:w="0" w:type="dxa"/>
        <w:shd w:val="clear" w:color="auto" w:fill="auto"/>
        <w:tblLayout w:type="fixed"/>
        <w:tblCellMar>
          <w:top w:w="0" w:type="dxa"/>
          <w:left w:w="0" w:type="dxa"/>
          <w:bottom w:w="0" w:type="dxa"/>
          <w:right w:w="0" w:type="dxa"/>
        </w:tblCellMar>
      </w:tblPr>
      <w:tblGrid>
        <w:gridCol w:w="1080"/>
        <w:gridCol w:w="1081"/>
        <w:gridCol w:w="2727"/>
        <w:gridCol w:w="2571"/>
        <w:gridCol w:w="871"/>
      </w:tblGrid>
      <w:tr>
        <w:tblPrEx>
          <w:shd w:val="clear" w:color="auto" w:fill="auto"/>
          <w:tblLayout w:type="fixed"/>
          <w:tblCellMar>
            <w:top w:w="0" w:type="dxa"/>
            <w:left w:w="0" w:type="dxa"/>
            <w:bottom w:w="0" w:type="dxa"/>
            <w:right w:w="0" w:type="dxa"/>
          </w:tblCellMar>
        </w:tblPrEx>
        <w:trPr>
          <w:trHeight w:val="31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数据元说明</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取值范围</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数据格式</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003001</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客户类型</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再保险客户分类。</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枚举值为“保险/再保险公司；经纪公司“</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C..30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003002</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客户状态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再保险客户状态。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枚举值为“正常；禁用；其他“</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003003</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合同状态代码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再保险合同状态代码。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枚举值为“有效；终止”</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003004</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合同类型</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再保险合同类型。</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枚举值为“比例合同；非比例合同”</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003005</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业务类型代码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再保险合同业务类型代码。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枚举值为“分出业务；分入业务”</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003006</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纯益标志</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再保险合同纯益标志。</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枚举值为“有；无”</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003007</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合同终止方式</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再保险合同终止方式。</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枚举值为“自然终止； 结清终止；混合或其他方式”</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C..30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003008</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合同属性</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再保险合同属性。</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枚举值为“保险合同；非保险合同；混合”</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003009</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险类名称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再保险合同险类名称。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枚举值为“寿险，意外险，健康险”</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003010</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分保方式</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再保险比例合同分保方式。</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枚举值为“成数，溢额，成数溢额混合”</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003011</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手续费类型</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再保险手续费类型。</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枚举值为“固定；浮动；无”</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003012</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统计险类名称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业务险类对应的统计信息系统报送的险类名称。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引用《业务代码表》“统计险类代码”，编号CD000006</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003013</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非比例合同分保方式</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再保险非比例合同分保方式。</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枚举值为“事故或险位超赔；赔付率超赔；伞状超赔”</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C..30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003014</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转分标志</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再保险账单分入分出标志。</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枚举值为“分入；分出”</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r>
        <w:tblPrEx>
          <w:tblLayout w:type="fixed"/>
          <w:tblCellMar>
            <w:top w:w="0" w:type="dxa"/>
            <w:left w:w="0" w:type="dxa"/>
            <w:bottom w:w="0" w:type="dxa"/>
            <w:right w:w="0" w:type="dxa"/>
          </w:tblCellMar>
        </w:tblPrEx>
        <w:trPr>
          <w:trHeight w:val="2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003015</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费用类型</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再保险账单费用类型。</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枚举值为“收费；付费”</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bl>
    <w:p>
      <w:pPr>
        <w:rPr>
          <w:rFonts w:hint="eastAsia"/>
          <w:lang w:val="en-US" w:eastAsia="zh-CN"/>
        </w:rPr>
      </w:pPr>
    </w:p>
    <w:p>
      <w:pPr>
        <w:pStyle w:val="4"/>
        <w:keepNext/>
        <w:keepLines/>
        <w:pageBreakBefore w:val="0"/>
        <w:widowControl w:val="0"/>
        <w:numPr>
          <w:ilvl w:val="0"/>
          <w:numId w:val="0"/>
        </w:numPr>
        <w:tabs>
          <w:tab w:val="clear" w:pos="425"/>
        </w:tabs>
        <w:kinsoku/>
        <w:wordWrap/>
        <w:overflowPunct/>
        <w:topLinePunct w:val="0"/>
        <w:autoSpaceDE/>
        <w:autoSpaceDN/>
        <w:bidi w:val="0"/>
        <w:adjustRightInd/>
        <w:snapToGrid/>
        <w:spacing w:before="0" w:beforeLines="0" w:after="0" w:afterLines="0" w:line="240" w:lineRule="auto"/>
        <w:ind w:right="0" w:rightChars="0" w:firstLine="602" w:firstLineChars="200"/>
        <w:jc w:val="both"/>
        <w:textAlignment w:val="auto"/>
        <w:outlineLvl w:val="2"/>
        <w:rPr>
          <w:rFonts w:hint="eastAsia"/>
          <w:szCs w:val="22"/>
          <w:lang w:val="en-US" w:eastAsia="zh-CN"/>
        </w:rPr>
      </w:pPr>
      <w:bookmarkStart w:id="81" w:name="_Toc15701"/>
      <w:bookmarkStart w:id="82" w:name="_Toc3321"/>
      <w:bookmarkStart w:id="83" w:name="_Toc30857"/>
      <w:bookmarkStart w:id="84" w:name="_Toc13523"/>
      <w:r>
        <w:rPr>
          <w:rFonts w:hint="eastAsia"/>
          <w:szCs w:val="22"/>
          <w:lang w:val="en-US" w:eastAsia="zh-CN"/>
        </w:rPr>
        <w:t>4.投资业务信息类</w:t>
      </w:r>
      <w:bookmarkEnd w:id="81"/>
      <w:bookmarkEnd w:id="82"/>
      <w:bookmarkEnd w:id="83"/>
      <w:bookmarkEnd w:id="84"/>
    </w:p>
    <w:tbl>
      <w:tblPr>
        <w:tblStyle w:val="15"/>
        <w:tblW w:w="8330" w:type="dxa"/>
        <w:tblInd w:w="0" w:type="dxa"/>
        <w:shd w:val="clear" w:color="auto" w:fill="auto"/>
        <w:tblLayout w:type="fixed"/>
        <w:tblCellMar>
          <w:top w:w="0" w:type="dxa"/>
          <w:left w:w="0" w:type="dxa"/>
          <w:bottom w:w="0" w:type="dxa"/>
          <w:right w:w="0" w:type="dxa"/>
        </w:tblCellMar>
      </w:tblPr>
      <w:tblGrid>
        <w:gridCol w:w="1080"/>
        <w:gridCol w:w="1081"/>
        <w:gridCol w:w="2727"/>
        <w:gridCol w:w="2571"/>
        <w:gridCol w:w="871"/>
      </w:tblGrid>
      <w:tr>
        <w:tblPrEx>
          <w:tblLayout w:type="fixed"/>
          <w:tblCellMar>
            <w:top w:w="0" w:type="dxa"/>
            <w:left w:w="0" w:type="dxa"/>
            <w:bottom w:w="0" w:type="dxa"/>
            <w:right w:w="0" w:type="dxa"/>
          </w:tblCellMar>
        </w:tblPrEx>
        <w:trPr>
          <w:trHeight w:val="31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数据元说明</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取值范围</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数据格式</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004001</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投资账户名称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保险公司系统中记录的进行投资的账户名称。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004002</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产品交易市场类型代码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产品交易市场代码，非标产品的市场对应为场外市场。</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引用《业务代码表》“产品交易市场类型代码”，编号CD000010</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004003</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资金运用资产类型代码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证券资产的明细分类，其中不动产、其他金融资产两大类中产品为非标产品。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引用《业务代码表》“资金运用资产类型代码”，编号CD000009</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C..100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004004</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交易方向代码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资产的交易方向描述。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枚举值为“借（余额增）；贷（余额减）“</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C..20</w:t>
            </w:r>
          </w:p>
        </w:tc>
      </w:tr>
    </w:tbl>
    <w:p>
      <w:pPr>
        <w:rPr>
          <w:rFonts w:hint="eastAsia"/>
          <w:lang w:val="en-US" w:eastAsia="zh-CN"/>
        </w:rPr>
      </w:pPr>
    </w:p>
    <w:p>
      <w:pPr>
        <w:pStyle w:val="4"/>
        <w:keepNext/>
        <w:keepLines/>
        <w:pageBreakBefore w:val="0"/>
        <w:widowControl w:val="0"/>
        <w:numPr>
          <w:ilvl w:val="0"/>
          <w:numId w:val="0"/>
        </w:numPr>
        <w:tabs>
          <w:tab w:val="clear" w:pos="425"/>
        </w:tabs>
        <w:kinsoku/>
        <w:wordWrap/>
        <w:overflowPunct/>
        <w:topLinePunct w:val="0"/>
        <w:autoSpaceDE/>
        <w:autoSpaceDN/>
        <w:bidi w:val="0"/>
        <w:adjustRightInd/>
        <w:snapToGrid/>
        <w:spacing w:before="0" w:beforeLines="0" w:after="0" w:afterLines="0" w:line="240" w:lineRule="auto"/>
        <w:ind w:right="0" w:rightChars="0" w:firstLine="602" w:firstLineChars="200"/>
        <w:jc w:val="both"/>
        <w:textAlignment w:val="auto"/>
        <w:outlineLvl w:val="2"/>
        <w:rPr>
          <w:rFonts w:hint="default"/>
          <w:lang w:val="en-US" w:eastAsia="zh-CN"/>
        </w:rPr>
      </w:pPr>
      <w:bookmarkStart w:id="85" w:name="_Toc28051"/>
      <w:bookmarkStart w:id="86" w:name="_Toc1586"/>
      <w:bookmarkStart w:id="87" w:name="_Toc21485"/>
      <w:bookmarkStart w:id="88" w:name="_Toc28614"/>
      <w:r>
        <w:rPr>
          <w:rFonts w:hint="eastAsia"/>
          <w:szCs w:val="22"/>
          <w:lang w:val="en-US" w:eastAsia="zh-CN"/>
        </w:rPr>
        <w:t>5.关联交易信息类</w:t>
      </w:r>
      <w:bookmarkEnd w:id="85"/>
      <w:bookmarkEnd w:id="86"/>
      <w:bookmarkEnd w:id="87"/>
      <w:bookmarkEnd w:id="88"/>
    </w:p>
    <w:tbl>
      <w:tblPr>
        <w:tblStyle w:val="15"/>
        <w:tblW w:w="8330" w:type="dxa"/>
        <w:tblInd w:w="0" w:type="dxa"/>
        <w:shd w:val="clear" w:color="auto" w:fill="auto"/>
        <w:tblLayout w:type="fixed"/>
        <w:tblCellMar>
          <w:top w:w="0" w:type="dxa"/>
          <w:left w:w="0" w:type="dxa"/>
          <w:bottom w:w="0" w:type="dxa"/>
          <w:right w:w="0" w:type="dxa"/>
        </w:tblCellMar>
      </w:tblPr>
      <w:tblGrid>
        <w:gridCol w:w="1080"/>
        <w:gridCol w:w="1081"/>
        <w:gridCol w:w="2727"/>
        <w:gridCol w:w="2571"/>
        <w:gridCol w:w="871"/>
      </w:tblGrid>
      <w:tr>
        <w:tblPrEx>
          <w:shd w:val="clear" w:color="auto" w:fill="auto"/>
          <w:tblLayout w:type="fixed"/>
          <w:tblCellMar>
            <w:top w:w="0" w:type="dxa"/>
            <w:left w:w="0" w:type="dxa"/>
            <w:bottom w:w="0" w:type="dxa"/>
            <w:right w:w="0" w:type="dxa"/>
          </w:tblCellMar>
        </w:tblPrEx>
        <w:trPr>
          <w:trHeight w:val="31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数据元编码</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数据元说明</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取值范围</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数据格式</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005001</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与前一层关联关系代码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与前一层关联关系代码。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引用《业务代码表》“关联关系代码”，编号CD000017</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C..100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005002</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关联交易业务类型代码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关联交易业务类型。</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引用《业务代码表》“关联交易业务类型代码”，编号CD000018</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C..100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005003</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关联方/关联方中间节点类型</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关联方/关联方中间节点类型。</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枚举值为“法人或其他组织；自然人；金融产品等其他” </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C..30</w:t>
            </w:r>
          </w:p>
        </w:tc>
      </w:tr>
      <w:tr>
        <w:tblPrEx>
          <w:tblLayout w:type="fixed"/>
          <w:tblCellMar>
            <w:top w:w="0" w:type="dxa"/>
            <w:left w:w="0" w:type="dxa"/>
            <w:bottom w:w="0" w:type="dxa"/>
            <w:right w:w="0" w:type="dxa"/>
          </w:tblCellMar>
        </w:tblPrEx>
        <w:trPr>
          <w:trHeight w:val="86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005004</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与前一层之间是否有权益份额代码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与前一层之间是否有权益份额代码。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枚举值为“是，对前一层持有；</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是，被前一层持有；否”</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C..30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005005</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金融产品分类代码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关联交易金融产品分类代码。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引用《业务代码表》“金融产品分类代码”，编号CD000016</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86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005006</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提供货物或服务类交易方向代码</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提供货物或服务类交易方向代码。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枚举值为“保险公司提供货物或服务；保险公司接受货物或服务” </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005007</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关联交易金额</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默认人民币，单位万元，最大16位整数，6位小数。</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i w:val="0"/>
                <w:color w:val="000000"/>
                <w:sz w:val="21"/>
                <w:szCs w:val="21"/>
                <w:u w:val="none"/>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D22.6</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005008</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投资方式</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资金运用类关联交易投资方式的类型代码。</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枚举值为“直接投资；间接投资”</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C..50</w:t>
            </w:r>
          </w:p>
        </w:tc>
      </w:tr>
      <w:tr>
        <w:tblPrEx>
          <w:tblLayout w:type="fixed"/>
          <w:tblCellMar>
            <w:top w:w="0" w:type="dxa"/>
            <w:left w:w="0" w:type="dxa"/>
            <w:bottom w:w="0" w:type="dxa"/>
            <w:right w:w="0" w:type="dxa"/>
          </w:tblCellMar>
        </w:tblPrEx>
        <w:trPr>
          <w:trHeight w:val="57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005009</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达到重大关联交易的情形</w:t>
            </w:r>
          </w:p>
        </w:tc>
        <w:tc>
          <w:tcPr>
            <w:tcW w:w="2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达到重大关联交易的情形。</w:t>
            </w:r>
          </w:p>
        </w:tc>
        <w:tc>
          <w:tcPr>
            <w:tcW w:w="25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枚举值为“单笔达到；累计达到”</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C12</w:t>
            </w:r>
          </w:p>
        </w:tc>
      </w:tr>
    </w:tbl>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auto"/>
    <w:pitch w:val="default"/>
    <w:sig w:usb0="00000000" w:usb1="00000000"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宋体" w:cs="Times New Roman"/>
                              <w:sz w:val="18"/>
                              <w:lang w:eastAsia="zh-CN"/>
                            </w:rPr>
                          </w:pPr>
                          <w:r>
                            <w:rPr>
                              <w:rFonts w:hint="default" w:ascii="Times New Roman" w:hAnsi="Times New Roman" w:cs="Times New Roman"/>
                              <w:sz w:val="18"/>
                              <w:lang w:eastAsia="zh-CN"/>
                            </w:rPr>
                            <w:fldChar w:fldCharType="begin"/>
                          </w:r>
                          <w:r>
                            <w:rPr>
                              <w:rFonts w:hint="default" w:ascii="Times New Roman" w:hAnsi="Times New Roman" w:cs="Times New Roman"/>
                              <w:sz w:val="18"/>
                              <w:lang w:eastAsia="zh-CN"/>
                            </w:rPr>
                            <w:instrText xml:space="preserve"> PAGE  \* MERGEFORMAT </w:instrText>
                          </w:r>
                          <w:r>
                            <w:rPr>
                              <w:rFonts w:hint="default" w:ascii="Times New Roman" w:hAnsi="Times New Roman" w:cs="Times New Roman"/>
                              <w:sz w:val="18"/>
                              <w:lang w:eastAsia="zh-CN"/>
                            </w:rPr>
                            <w:fldChar w:fldCharType="separate"/>
                          </w:r>
                          <w:r>
                            <w:rPr>
                              <w:rFonts w:hint="default" w:ascii="Times New Roman" w:hAnsi="Times New Roman" w:cs="Times New Roman"/>
                              <w:sz w:val="18"/>
                              <w:lang w:eastAsia="zh-CN"/>
                            </w:rPr>
                            <w:t>- 3 -</w:t>
                          </w:r>
                          <w:r>
                            <w:rPr>
                              <w:rFonts w:hint="default" w:ascii="Times New Roman" w:hAnsi="Times New Roman" w:cs="Times New Roman"/>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eastAsia="宋体" w:cs="Times New Roman"/>
                        <w:sz w:val="18"/>
                        <w:lang w:eastAsia="zh-CN"/>
                      </w:rPr>
                    </w:pPr>
                    <w:r>
                      <w:rPr>
                        <w:rFonts w:hint="default" w:ascii="Times New Roman" w:hAnsi="Times New Roman" w:cs="Times New Roman"/>
                        <w:sz w:val="18"/>
                        <w:lang w:eastAsia="zh-CN"/>
                      </w:rPr>
                      <w:fldChar w:fldCharType="begin"/>
                    </w:r>
                    <w:r>
                      <w:rPr>
                        <w:rFonts w:hint="default" w:ascii="Times New Roman" w:hAnsi="Times New Roman" w:cs="Times New Roman"/>
                        <w:sz w:val="18"/>
                        <w:lang w:eastAsia="zh-CN"/>
                      </w:rPr>
                      <w:instrText xml:space="preserve"> PAGE  \* MERGEFORMAT </w:instrText>
                    </w:r>
                    <w:r>
                      <w:rPr>
                        <w:rFonts w:hint="default" w:ascii="Times New Roman" w:hAnsi="Times New Roman" w:cs="Times New Roman"/>
                        <w:sz w:val="18"/>
                        <w:lang w:eastAsia="zh-CN"/>
                      </w:rPr>
                      <w:fldChar w:fldCharType="separate"/>
                    </w:r>
                    <w:r>
                      <w:rPr>
                        <w:rFonts w:hint="default" w:ascii="Times New Roman" w:hAnsi="Times New Roman" w:cs="Times New Roman"/>
                        <w:sz w:val="18"/>
                        <w:lang w:eastAsia="zh-CN"/>
                      </w:rPr>
                      <w:t>- 3 -</w:t>
                    </w:r>
                    <w:r>
                      <w:rPr>
                        <w:rFonts w:hint="default" w:ascii="Times New Roman" w:hAnsi="Times New Roman" w:cs="Times New Roman"/>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F4AD3"/>
    <w:multiLevelType w:val="singleLevel"/>
    <w:tmpl w:val="3C6F4AD3"/>
    <w:lvl w:ilvl="0" w:tentative="0">
      <w:start w:val="1"/>
      <w:numFmt w:val="decimal"/>
      <w:pStyle w:val="5"/>
      <w:lvlText w:val="%1."/>
      <w:lvlJc w:val="left"/>
      <w:pPr>
        <w:ind w:left="425" w:hanging="425"/>
      </w:pPr>
      <w:rPr>
        <w:rFonts w:hint="default"/>
      </w:rPr>
    </w:lvl>
  </w:abstractNum>
  <w:abstractNum w:abstractNumId="1">
    <w:nsid w:val="5FF42DE1"/>
    <w:multiLevelType w:val="singleLevel"/>
    <w:tmpl w:val="5FF42DE1"/>
    <w:lvl w:ilvl="0" w:tentative="0">
      <w:start w:val="1"/>
      <w:numFmt w:val="decimal"/>
      <w:pStyle w:val="4"/>
      <w:lvlText w:val="%1."/>
      <w:lvlJc w:val="left"/>
      <w:pPr>
        <w:tabs>
          <w:tab w:val="left" w:pos="425"/>
        </w:tabs>
        <w:ind w:left="425" w:hanging="425"/>
      </w:pPr>
      <w:rPr>
        <w:rFonts w:hint="default"/>
      </w:rPr>
    </w:lvl>
  </w:abstractNum>
  <w:abstractNum w:abstractNumId="2">
    <w:nsid w:val="78C742CD"/>
    <w:multiLevelType w:val="singleLevel"/>
    <w:tmpl w:val="78C742CD"/>
    <w:lvl w:ilvl="0" w:tentative="0">
      <w:start w:val="1"/>
      <w:numFmt w:val="decimal"/>
      <w:pStyle w:val="6"/>
      <w:lvlText w:val="(%1)"/>
      <w:lvlJc w:val="left"/>
      <w:pPr>
        <w:ind w:left="425" w:hanging="425"/>
      </w:pPr>
      <w:rPr>
        <w:rFonts w:hint="default"/>
      </w:rPr>
    </w:lvl>
  </w:abstractNum>
  <w:num w:numId="1">
    <w:abstractNumId w:val="1"/>
  </w:num>
  <w:num w:numId="2">
    <w:abstractNumId w:val="0"/>
  </w:num>
  <w:num w:numId="3">
    <w:abstractNumId w:val="2"/>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8C2A37"/>
    <w:rsid w:val="048C70CE"/>
    <w:rsid w:val="06142402"/>
    <w:rsid w:val="07551F2C"/>
    <w:rsid w:val="077003DF"/>
    <w:rsid w:val="0A0B0450"/>
    <w:rsid w:val="0AA33511"/>
    <w:rsid w:val="13D57776"/>
    <w:rsid w:val="191F017C"/>
    <w:rsid w:val="19222132"/>
    <w:rsid w:val="19FC44A4"/>
    <w:rsid w:val="1A4328B3"/>
    <w:rsid w:val="1C333638"/>
    <w:rsid w:val="1C493975"/>
    <w:rsid w:val="1C82110E"/>
    <w:rsid w:val="1CE40C4C"/>
    <w:rsid w:val="1DF61B9D"/>
    <w:rsid w:val="22633263"/>
    <w:rsid w:val="22B80288"/>
    <w:rsid w:val="23D223F9"/>
    <w:rsid w:val="26064E3E"/>
    <w:rsid w:val="26D07DD2"/>
    <w:rsid w:val="281D647D"/>
    <w:rsid w:val="282E634E"/>
    <w:rsid w:val="2879601D"/>
    <w:rsid w:val="28D32632"/>
    <w:rsid w:val="2A055DC4"/>
    <w:rsid w:val="2B53190A"/>
    <w:rsid w:val="2D4839E2"/>
    <w:rsid w:val="2F3A1598"/>
    <w:rsid w:val="30990FD1"/>
    <w:rsid w:val="30F72766"/>
    <w:rsid w:val="36167082"/>
    <w:rsid w:val="374D476C"/>
    <w:rsid w:val="37564C5B"/>
    <w:rsid w:val="39D74E80"/>
    <w:rsid w:val="3C185C64"/>
    <w:rsid w:val="3DFC2928"/>
    <w:rsid w:val="3DFC68AA"/>
    <w:rsid w:val="402D7198"/>
    <w:rsid w:val="409A287A"/>
    <w:rsid w:val="43C27FF7"/>
    <w:rsid w:val="45664A75"/>
    <w:rsid w:val="45824CB1"/>
    <w:rsid w:val="4C9D71F3"/>
    <w:rsid w:val="536141DA"/>
    <w:rsid w:val="54481DCC"/>
    <w:rsid w:val="54524833"/>
    <w:rsid w:val="54E237D5"/>
    <w:rsid w:val="5A37791D"/>
    <w:rsid w:val="5B5B21E9"/>
    <w:rsid w:val="5BB27951"/>
    <w:rsid w:val="5F894E37"/>
    <w:rsid w:val="600202C5"/>
    <w:rsid w:val="62AF765B"/>
    <w:rsid w:val="652E7564"/>
    <w:rsid w:val="696F766C"/>
    <w:rsid w:val="69BF021C"/>
    <w:rsid w:val="6D1A1254"/>
    <w:rsid w:val="6EE0237C"/>
    <w:rsid w:val="6F6014C0"/>
    <w:rsid w:val="7078248E"/>
    <w:rsid w:val="717A66D4"/>
    <w:rsid w:val="75DA3409"/>
    <w:rsid w:val="76A42CF2"/>
    <w:rsid w:val="776C0A8D"/>
    <w:rsid w:val="777907D2"/>
    <w:rsid w:val="79397D8D"/>
    <w:rsid w:val="7C6C2233"/>
    <w:rsid w:val="7E8F0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keepLines/>
      <w:spacing w:line="560" w:lineRule="exact"/>
      <w:ind w:firstLine="420" w:firstLineChars="200"/>
      <w:outlineLvl w:val="0"/>
    </w:pPr>
    <w:rPr>
      <w:rFonts w:ascii="Times New Roman" w:hAnsi="Times New Roman" w:eastAsia="黑体"/>
      <w:bCs/>
      <w:kern w:val="44"/>
      <w:sz w:val="30"/>
      <w:szCs w:val="44"/>
    </w:rPr>
  </w:style>
  <w:style w:type="paragraph" w:styleId="3">
    <w:name w:val="heading 2"/>
    <w:basedOn w:val="1"/>
    <w:next w:val="1"/>
    <w:qFormat/>
    <w:uiPriority w:val="0"/>
    <w:pPr>
      <w:keepNext/>
      <w:keepLines/>
      <w:spacing w:beforeAutospacing="0" w:afterAutospacing="0" w:line="560" w:lineRule="exact"/>
      <w:ind w:firstLine="420" w:firstLineChars="200"/>
      <w:outlineLvl w:val="1"/>
    </w:pPr>
    <w:rPr>
      <w:rFonts w:ascii="Times New Roman" w:hAnsi="Times New Roman" w:eastAsia="楷体_GB2312"/>
      <w:b/>
      <w:sz w:val="30"/>
    </w:rPr>
  </w:style>
  <w:style w:type="paragraph" w:styleId="4">
    <w:name w:val="heading 3"/>
    <w:basedOn w:val="1"/>
    <w:next w:val="1"/>
    <w:qFormat/>
    <w:uiPriority w:val="0"/>
    <w:pPr>
      <w:keepNext/>
      <w:keepLines/>
      <w:numPr>
        <w:ilvl w:val="0"/>
        <w:numId w:val="1"/>
      </w:numPr>
      <w:spacing w:before="312" w:beforeLines="100" w:beforeAutospacing="0" w:after="312" w:afterLines="100" w:afterAutospacing="0" w:line="360" w:lineRule="auto"/>
      <w:outlineLvl w:val="2"/>
    </w:pPr>
    <w:rPr>
      <w:rFonts w:ascii="Times New Roman" w:hAnsi="Times New Roman" w:eastAsia="仿宋_GB2312"/>
      <w:b/>
      <w:sz w:val="30"/>
    </w:rPr>
  </w:style>
  <w:style w:type="paragraph" w:styleId="5">
    <w:name w:val="heading 4"/>
    <w:basedOn w:val="1"/>
    <w:next w:val="1"/>
    <w:unhideWhenUsed/>
    <w:qFormat/>
    <w:uiPriority w:val="0"/>
    <w:pPr>
      <w:keepNext/>
      <w:keepLines/>
      <w:numPr>
        <w:ilvl w:val="0"/>
        <w:numId w:val="2"/>
      </w:numPr>
      <w:spacing w:beforeLines="0" w:beforeAutospacing="0" w:afterLines="0" w:afterAutospacing="0" w:line="560" w:lineRule="exact"/>
      <w:ind w:left="0" w:firstLine="420" w:firstLineChars="200"/>
      <w:outlineLvl w:val="3"/>
    </w:pPr>
    <w:rPr>
      <w:rFonts w:ascii="Arial" w:hAnsi="Arial" w:eastAsia="仿宋_GB2312"/>
      <w:b/>
      <w:sz w:val="30"/>
    </w:rPr>
  </w:style>
  <w:style w:type="paragraph" w:styleId="6">
    <w:name w:val="heading 5"/>
    <w:basedOn w:val="1"/>
    <w:next w:val="1"/>
    <w:unhideWhenUsed/>
    <w:qFormat/>
    <w:uiPriority w:val="0"/>
    <w:pPr>
      <w:keepNext/>
      <w:keepLines/>
      <w:numPr>
        <w:ilvl w:val="0"/>
        <w:numId w:val="3"/>
      </w:numPr>
      <w:spacing w:beforeLines="0" w:beforeAutospacing="0" w:afterLines="0" w:afterAutospacing="0" w:line="560" w:lineRule="exact"/>
      <w:ind w:left="0" w:firstLine="420" w:firstLineChars="200"/>
      <w:outlineLvl w:val="4"/>
    </w:pPr>
    <w:rPr>
      <w:rFonts w:eastAsia="仿宋_GB2312"/>
      <w:sz w:val="30"/>
    </w:rPr>
  </w:style>
  <w:style w:type="paragraph" w:styleId="7">
    <w:name w:val="heading 6"/>
    <w:basedOn w:val="1"/>
    <w:next w:val="1"/>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14">
    <w:name w:val="Default Paragraph Font"/>
    <w:semiHidden/>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rFonts w:ascii="Calibri" w:hAnsi="Calibri" w:eastAsia="宋体"/>
      <w:kern w:val="2"/>
      <w:sz w:val="18"/>
      <w:lang w:val="en-US" w:eastAsia="zh-CN"/>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4"/>
    <w:basedOn w:val="1"/>
    <w:next w:val="1"/>
    <w:qFormat/>
    <w:uiPriority w:val="0"/>
    <w:pPr>
      <w:ind w:left="1260" w:leftChars="600"/>
    </w:pPr>
  </w:style>
  <w:style w:type="paragraph" w:styleId="13">
    <w:name w:val="toc 2"/>
    <w:basedOn w:val="1"/>
    <w:next w:val="1"/>
    <w:qFormat/>
    <w:uiPriority w:val="0"/>
    <w:pPr>
      <w:ind w:left="420" w:leftChars="200"/>
    </w:pPr>
  </w:style>
  <w:style w:type="table" w:styleId="16">
    <w:name w:val="Table Grid"/>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
    <w:name w:val="正文1"/>
    <w:basedOn w:val="1"/>
    <w:qFormat/>
    <w:uiPriority w:val="0"/>
    <w:pPr>
      <w:ind w:firstLine="600" w:firstLineChars="200"/>
    </w:pPr>
    <w:rPr>
      <w:rFonts w:ascii="Times New Roman" w:hAnsi="Times New Roman" w:eastAsia="仿宋_GB2312"/>
      <w:sz w:val="30"/>
    </w:rPr>
  </w:style>
  <w:style w:type="paragraph" w:customStyle="1" w:styleId="18">
    <w:name w:val="表头"/>
    <w:basedOn w:val="19"/>
    <w:qFormat/>
    <w:uiPriority w:val="0"/>
    <w:pPr>
      <w:spacing w:line="288" w:lineRule="auto"/>
      <w:jc w:val="center"/>
    </w:pPr>
    <w:rPr>
      <w:b/>
      <w:sz w:val="24"/>
    </w:rPr>
  </w:style>
  <w:style w:type="paragraph" w:customStyle="1" w:styleId="19">
    <w:name w:val="表格"/>
    <w:basedOn w:val="1"/>
    <w:qFormat/>
    <w:uiPriority w:val="0"/>
    <w:pPr>
      <w:spacing w:line="288" w:lineRule="auto"/>
    </w:pPr>
    <w:rPr>
      <w:rFonts w:ascii="Times New Roman" w:hAnsi="Times New Roman" w:eastAsia="宋体"/>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2020-12-22T09:27:00Z</dcterms:created>
  <dc:creator>gyb1</dc:creator>
  <cp:lastModifiedBy>方栋</cp:lastModifiedBy>
  <dcterms:modified xsi:type="dcterms:W3CDTF">2021-01-19T01:52:16Z</dcterms:modified>
  <dc:title>规范正文</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