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5888F" w14:textId="77777777" w:rsidR="00C045D3" w:rsidRPr="00C045D3" w:rsidRDefault="00C045D3" w:rsidP="00C045D3">
      <w:pPr>
        <w:widowControl/>
        <w:shd w:val="clear" w:color="auto" w:fill="FFFFFF"/>
        <w:spacing w:before="100" w:beforeAutospacing="1" w:after="100" w:afterAutospacing="1"/>
        <w:jc w:val="center"/>
        <w:rPr>
          <w:rFonts w:ascii="微软雅黑" w:eastAsia="微软雅黑" w:hAnsi="微软雅黑" w:cs="宋体"/>
          <w:color w:val="333333"/>
          <w:kern w:val="0"/>
          <w:sz w:val="24"/>
          <w:szCs w:val="24"/>
        </w:rPr>
      </w:pPr>
      <w:r w:rsidRPr="00C045D3">
        <w:rPr>
          <w:rFonts w:ascii="黑体" w:eastAsia="黑体" w:hAnsi="黑体" w:cs="宋体" w:hint="eastAsia"/>
          <w:color w:val="333333"/>
          <w:kern w:val="0"/>
          <w:sz w:val="36"/>
          <w:szCs w:val="36"/>
        </w:rPr>
        <w:t>中国银行保险监督管理委员会令</w:t>
      </w:r>
    </w:p>
    <w:p w14:paraId="5F84B58E" w14:textId="77777777" w:rsidR="00C045D3" w:rsidRPr="00C045D3" w:rsidRDefault="00C045D3" w:rsidP="00C045D3">
      <w:pPr>
        <w:widowControl/>
        <w:shd w:val="clear" w:color="auto" w:fill="FFFFFF"/>
        <w:spacing w:before="100" w:beforeAutospacing="1" w:after="100" w:afterAutospacing="1"/>
        <w:jc w:val="center"/>
        <w:rPr>
          <w:rFonts w:ascii="微软雅黑" w:eastAsia="微软雅黑" w:hAnsi="微软雅黑" w:cs="宋体" w:hint="eastAsia"/>
          <w:color w:val="333333"/>
          <w:kern w:val="0"/>
          <w:sz w:val="24"/>
          <w:szCs w:val="24"/>
        </w:rPr>
      </w:pPr>
      <w:r w:rsidRPr="00C045D3">
        <w:rPr>
          <w:rFonts w:ascii="仿宋_GB2312" w:eastAsia="仿宋_GB2312" w:hAnsi="微软雅黑" w:cs="宋体" w:hint="eastAsia"/>
          <w:color w:val="333333"/>
          <w:kern w:val="0"/>
          <w:sz w:val="32"/>
          <w:szCs w:val="32"/>
        </w:rPr>
        <w:t>2019年第4号</w:t>
      </w:r>
    </w:p>
    <w:p w14:paraId="0136001A" w14:textId="77777777" w:rsidR="00C045D3" w:rsidRPr="00C045D3" w:rsidRDefault="00C045D3" w:rsidP="00C045D3">
      <w:pPr>
        <w:widowControl/>
        <w:shd w:val="clear" w:color="auto" w:fill="FFFFFF"/>
        <w:spacing w:before="100" w:beforeAutospacing="1" w:after="100" w:afterAutospacing="1"/>
        <w:jc w:val="center"/>
        <w:rPr>
          <w:rFonts w:ascii="微软雅黑" w:eastAsia="微软雅黑" w:hAnsi="微软雅黑" w:cs="宋体" w:hint="eastAsia"/>
          <w:color w:val="333333"/>
          <w:kern w:val="0"/>
          <w:sz w:val="24"/>
          <w:szCs w:val="24"/>
        </w:rPr>
      </w:pPr>
      <w:r w:rsidRPr="00C045D3">
        <w:rPr>
          <w:rFonts w:ascii="仿宋_GB2312" w:eastAsia="仿宋_GB2312" w:hAnsi="微软雅黑" w:cs="宋体" w:hint="eastAsia"/>
          <w:color w:val="333333"/>
          <w:kern w:val="0"/>
          <w:sz w:val="32"/>
          <w:szCs w:val="32"/>
        </w:rPr>
        <w:t> </w:t>
      </w:r>
    </w:p>
    <w:p w14:paraId="0FAE8E0F" w14:textId="77777777" w:rsidR="00C045D3" w:rsidRPr="00C045D3" w:rsidRDefault="00C045D3" w:rsidP="00C045D3">
      <w:pPr>
        <w:widowControl/>
        <w:shd w:val="clear" w:color="auto" w:fill="FFFFFF"/>
        <w:spacing w:before="100" w:beforeAutospacing="1" w:after="100" w:afterAutospacing="1" w:line="640" w:lineRule="atLeast"/>
        <w:ind w:firstLine="640"/>
        <w:jc w:val="left"/>
        <w:rPr>
          <w:rFonts w:ascii="微软雅黑" w:eastAsia="微软雅黑" w:hAnsi="微软雅黑" w:cs="宋体" w:hint="eastAsia"/>
          <w:color w:val="333333"/>
          <w:kern w:val="0"/>
          <w:sz w:val="24"/>
          <w:szCs w:val="24"/>
        </w:rPr>
      </w:pPr>
      <w:r w:rsidRPr="00C045D3">
        <w:rPr>
          <w:rFonts w:ascii="仿宋_GB2312" w:eastAsia="仿宋_GB2312" w:hAnsi="微软雅黑" w:cs="宋体" w:hint="eastAsia"/>
          <w:color w:val="333333"/>
          <w:kern w:val="0"/>
          <w:sz w:val="32"/>
          <w:szCs w:val="32"/>
        </w:rPr>
        <w:t>现公布修订后的《中华人民共和国外资保险公司管理条例实施细则》，自公布之日起施行。</w:t>
      </w:r>
    </w:p>
    <w:p w14:paraId="368C9A29" w14:textId="77777777" w:rsidR="00C045D3" w:rsidRPr="00C045D3" w:rsidRDefault="00C045D3" w:rsidP="00C045D3">
      <w:pPr>
        <w:widowControl/>
        <w:shd w:val="clear" w:color="auto" w:fill="FFFFFF"/>
        <w:spacing w:before="100" w:beforeAutospacing="1" w:after="100" w:afterAutospacing="1" w:line="640" w:lineRule="atLeast"/>
        <w:ind w:firstLine="640"/>
        <w:jc w:val="left"/>
        <w:rPr>
          <w:rFonts w:ascii="微软雅黑" w:eastAsia="微软雅黑" w:hAnsi="微软雅黑" w:cs="宋体" w:hint="eastAsia"/>
          <w:color w:val="333333"/>
          <w:kern w:val="0"/>
          <w:sz w:val="24"/>
          <w:szCs w:val="24"/>
        </w:rPr>
      </w:pPr>
      <w:r w:rsidRPr="00C045D3">
        <w:rPr>
          <w:rFonts w:ascii="仿宋_GB2312" w:eastAsia="仿宋_GB2312" w:hAnsi="微软雅黑" w:cs="宋体" w:hint="eastAsia"/>
          <w:color w:val="333333"/>
          <w:kern w:val="0"/>
          <w:sz w:val="32"/>
          <w:szCs w:val="32"/>
        </w:rPr>
        <w:t> </w:t>
      </w:r>
    </w:p>
    <w:p w14:paraId="4B02EB87" w14:textId="77777777" w:rsidR="00C045D3" w:rsidRPr="00C045D3" w:rsidRDefault="00C045D3" w:rsidP="00C045D3">
      <w:pPr>
        <w:widowControl/>
        <w:shd w:val="clear" w:color="auto" w:fill="FFFFFF"/>
        <w:spacing w:before="100" w:beforeAutospacing="1" w:after="100" w:afterAutospacing="1" w:line="640" w:lineRule="atLeast"/>
        <w:ind w:firstLine="640"/>
        <w:jc w:val="left"/>
        <w:rPr>
          <w:rFonts w:ascii="微软雅黑" w:eastAsia="微软雅黑" w:hAnsi="微软雅黑" w:cs="宋体" w:hint="eastAsia"/>
          <w:color w:val="333333"/>
          <w:kern w:val="0"/>
          <w:sz w:val="24"/>
          <w:szCs w:val="24"/>
        </w:rPr>
      </w:pPr>
      <w:r w:rsidRPr="00C045D3">
        <w:rPr>
          <w:rFonts w:ascii="仿宋_GB2312" w:eastAsia="仿宋_GB2312" w:hAnsi="微软雅黑" w:cs="宋体" w:hint="eastAsia"/>
          <w:color w:val="333333"/>
          <w:kern w:val="0"/>
          <w:sz w:val="32"/>
          <w:szCs w:val="32"/>
        </w:rPr>
        <w:t> </w:t>
      </w:r>
    </w:p>
    <w:p w14:paraId="4A1266EB" w14:textId="77777777" w:rsidR="00C045D3" w:rsidRPr="00C045D3" w:rsidRDefault="00C045D3" w:rsidP="00C045D3">
      <w:pPr>
        <w:widowControl/>
        <w:shd w:val="clear" w:color="auto" w:fill="FFFFFF"/>
        <w:spacing w:before="100" w:beforeAutospacing="1" w:after="100" w:afterAutospacing="1" w:line="640" w:lineRule="atLeast"/>
        <w:ind w:firstLine="640"/>
        <w:jc w:val="right"/>
        <w:rPr>
          <w:rFonts w:ascii="微软雅黑" w:eastAsia="微软雅黑" w:hAnsi="微软雅黑" w:cs="宋体" w:hint="eastAsia"/>
          <w:color w:val="333333"/>
          <w:kern w:val="0"/>
          <w:sz w:val="24"/>
          <w:szCs w:val="24"/>
        </w:rPr>
      </w:pPr>
      <w:r w:rsidRPr="00C045D3">
        <w:rPr>
          <w:rFonts w:ascii="仿宋_GB2312" w:eastAsia="仿宋_GB2312" w:hAnsi="微软雅黑" w:cs="宋体" w:hint="eastAsia"/>
          <w:color w:val="333333"/>
          <w:kern w:val="0"/>
          <w:sz w:val="32"/>
          <w:szCs w:val="32"/>
        </w:rPr>
        <w:t>主席</w:t>
      </w:r>
      <w:r w:rsidRPr="00C045D3">
        <w:rPr>
          <w:rFonts w:ascii="仿宋_GB2312" w:eastAsia="仿宋_GB2312" w:hAnsi="微软雅黑" w:cs="宋体" w:hint="eastAsia"/>
          <w:color w:val="333333"/>
          <w:kern w:val="0"/>
          <w:sz w:val="32"/>
          <w:szCs w:val="32"/>
        </w:rPr>
        <w:t> </w:t>
      </w:r>
      <w:r w:rsidRPr="00C045D3">
        <w:rPr>
          <w:rFonts w:ascii="仿宋_GB2312" w:eastAsia="仿宋_GB2312" w:hAnsi="微软雅黑" w:cs="宋体" w:hint="eastAsia"/>
          <w:color w:val="333333"/>
          <w:kern w:val="0"/>
          <w:sz w:val="32"/>
          <w:szCs w:val="32"/>
        </w:rPr>
        <w:t>郭树清</w:t>
      </w:r>
    </w:p>
    <w:p w14:paraId="3F032D26" w14:textId="77777777" w:rsidR="00C045D3" w:rsidRPr="00C045D3" w:rsidRDefault="00C045D3" w:rsidP="00C045D3">
      <w:pPr>
        <w:widowControl/>
        <w:shd w:val="clear" w:color="auto" w:fill="FFFFFF"/>
        <w:spacing w:before="100" w:beforeAutospacing="1" w:after="100" w:afterAutospacing="1" w:line="640" w:lineRule="atLeast"/>
        <w:ind w:firstLine="640"/>
        <w:jc w:val="right"/>
        <w:rPr>
          <w:rFonts w:ascii="微软雅黑" w:eastAsia="微软雅黑" w:hAnsi="微软雅黑" w:cs="宋体" w:hint="eastAsia"/>
          <w:color w:val="333333"/>
          <w:kern w:val="0"/>
          <w:sz w:val="24"/>
          <w:szCs w:val="24"/>
        </w:rPr>
      </w:pPr>
      <w:r w:rsidRPr="00C045D3">
        <w:rPr>
          <w:rFonts w:ascii="仿宋_GB2312" w:eastAsia="仿宋_GB2312" w:hAnsi="微软雅黑" w:cs="宋体" w:hint="eastAsia"/>
          <w:color w:val="333333"/>
          <w:kern w:val="0"/>
          <w:sz w:val="32"/>
          <w:szCs w:val="32"/>
        </w:rPr>
        <w:t>2019年11月29日</w:t>
      </w:r>
    </w:p>
    <w:p w14:paraId="77E7D43B" w14:textId="77777777" w:rsidR="00C045D3" w:rsidRPr="00C045D3" w:rsidRDefault="00C045D3" w:rsidP="00C045D3">
      <w:pPr>
        <w:widowControl/>
        <w:shd w:val="clear" w:color="auto" w:fill="FFFFFF"/>
        <w:spacing w:before="100" w:beforeAutospacing="1" w:after="100" w:afterAutospacing="1" w:line="560" w:lineRule="atLeast"/>
        <w:jc w:val="center"/>
        <w:rPr>
          <w:rFonts w:ascii="微软雅黑" w:eastAsia="微软雅黑" w:hAnsi="微软雅黑" w:cs="宋体" w:hint="eastAsia"/>
          <w:color w:val="333333"/>
          <w:kern w:val="0"/>
          <w:sz w:val="24"/>
          <w:szCs w:val="24"/>
        </w:rPr>
      </w:pPr>
      <w:r w:rsidRPr="00C045D3">
        <w:rPr>
          <w:rFonts w:ascii="宋体" w:eastAsia="宋体" w:hAnsi="宋体" w:cs="宋体" w:hint="eastAsia"/>
          <w:b/>
          <w:bCs/>
          <w:color w:val="333333"/>
          <w:kern w:val="0"/>
          <w:sz w:val="36"/>
          <w:szCs w:val="36"/>
        </w:rPr>
        <w:t> </w:t>
      </w:r>
    </w:p>
    <w:p w14:paraId="13C5DBF0" w14:textId="77777777" w:rsidR="00C045D3" w:rsidRPr="00C045D3" w:rsidRDefault="00C045D3" w:rsidP="00C045D3">
      <w:pPr>
        <w:widowControl/>
        <w:shd w:val="clear" w:color="auto" w:fill="FFFFFF"/>
        <w:spacing w:before="100" w:beforeAutospacing="1" w:after="100" w:afterAutospacing="1" w:line="560" w:lineRule="atLeast"/>
        <w:jc w:val="center"/>
        <w:rPr>
          <w:rFonts w:ascii="微软雅黑" w:eastAsia="微软雅黑" w:hAnsi="微软雅黑" w:cs="宋体" w:hint="eastAsia"/>
          <w:color w:val="333333"/>
          <w:kern w:val="0"/>
          <w:sz w:val="24"/>
          <w:szCs w:val="24"/>
        </w:rPr>
      </w:pPr>
      <w:r w:rsidRPr="00C045D3">
        <w:rPr>
          <w:rFonts w:ascii="宋体" w:eastAsia="宋体" w:hAnsi="宋体" w:cs="宋体" w:hint="eastAsia"/>
          <w:b/>
          <w:bCs/>
          <w:color w:val="333333"/>
          <w:kern w:val="0"/>
          <w:sz w:val="36"/>
          <w:szCs w:val="36"/>
        </w:rPr>
        <w:t> </w:t>
      </w:r>
    </w:p>
    <w:p w14:paraId="28934D72" w14:textId="77777777" w:rsidR="00C045D3" w:rsidRPr="00C045D3" w:rsidRDefault="00C045D3" w:rsidP="00C045D3">
      <w:pPr>
        <w:widowControl/>
        <w:shd w:val="clear" w:color="auto" w:fill="FFFFFF"/>
        <w:spacing w:before="100" w:beforeAutospacing="1" w:after="100" w:afterAutospacing="1" w:line="560" w:lineRule="atLeast"/>
        <w:jc w:val="center"/>
        <w:rPr>
          <w:rFonts w:ascii="微软雅黑" w:eastAsia="微软雅黑" w:hAnsi="微软雅黑" w:cs="宋体" w:hint="eastAsia"/>
          <w:color w:val="333333"/>
          <w:kern w:val="0"/>
          <w:sz w:val="24"/>
          <w:szCs w:val="24"/>
        </w:rPr>
      </w:pPr>
      <w:r w:rsidRPr="00C045D3">
        <w:rPr>
          <w:rFonts w:ascii="宋体" w:eastAsia="宋体" w:hAnsi="宋体" w:cs="宋体" w:hint="eastAsia"/>
          <w:b/>
          <w:bCs/>
          <w:color w:val="333333"/>
          <w:kern w:val="0"/>
          <w:sz w:val="36"/>
          <w:szCs w:val="36"/>
        </w:rPr>
        <w:t> </w:t>
      </w:r>
    </w:p>
    <w:p w14:paraId="360EDE4A" w14:textId="77777777" w:rsidR="00C045D3" w:rsidRPr="00C045D3" w:rsidRDefault="00C045D3" w:rsidP="00C045D3">
      <w:pPr>
        <w:widowControl/>
        <w:shd w:val="clear" w:color="auto" w:fill="FFFFFF"/>
        <w:spacing w:before="100" w:beforeAutospacing="1" w:after="100" w:afterAutospacing="1" w:line="560" w:lineRule="atLeast"/>
        <w:jc w:val="center"/>
        <w:rPr>
          <w:rFonts w:ascii="微软雅黑" w:eastAsia="微软雅黑" w:hAnsi="微软雅黑" w:cs="宋体" w:hint="eastAsia"/>
          <w:color w:val="333333"/>
          <w:kern w:val="0"/>
          <w:sz w:val="24"/>
          <w:szCs w:val="24"/>
        </w:rPr>
      </w:pPr>
      <w:r w:rsidRPr="00C045D3">
        <w:rPr>
          <w:rFonts w:ascii="宋体" w:eastAsia="宋体" w:hAnsi="宋体" w:cs="宋体" w:hint="eastAsia"/>
          <w:b/>
          <w:bCs/>
          <w:color w:val="333333"/>
          <w:kern w:val="0"/>
          <w:sz w:val="36"/>
          <w:szCs w:val="36"/>
        </w:rPr>
        <w:t> </w:t>
      </w:r>
    </w:p>
    <w:p w14:paraId="7372887C" w14:textId="77777777" w:rsidR="00C045D3" w:rsidRPr="00C045D3" w:rsidRDefault="00C045D3" w:rsidP="00C045D3">
      <w:pPr>
        <w:widowControl/>
        <w:shd w:val="clear" w:color="auto" w:fill="FFFFFF"/>
        <w:spacing w:before="100" w:beforeAutospacing="1" w:after="100" w:afterAutospacing="1" w:line="560" w:lineRule="atLeast"/>
        <w:jc w:val="center"/>
        <w:rPr>
          <w:rFonts w:ascii="微软雅黑" w:eastAsia="微软雅黑" w:hAnsi="微软雅黑" w:cs="宋体" w:hint="eastAsia"/>
          <w:color w:val="333333"/>
          <w:kern w:val="0"/>
          <w:sz w:val="24"/>
          <w:szCs w:val="24"/>
        </w:rPr>
      </w:pPr>
      <w:r w:rsidRPr="00C045D3">
        <w:rPr>
          <w:rFonts w:ascii="宋体" w:eastAsia="宋体" w:hAnsi="宋体" w:cs="宋体" w:hint="eastAsia"/>
          <w:b/>
          <w:bCs/>
          <w:color w:val="333333"/>
          <w:kern w:val="0"/>
          <w:sz w:val="36"/>
          <w:szCs w:val="36"/>
        </w:rPr>
        <w:t>中华人民共和国外资保险公司管理条例实施细则</w:t>
      </w:r>
    </w:p>
    <w:p w14:paraId="0BEAE174" w14:textId="77777777" w:rsidR="00C045D3" w:rsidRPr="00C045D3" w:rsidRDefault="00C045D3" w:rsidP="00C045D3">
      <w:pPr>
        <w:widowControl/>
        <w:shd w:val="clear" w:color="auto" w:fill="FFFFFF"/>
        <w:spacing w:before="100" w:beforeAutospacing="1" w:after="100" w:afterAutospacing="1" w:line="560" w:lineRule="atLeast"/>
        <w:jc w:val="center"/>
        <w:rPr>
          <w:rFonts w:ascii="微软雅黑" w:eastAsia="微软雅黑" w:hAnsi="微软雅黑" w:cs="宋体" w:hint="eastAsia"/>
          <w:color w:val="333333"/>
          <w:kern w:val="0"/>
          <w:sz w:val="24"/>
          <w:szCs w:val="24"/>
        </w:rPr>
      </w:pPr>
      <w:r w:rsidRPr="00C045D3">
        <w:rPr>
          <w:rFonts w:ascii="宋体" w:eastAsia="宋体" w:hAnsi="宋体" w:cs="宋体" w:hint="eastAsia"/>
          <w:b/>
          <w:bCs/>
          <w:color w:val="333333"/>
          <w:kern w:val="0"/>
          <w:sz w:val="36"/>
          <w:szCs w:val="36"/>
        </w:rPr>
        <w:t> </w:t>
      </w:r>
    </w:p>
    <w:p w14:paraId="4CD7E1E7"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lastRenderedPageBreak/>
        <w:t>第一条</w:t>
      </w:r>
      <w:r w:rsidRPr="00C045D3">
        <w:rPr>
          <w:rFonts w:ascii="仿宋" w:eastAsia="仿宋" w:hAnsi="仿宋" w:cs="宋体" w:hint="eastAsia"/>
          <w:color w:val="333333"/>
          <w:kern w:val="0"/>
          <w:sz w:val="32"/>
          <w:szCs w:val="32"/>
        </w:rPr>
        <w:t xml:space="preserve">　根据《中华人民共和国保险法》和《中华人民共和国外资保险公司管理条例》（以下简称《条例》），制定本细则。</w:t>
      </w:r>
    </w:p>
    <w:p w14:paraId="11022EB1"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《条例》所称外国保险公司，是指在中国境外注册、经营保险业务的保险公司。</w:t>
      </w:r>
    </w:p>
    <w:p w14:paraId="1BC5F2A0" w14:textId="77777777" w:rsidR="00C045D3" w:rsidRPr="00C045D3" w:rsidRDefault="00C045D3" w:rsidP="00C045D3">
      <w:pPr>
        <w:widowControl/>
        <w:shd w:val="clear" w:color="auto" w:fill="FFFFFF"/>
        <w:spacing w:before="100" w:beforeAutospacing="1" w:after="100" w:afterAutospacing="1"/>
        <w:ind w:firstLine="643"/>
        <w:jc w:val="left"/>
        <w:textAlignment w:val="center"/>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第三条</w:t>
      </w:r>
      <w:r w:rsidRPr="00C045D3">
        <w:rPr>
          <w:rFonts w:ascii="仿宋" w:eastAsia="仿宋" w:hAnsi="仿宋" w:cs="宋体" w:hint="eastAsia"/>
          <w:color w:val="333333"/>
          <w:kern w:val="0"/>
          <w:sz w:val="32"/>
          <w:szCs w:val="32"/>
        </w:rPr>
        <w:t xml:space="preserve">　外国保险公司与中国的公司、企业合资在中国境内设立经营人身保险业务的合资保险公司（以下简称合资寿险公司），其中外资比例不得超过公司总股本的51%。中国银行保险监督管理委员会（以下简称银保监会）另有规定的，适用其规定。</w:t>
      </w:r>
    </w:p>
    <w:p w14:paraId="13F9B20E"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外国保险公司直接或者间接持有的合资寿险公司股份，不得超过前款规定的比例限制。</w:t>
      </w:r>
    </w:p>
    <w:p w14:paraId="6D3072F6"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第四条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外资保险公司至少有1家经营正常的保险公司作为主要股东，进行股权变更的，变更后至少有1家经营正常的保险公司作为主要股东。</w:t>
      </w:r>
    </w:p>
    <w:p w14:paraId="76B74A30"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主要股东是指持股比例最大的股东，以及法律、行政法规、银保监会规定的其他对公司经营管理有重大影响的股东。股东与其关联方、一致行动人的持股比例合并计算。</w:t>
      </w:r>
      <w:r w:rsidRPr="00C045D3">
        <w:rPr>
          <w:rFonts w:ascii="Calibri" w:eastAsia="仿宋" w:hAnsi="Calibri" w:cs="Calibri"/>
          <w:color w:val="333333"/>
          <w:kern w:val="0"/>
          <w:sz w:val="32"/>
          <w:szCs w:val="32"/>
        </w:rPr>
        <w:t>                               </w:t>
      </w:r>
    </w:p>
    <w:p w14:paraId="70A61955"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lastRenderedPageBreak/>
        <w:t>第五条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外资保险公司主要股东应当承诺自取得股权之日起5年内不转让所持有的股权，并在外资保险公司章程中载明。</w:t>
      </w:r>
    </w:p>
    <w:p w14:paraId="2F26C27F"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经银保监会批准进行风险处置的，银保监会责令依法转让的，涉及司法强制执行的，或者在同一控制人控制的不同主体之间转让股权等特殊情形除外。</w:t>
      </w:r>
    </w:p>
    <w:p w14:paraId="7D005C46"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第六条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外资保险公司主要股东拟减持股权或者退出中国市场的，应当履行股东义务，保证保险公司偿付能力符合监管要求。</w:t>
      </w:r>
    </w:p>
    <w:p w14:paraId="11E0D6FA"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第七条</w:t>
      </w:r>
      <w:r w:rsidRPr="00C045D3">
        <w:rPr>
          <w:rFonts w:ascii="仿宋" w:eastAsia="仿宋" w:hAnsi="仿宋" w:cs="宋体" w:hint="eastAsia"/>
          <w:color w:val="333333"/>
          <w:kern w:val="0"/>
          <w:sz w:val="32"/>
          <w:szCs w:val="32"/>
        </w:rPr>
        <w:t xml:space="preserve">　外资保险公司的注册资本或者营运资金应当为实缴货币。</w:t>
      </w:r>
    </w:p>
    <w:p w14:paraId="79A3FDDF"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第八条</w:t>
      </w:r>
      <w:r w:rsidRPr="00C045D3">
        <w:rPr>
          <w:rFonts w:ascii="仿宋" w:eastAsia="仿宋" w:hAnsi="仿宋" w:cs="宋体" w:hint="eastAsia"/>
          <w:color w:val="333333"/>
          <w:kern w:val="0"/>
          <w:sz w:val="32"/>
          <w:szCs w:val="32"/>
        </w:rPr>
        <w:t xml:space="preserve">　外国保险公司分公司成立后，外国保险公司不得以任何形式抽回营运资金。</w:t>
      </w:r>
    </w:p>
    <w:p w14:paraId="234F580A"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第九条</w:t>
      </w:r>
      <w:r w:rsidRPr="00C045D3">
        <w:rPr>
          <w:rFonts w:ascii="Calibri" w:eastAsia="仿宋" w:hAnsi="Calibri" w:cs="Calibri"/>
          <w:b/>
          <w:bCs/>
          <w:color w:val="333333"/>
          <w:kern w:val="0"/>
          <w:sz w:val="32"/>
          <w:szCs w:val="32"/>
        </w:rPr>
        <w:t> </w:t>
      </w:r>
      <w:r w:rsidRPr="00C045D3">
        <w:rPr>
          <w:rFonts w:ascii="仿宋" w:eastAsia="仿宋" w:hAnsi="仿宋" w:cs="宋体" w:hint="eastAsia"/>
          <w:color w:val="333333"/>
          <w:kern w:val="0"/>
          <w:sz w:val="32"/>
          <w:szCs w:val="32"/>
        </w:rPr>
        <w:t>《条例》第八条第一项所称设立申请前1年年末，是指申请日的上一个会计年度末。</w:t>
      </w:r>
    </w:p>
    <w:p w14:paraId="35F12D35"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第十条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《条例》第八条第五项所称其他审慎性条件，至少包括下列条件：</w:t>
      </w:r>
    </w:p>
    <w:p w14:paraId="00601F3A"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（一）法人治理结构合理；</w:t>
      </w:r>
    </w:p>
    <w:p w14:paraId="029AA6CD"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lastRenderedPageBreak/>
        <w:t>（二）风险管理体系稳健；</w:t>
      </w:r>
    </w:p>
    <w:p w14:paraId="01FDB8D4"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（三）内部控制制度健全；</w:t>
      </w:r>
    </w:p>
    <w:p w14:paraId="7DA86143"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（四）管理信息系统有效；</w:t>
      </w:r>
    </w:p>
    <w:p w14:paraId="3FA83380"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（五）经营状况良好，无重大违法违规记录。</w:t>
      </w:r>
    </w:p>
    <w:p w14:paraId="32CC83CD"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第十一条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申请人不能提供《条例》第九条第二项要求的营业执照（副本）的，可以提供营业执照的有效复印件或者有关主管当局出具的该申请人有权经营保险业务的书面证明。</w:t>
      </w:r>
    </w:p>
    <w:p w14:paraId="6AE92231"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第十二条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《条例》第九条第二项所称外国申请人所在国家或者地区有关主管当局对其符合偿付能力标准的证明，应当包括下列内容之一：</w:t>
      </w:r>
    </w:p>
    <w:p w14:paraId="0CD1A006"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（一）在有关主管当局出具证明之日的上一个会计年度，该申请人的偿付能力符合该国家或者地区的监管要求；</w:t>
      </w:r>
    </w:p>
    <w:p w14:paraId="60F4C126"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（二）在有关主管当局出具证明之日的上一个会计年度中，该申请人没有不符合该国家或者地区偿付能力标准的记录。</w:t>
      </w:r>
    </w:p>
    <w:p w14:paraId="28A2A6C6"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lastRenderedPageBreak/>
        <w:t>第十三条</w:t>
      </w:r>
      <w:r w:rsidRPr="00C045D3">
        <w:rPr>
          <w:rFonts w:ascii="仿宋" w:eastAsia="仿宋" w:hAnsi="仿宋" w:cs="宋体" w:hint="eastAsia"/>
          <w:color w:val="333333"/>
          <w:kern w:val="0"/>
          <w:sz w:val="32"/>
          <w:szCs w:val="32"/>
        </w:rPr>
        <w:t xml:space="preserve">　《条例》第九条第二项所称外国申请人所在国家或者地区有关主管当局对其申请的意见书，应当包括下列内容：</w:t>
      </w:r>
    </w:p>
    <w:p w14:paraId="02E4B6DA"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（一）该申请人申请在中国境内设立保险机构是否符合该国家或者地区的法律规定;</w:t>
      </w:r>
    </w:p>
    <w:p w14:paraId="1B477029"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（二）是否同意该申请人的申请;</w:t>
      </w:r>
    </w:p>
    <w:p w14:paraId="1EA699C2"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（三）在有关主管当局出具意见之日的前3年，该申请人受处罚的记录。</w:t>
      </w:r>
    </w:p>
    <w:p w14:paraId="78656F2E"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第十四条</w:t>
      </w:r>
      <w:r w:rsidRPr="00C045D3">
        <w:rPr>
          <w:rFonts w:ascii="仿宋" w:eastAsia="仿宋" w:hAnsi="仿宋" w:cs="宋体" w:hint="eastAsia"/>
          <w:color w:val="333333"/>
          <w:kern w:val="0"/>
          <w:sz w:val="32"/>
          <w:szCs w:val="32"/>
        </w:rPr>
        <w:t xml:space="preserve">　《条例》第九条第三项所称年报，应当包括申请人在申请日的前3个会计年度的资产负债表、利润表和现金流量表。</w:t>
      </w:r>
    </w:p>
    <w:p w14:paraId="66673164"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前款所列报表应当附由申请人所在国家或者地区认可的会计师事务所或者审计师事务所出具的审计意见书。</w:t>
      </w:r>
    </w:p>
    <w:p w14:paraId="1FDEC8EF"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第十五条</w:t>
      </w:r>
      <w:r w:rsidRPr="00C045D3">
        <w:rPr>
          <w:rFonts w:ascii="仿宋" w:eastAsia="仿宋" w:hAnsi="仿宋" w:cs="宋体" w:hint="eastAsia"/>
          <w:color w:val="333333"/>
          <w:kern w:val="0"/>
          <w:sz w:val="32"/>
          <w:szCs w:val="32"/>
        </w:rPr>
        <w:t xml:space="preserve">　除法律、行政法规另有规定或者经国务院批准外，《条例》第九条第四项所称中国申请人应当符合《保险公司股权管理办法》等相关规定要求。</w:t>
      </w:r>
    </w:p>
    <w:p w14:paraId="40CF391D"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第十六条</w:t>
      </w:r>
      <w:r w:rsidRPr="00C045D3">
        <w:rPr>
          <w:rFonts w:ascii="仿宋" w:eastAsia="仿宋" w:hAnsi="仿宋" w:cs="宋体" w:hint="eastAsia"/>
          <w:color w:val="333333"/>
          <w:kern w:val="0"/>
          <w:sz w:val="32"/>
          <w:szCs w:val="32"/>
        </w:rPr>
        <w:t xml:space="preserve">　拟设外资保险公司的筹建负责人应当具备下列条件：</w:t>
      </w:r>
    </w:p>
    <w:p w14:paraId="68CEE187"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lastRenderedPageBreak/>
        <w:t>（一）大专以上学历；</w:t>
      </w:r>
    </w:p>
    <w:p w14:paraId="63AEE9A2"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（二）从事保险或者相关工作2年以上；</w:t>
      </w:r>
    </w:p>
    <w:p w14:paraId="4845D3C7"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（三）无违法犯罪记录。</w:t>
      </w:r>
    </w:p>
    <w:p w14:paraId="39DA50A9"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第十七条</w:t>
      </w:r>
      <w:r w:rsidRPr="00C045D3">
        <w:rPr>
          <w:rFonts w:ascii="仿宋" w:eastAsia="仿宋" w:hAnsi="仿宋" w:cs="宋体" w:hint="eastAsia"/>
          <w:color w:val="333333"/>
          <w:kern w:val="0"/>
          <w:sz w:val="32"/>
          <w:szCs w:val="32"/>
        </w:rPr>
        <w:t xml:space="preserve">　申请人根据《条例》第十一条规定申请延长筹建期的，应当在筹建期期满之日的前1个月以内向银保监会提交书面申请，并说明理由。</w:t>
      </w:r>
    </w:p>
    <w:p w14:paraId="0755354C"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第十八条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《条例》第十一条第一项所称筹建报告，应当对该条其他各项的内容作出综述。</w:t>
      </w:r>
    </w:p>
    <w:p w14:paraId="6AEA462D"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第十九条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《条例》第十一条第四项所称法定验资机构，是指符合银保监会要求的会计师事务所。</w:t>
      </w:r>
    </w:p>
    <w:p w14:paraId="38931493"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第二十条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《条例》第十一条第四项所称验资证明，应当包括下列内容：</w:t>
      </w:r>
    </w:p>
    <w:p w14:paraId="7D89185A"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（一）法定验资机构出具的验资报告；</w:t>
      </w:r>
    </w:p>
    <w:p w14:paraId="0F782371"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（二）注册资本或者营运资金的银行原始入账凭证的复印件。</w:t>
      </w:r>
    </w:p>
    <w:p w14:paraId="0EF46B83"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第二十一条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《条例》第十一条第五项所称主要负责人，是指拟设外国保险公司分公司的总经理。</w:t>
      </w:r>
    </w:p>
    <w:p w14:paraId="51CD42AD"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lastRenderedPageBreak/>
        <w:t>对拟任外国保险公司分公司主要负责人的授权书，是指由外国保险公司董事长或者总经理签署的、对拟任外国保险公司分公司总经理的授权书。</w:t>
      </w:r>
    </w:p>
    <w:p w14:paraId="4A83C8A1"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授权书应当明确记载被授权人的权限范围。</w:t>
      </w:r>
    </w:p>
    <w:p w14:paraId="3CB4A3E7"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第二十二条</w:t>
      </w:r>
      <w:r w:rsidRPr="00C045D3">
        <w:rPr>
          <w:rFonts w:ascii="仿宋" w:eastAsia="仿宋" w:hAnsi="仿宋" w:cs="宋体" w:hint="eastAsia"/>
          <w:color w:val="333333"/>
          <w:kern w:val="0"/>
          <w:sz w:val="32"/>
          <w:szCs w:val="32"/>
        </w:rPr>
        <w:t xml:space="preserve">　《条例》第十一条第六项所称拟设公司的高级管理人员，应当符合银保监会规定的任职资格条件。</w:t>
      </w:r>
    </w:p>
    <w:p w14:paraId="79009F78"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外国保险公司分公司的高级管理人员，应当具备保险公司总公司高级管理人员的任职资格条件。</w:t>
      </w:r>
    </w:p>
    <w:p w14:paraId="27F2B488"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第二十三条</w:t>
      </w:r>
      <w:r w:rsidRPr="00C045D3">
        <w:rPr>
          <w:rFonts w:ascii="仿宋" w:eastAsia="仿宋" w:hAnsi="仿宋" w:cs="宋体" w:hint="eastAsia"/>
          <w:color w:val="333333"/>
          <w:kern w:val="0"/>
          <w:sz w:val="32"/>
          <w:szCs w:val="32"/>
        </w:rPr>
        <w:t xml:space="preserve">　《条例》第十一条第九项所称拟设公司的营业场所的资料，是指营业场所所有权或者使用权的证明文件。</w:t>
      </w:r>
    </w:p>
    <w:p w14:paraId="25049BA7"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《条例》第十一条第九项所称与业务有关的其他设施的资料，至少包括计算机设备配置、网络建设情况以及信息管理系统情况。</w:t>
      </w:r>
    </w:p>
    <w:p w14:paraId="3CD40BC4"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第二十四条</w:t>
      </w:r>
      <w:r w:rsidRPr="00C045D3">
        <w:rPr>
          <w:rFonts w:ascii="仿宋" w:eastAsia="仿宋" w:hAnsi="仿宋" w:cs="宋体" w:hint="eastAsia"/>
          <w:color w:val="333333"/>
          <w:kern w:val="0"/>
          <w:sz w:val="32"/>
          <w:szCs w:val="32"/>
        </w:rPr>
        <w:t xml:space="preserve">　《条例》和本细则要求申请设立外资保险公司的外国保险公司提供的下列文件或者资料，应当真实有效：</w:t>
      </w:r>
    </w:p>
    <w:p w14:paraId="2DD43D97"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lastRenderedPageBreak/>
        <w:t>（一）营业执照（副本）或者营业执照的有效复印件；</w:t>
      </w:r>
    </w:p>
    <w:p w14:paraId="424B8619"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（二）对拟任外国保险公司分公司主要负责人的授权书；</w:t>
      </w:r>
    </w:p>
    <w:p w14:paraId="6664486B"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（三）外国保险公司对其中国境内分公司承担税务、债务的责任担保书。</w:t>
      </w:r>
    </w:p>
    <w:p w14:paraId="303B1AD2"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第二十五条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外资保险公司可以根据业务发展需要申请设立分支机构。</w:t>
      </w:r>
    </w:p>
    <w:p w14:paraId="6680BDFB"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外国保险公司分公司只能在其所在省、自治区或者直辖市的行政辖区内开展业务，银保监会另有规定的除外。</w:t>
      </w:r>
    </w:p>
    <w:p w14:paraId="74054243"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合资保险公司、独资保险公司在其住所地以外的各省、自治区、直辖市开展业务的，应当设立分支机构。分支机构的设立和管理适用银保监会的有关规定。</w:t>
      </w:r>
    </w:p>
    <w:p w14:paraId="08CBFCC1"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第二十六条</w:t>
      </w:r>
      <w:r w:rsidRPr="00C045D3">
        <w:rPr>
          <w:rFonts w:ascii="仿宋" w:eastAsia="仿宋" w:hAnsi="仿宋" w:cs="宋体" w:hint="eastAsia"/>
          <w:color w:val="333333"/>
          <w:kern w:val="0"/>
          <w:sz w:val="32"/>
          <w:szCs w:val="32"/>
        </w:rPr>
        <w:t xml:space="preserve">　外资保险公司及其分支机构的高级管理人员，其任职资格审核与管理，按照银保监会的有关规定执行，本细则另有规定的除外。</w:t>
      </w:r>
    </w:p>
    <w:p w14:paraId="14AC27B2"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第二十七条</w:t>
      </w:r>
      <w:r w:rsidRPr="00C045D3">
        <w:rPr>
          <w:rFonts w:ascii="仿宋" w:eastAsia="仿宋" w:hAnsi="仿宋" w:cs="宋体" w:hint="eastAsia"/>
          <w:color w:val="333333"/>
          <w:kern w:val="0"/>
          <w:sz w:val="32"/>
          <w:szCs w:val="32"/>
        </w:rPr>
        <w:t xml:space="preserve">　合资、独资财产保险公司因分立、合并或者公司章程规定的解散事由出现，申请解散的，应当报银保监会批准，并提交下列资料：</w:t>
      </w:r>
    </w:p>
    <w:p w14:paraId="2B7B9841"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lastRenderedPageBreak/>
        <w:t>（一）公司董事长签署的申请书；</w:t>
      </w:r>
    </w:p>
    <w:p w14:paraId="3F8CBF1E"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（二）公司股东会的决议；</w:t>
      </w:r>
    </w:p>
    <w:p w14:paraId="158CC302"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（三）拟成立的清算组人员构成及清算方案；</w:t>
      </w:r>
    </w:p>
    <w:p w14:paraId="5421E6C9"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（四）未了责任的处理方案。</w:t>
      </w:r>
    </w:p>
    <w:p w14:paraId="339F9CAA"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第二十八条</w:t>
      </w:r>
      <w:r w:rsidRPr="00C045D3">
        <w:rPr>
          <w:rFonts w:ascii="仿宋" w:eastAsia="仿宋" w:hAnsi="仿宋" w:cs="宋体" w:hint="eastAsia"/>
          <w:color w:val="333333"/>
          <w:kern w:val="0"/>
          <w:sz w:val="32"/>
          <w:szCs w:val="32"/>
        </w:rPr>
        <w:t xml:space="preserve">　经银保监会批准解散的合资、独资财产保险公司，应当自收到银保监会批准文件之日起，停止新的业务经营活动，向银保监会缴回经营保险业务许可证，并在15日内成立清算组。</w:t>
      </w:r>
    </w:p>
    <w:p w14:paraId="0D49F1F7"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第二十九条</w:t>
      </w:r>
      <w:r w:rsidRPr="00C045D3">
        <w:rPr>
          <w:rFonts w:ascii="仿宋" w:eastAsia="仿宋" w:hAnsi="仿宋" w:cs="宋体" w:hint="eastAsia"/>
          <w:color w:val="333333"/>
          <w:kern w:val="0"/>
          <w:sz w:val="32"/>
          <w:szCs w:val="32"/>
        </w:rPr>
        <w:t xml:space="preserve">　清算组应当自成立后5日内将公司开始清算程序的情况书面通知市场监督管理、税务、人力资源社会保障等有关部门。</w:t>
      </w:r>
    </w:p>
    <w:p w14:paraId="68D439CA"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第三十条</w:t>
      </w:r>
      <w:r w:rsidRPr="00C045D3">
        <w:rPr>
          <w:rFonts w:ascii="仿宋" w:eastAsia="仿宋" w:hAnsi="仿宋" w:cs="宋体" w:hint="eastAsia"/>
          <w:color w:val="333333"/>
          <w:kern w:val="0"/>
          <w:sz w:val="32"/>
          <w:szCs w:val="32"/>
        </w:rPr>
        <w:t xml:space="preserve">　清算组应当自成立之日起1个月内聘请符合银保监会要求的会计师事务所进行审计；自聘请之日起3个月内向银保监会提交审计报告。</w:t>
      </w:r>
    </w:p>
    <w:p w14:paraId="30B9E8E7"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第三十一条</w:t>
      </w:r>
      <w:r w:rsidRPr="00C045D3">
        <w:rPr>
          <w:rFonts w:ascii="仿宋" w:eastAsia="仿宋" w:hAnsi="仿宋" w:cs="宋体" w:hint="eastAsia"/>
          <w:color w:val="333333"/>
          <w:kern w:val="0"/>
          <w:sz w:val="32"/>
          <w:szCs w:val="32"/>
        </w:rPr>
        <w:t xml:space="preserve">　清算组应当在每月10号前向银保监会报送有关债务清偿、资产处置等最新情况报告。</w:t>
      </w:r>
    </w:p>
    <w:p w14:paraId="6728BCAF"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第三十二条</w:t>
      </w:r>
      <w:r w:rsidRPr="00C045D3">
        <w:rPr>
          <w:rFonts w:ascii="仿宋" w:eastAsia="仿宋" w:hAnsi="仿宋" w:cs="宋体" w:hint="eastAsia"/>
          <w:color w:val="333333"/>
          <w:kern w:val="0"/>
          <w:sz w:val="32"/>
          <w:szCs w:val="32"/>
        </w:rPr>
        <w:t xml:space="preserve">　《条例》第二十八条所称报纸，是指具有一定影响的全国性报纸。</w:t>
      </w:r>
    </w:p>
    <w:p w14:paraId="20DB6C74"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lastRenderedPageBreak/>
        <w:t>第三十三条</w:t>
      </w:r>
      <w:r w:rsidRPr="00C045D3">
        <w:rPr>
          <w:rFonts w:ascii="仿宋" w:eastAsia="仿宋" w:hAnsi="仿宋" w:cs="宋体" w:hint="eastAsia"/>
          <w:color w:val="333333"/>
          <w:kern w:val="0"/>
          <w:sz w:val="32"/>
          <w:szCs w:val="32"/>
        </w:rPr>
        <w:t xml:space="preserve">　外国财产保险公司申请撤销其在中国境内分公司的，应当报银保监会批准，并提交下列资料：</w:t>
      </w:r>
    </w:p>
    <w:p w14:paraId="1CDC60AE"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（一）外国财产保险公司董事长或者总经理签署的申请书；</w:t>
      </w:r>
    </w:p>
    <w:p w14:paraId="4D75B213"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（二）拟成立的清算组人员构成及清算方案；</w:t>
      </w:r>
    </w:p>
    <w:p w14:paraId="373D6BF4"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（三）未了责任的处理方案。</w:t>
      </w:r>
    </w:p>
    <w:p w14:paraId="4A633C71"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外国财产保险公司撤销其在中国境内分公司的具体程序，适用《条例》及本细则有关合资、外资财产保险公司申请解散的程序。</w:t>
      </w:r>
    </w:p>
    <w:p w14:paraId="5C129BDB"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外国财产保险公司分公司的总公司解散、依法被撤销或者宣告破产的，外国财产保险公司分公司的清算及债务处理适用《条例》第三十条及本细则有关合资、独资财产保险公司解散的相应规定。</w:t>
      </w:r>
    </w:p>
    <w:p w14:paraId="50F21479"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第三十四条</w:t>
      </w:r>
      <w:r w:rsidRPr="00C045D3">
        <w:rPr>
          <w:rFonts w:ascii="仿宋" w:eastAsia="仿宋" w:hAnsi="仿宋" w:cs="宋体" w:hint="eastAsia"/>
          <w:color w:val="333333"/>
          <w:kern w:val="0"/>
          <w:sz w:val="32"/>
          <w:szCs w:val="32"/>
        </w:rPr>
        <w:t xml:space="preserve">　外资保险公司违反本细则有关规定的，由银保监会依据《中华人民共和国保险法》《条例》等法律、行政法规进行处罚。</w:t>
      </w:r>
    </w:p>
    <w:p w14:paraId="72083FB8"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第三十五条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《条例》及本细则要求提交、报送的文件、资料和书面报告，应当提供中文本，中外文本表述不一致的，以中文本的表述为准。</w:t>
      </w:r>
    </w:p>
    <w:p w14:paraId="418166E9"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lastRenderedPageBreak/>
        <w:t>第三十六条</w:t>
      </w:r>
      <w:r w:rsidRPr="00C045D3">
        <w:rPr>
          <w:rFonts w:ascii="Calibri" w:eastAsia="仿宋" w:hAnsi="Calibri" w:cs="Calibri"/>
          <w:color w:val="333333"/>
          <w:kern w:val="0"/>
          <w:sz w:val="32"/>
          <w:szCs w:val="32"/>
        </w:rPr>
        <w:t> </w:t>
      </w:r>
      <w:r w:rsidRPr="00C045D3">
        <w:rPr>
          <w:rFonts w:ascii="仿宋" w:eastAsia="仿宋" w:hAnsi="仿宋" w:cs="宋体" w:hint="eastAsia"/>
          <w:color w:val="333333"/>
          <w:kern w:val="0"/>
          <w:sz w:val="32"/>
          <w:szCs w:val="32"/>
        </w:rPr>
        <w:t>《条例》及本细则规定的期限,从有关资料送达银保监会之日起计算。申请人申请文件不全、需要补交资料的，期限应当从申请人的补交资料送达银保监会之日起重新计算。</w:t>
      </w:r>
    </w:p>
    <w:p w14:paraId="1C55D63C"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本细则有关批准、报告期间的规定是指工作日。</w:t>
      </w:r>
    </w:p>
    <w:p w14:paraId="24086A41"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第三十七条</w:t>
      </w:r>
      <w:r w:rsidRPr="00C045D3">
        <w:rPr>
          <w:rFonts w:ascii="仿宋" w:eastAsia="仿宋" w:hAnsi="仿宋" w:cs="宋体" w:hint="eastAsia"/>
          <w:color w:val="333333"/>
          <w:kern w:val="0"/>
          <w:sz w:val="32"/>
          <w:szCs w:val="32"/>
        </w:rPr>
        <w:t xml:space="preserve">　对外资保险公司的管理，《条例》和本细则未作规定的，适用其他法律、行政法规与银保监会的有关规定。</w:t>
      </w:r>
    </w:p>
    <w:p w14:paraId="71E10AC3" w14:textId="77777777" w:rsidR="00C045D3" w:rsidRPr="00C045D3" w:rsidRDefault="00C045D3" w:rsidP="00C045D3">
      <w:pPr>
        <w:widowControl/>
        <w:shd w:val="clear" w:color="auto" w:fill="FFFFFF"/>
        <w:spacing w:before="100" w:beforeAutospacing="1" w:after="100" w:afterAutospacing="1" w:line="560" w:lineRule="atLeast"/>
        <w:ind w:firstLine="640"/>
        <w:jc w:val="left"/>
        <w:rPr>
          <w:rFonts w:ascii="微软雅黑" w:eastAsia="微软雅黑" w:hAnsi="微软雅黑" w:cs="宋体" w:hint="eastAsia"/>
          <w:color w:val="333333"/>
          <w:kern w:val="0"/>
          <w:sz w:val="24"/>
          <w:szCs w:val="24"/>
        </w:rPr>
      </w:pPr>
      <w:r w:rsidRPr="00C045D3">
        <w:rPr>
          <w:rFonts w:ascii="仿宋" w:eastAsia="仿宋" w:hAnsi="仿宋" w:cs="宋体" w:hint="eastAsia"/>
          <w:color w:val="333333"/>
          <w:kern w:val="0"/>
          <w:sz w:val="32"/>
          <w:szCs w:val="32"/>
        </w:rPr>
        <w:t>外资再保险公司的设立适用《再保险公司设立规定》，《再保险公司设立规定》未作规定的，适用本细则。</w:t>
      </w:r>
    </w:p>
    <w:p w14:paraId="6166E229"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第三十八条</w:t>
      </w:r>
      <w:r w:rsidRPr="00C045D3">
        <w:rPr>
          <w:rFonts w:ascii="仿宋" w:eastAsia="仿宋" w:hAnsi="仿宋" w:cs="宋体" w:hint="eastAsia"/>
          <w:color w:val="333333"/>
          <w:kern w:val="0"/>
          <w:sz w:val="32"/>
          <w:szCs w:val="32"/>
        </w:rPr>
        <w:t xml:space="preserve">　香港特别行政区、澳门特别行政区和台湾地区的保险公司在内地(大陆)设立和营业的保险公司，比照适用《条例》和本细则；法律、行政法规或者行政协议另有规定的，适用其规定。</w:t>
      </w:r>
    </w:p>
    <w:p w14:paraId="42FF1A88" w14:textId="77777777" w:rsidR="00C045D3" w:rsidRPr="00C045D3" w:rsidRDefault="00C045D3" w:rsidP="00C045D3">
      <w:pPr>
        <w:widowControl/>
        <w:shd w:val="clear" w:color="auto" w:fill="FFFFFF"/>
        <w:spacing w:before="100" w:beforeAutospacing="1" w:after="100" w:afterAutospacing="1" w:line="560" w:lineRule="atLeast"/>
        <w:ind w:firstLine="643"/>
        <w:jc w:val="left"/>
        <w:rPr>
          <w:rFonts w:ascii="微软雅黑" w:eastAsia="微软雅黑" w:hAnsi="微软雅黑" w:cs="宋体" w:hint="eastAsia"/>
          <w:color w:val="333333"/>
          <w:kern w:val="0"/>
          <w:sz w:val="24"/>
          <w:szCs w:val="24"/>
        </w:rPr>
      </w:pPr>
      <w:r w:rsidRPr="00C045D3">
        <w:rPr>
          <w:rFonts w:ascii="仿宋" w:eastAsia="仿宋" w:hAnsi="仿宋" w:cs="宋体" w:hint="eastAsia"/>
          <w:b/>
          <w:bCs/>
          <w:color w:val="333333"/>
          <w:kern w:val="0"/>
          <w:sz w:val="32"/>
          <w:szCs w:val="32"/>
        </w:rPr>
        <w:t>第三十九条</w:t>
      </w:r>
      <w:r w:rsidRPr="00C045D3">
        <w:rPr>
          <w:rFonts w:ascii="仿宋" w:eastAsia="仿宋" w:hAnsi="仿宋" w:cs="宋体" w:hint="eastAsia"/>
          <w:color w:val="333333"/>
          <w:kern w:val="0"/>
          <w:sz w:val="32"/>
          <w:szCs w:val="32"/>
        </w:rPr>
        <w:t xml:space="preserve">　本细则自公布之日起施行。原中国保险监督管理委员会2004年5月13日发布的《中华人民共和国外资保险公司管理条例实施细则》（保监会令2004年第4号）同时废止。</w:t>
      </w:r>
    </w:p>
    <w:p w14:paraId="0932F9C9" w14:textId="77777777" w:rsidR="00F43611" w:rsidRDefault="00F43611">
      <w:bookmarkStart w:id="0" w:name="_GoBack"/>
      <w:bookmarkEnd w:id="0"/>
    </w:p>
    <w:sectPr w:rsidR="00F43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66"/>
    <w:rsid w:val="00A57466"/>
    <w:rsid w:val="00C045D3"/>
    <w:rsid w:val="00F4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8BD99-043E-41DC-AA42-263C3E7C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yunlong</dc:creator>
  <cp:keywords/>
  <dc:description/>
  <cp:lastModifiedBy>peng yunlong</cp:lastModifiedBy>
  <cp:revision>3</cp:revision>
  <dcterms:created xsi:type="dcterms:W3CDTF">2019-12-09T05:43:00Z</dcterms:created>
  <dcterms:modified xsi:type="dcterms:W3CDTF">2019-12-09T05:43:00Z</dcterms:modified>
</cp:coreProperties>
</file>