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D6" w:rsidRDefault="00701BD6">
      <w:pPr>
        <w:pStyle w:val="Default"/>
        <w:spacing w:line="560" w:lineRule="exact"/>
        <w:rPr>
          <w:color w:val="auto"/>
        </w:rPr>
      </w:pPr>
    </w:p>
    <w:p w:rsidR="00701BD6" w:rsidRDefault="00701BD6">
      <w:pPr>
        <w:pStyle w:val="Default"/>
        <w:spacing w:line="560" w:lineRule="exact"/>
        <w:rPr>
          <w:color w:val="auto"/>
        </w:rPr>
      </w:pPr>
    </w:p>
    <w:p w:rsidR="00701BD6" w:rsidRDefault="00701BD6">
      <w:pPr>
        <w:pStyle w:val="Default"/>
        <w:spacing w:line="560" w:lineRule="exact"/>
        <w:rPr>
          <w:color w:val="auto"/>
        </w:rPr>
      </w:pPr>
    </w:p>
    <w:p w:rsidR="00701BD6" w:rsidRDefault="00701BD6">
      <w:pPr>
        <w:pStyle w:val="Default"/>
        <w:spacing w:line="560" w:lineRule="exact"/>
        <w:rPr>
          <w:color w:val="auto"/>
        </w:rPr>
      </w:pPr>
    </w:p>
    <w:p w:rsidR="00701BD6" w:rsidRDefault="002007C2">
      <w:pPr>
        <w:pStyle w:val="Default"/>
        <w:spacing w:line="560" w:lineRule="exact"/>
        <w:jc w:val="center"/>
        <w:rPr>
          <w:rFonts w:ascii="宋体" w:eastAsia="宋体" w:cs="宋体"/>
          <w:b/>
          <w:color w:val="auto"/>
          <w:sz w:val="44"/>
          <w:szCs w:val="52"/>
        </w:rPr>
      </w:pPr>
      <w:r>
        <w:rPr>
          <w:rFonts w:ascii="宋体" w:eastAsia="宋体" w:cs="宋体" w:hint="eastAsia"/>
          <w:b/>
          <w:color w:val="auto"/>
          <w:sz w:val="44"/>
          <w:szCs w:val="52"/>
        </w:rPr>
        <w:t>保险资产负债管理年度分析</w:t>
      </w:r>
      <w:r>
        <w:rPr>
          <w:rFonts w:ascii="宋体" w:eastAsia="宋体" w:cs="宋体"/>
          <w:b/>
          <w:color w:val="auto"/>
          <w:sz w:val="44"/>
          <w:szCs w:val="52"/>
        </w:rPr>
        <w:t>报告模板</w:t>
      </w:r>
    </w:p>
    <w:p w:rsidR="00701BD6" w:rsidRDefault="00701BD6">
      <w:pPr>
        <w:pStyle w:val="Default"/>
        <w:spacing w:line="560" w:lineRule="exact"/>
        <w:jc w:val="center"/>
        <w:rPr>
          <w:rFonts w:ascii="宋体" w:eastAsia="宋体" w:cs="宋体"/>
          <w:b/>
          <w:color w:val="auto"/>
          <w:sz w:val="44"/>
          <w:szCs w:val="44"/>
        </w:rPr>
      </w:pPr>
    </w:p>
    <w:p w:rsidR="00701BD6" w:rsidRDefault="00701BD6">
      <w:pPr>
        <w:pStyle w:val="Default"/>
        <w:spacing w:line="560" w:lineRule="exact"/>
        <w:jc w:val="center"/>
        <w:rPr>
          <w:rFonts w:ascii="宋体" w:eastAsia="宋体" w:cs="宋体"/>
          <w:b/>
          <w:color w:val="auto"/>
          <w:sz w:val="44"/>
          <w:szCs w:val="44"/>
        </w:rPr>
      </w:pPr>
    </w:p>
    <w:p w:rsidR="00701BD6" w:rsidRDefault="00701BD6">
      <w:pPr>
        <w:pStyle w:val="Default"/>
        <w:spacing w:line="560" w:lineRule="exact"/>
        <w:jc w:val="center"/>
        <w:rPr>
          <w:rFonts w:ascii="宋体" w:eastAsia="宋体" w:cs="宋体"/>
          <w:b/>
          <w:color w:val="auto"/>
          <w:sz w:val="44"/>
          <w:szCs w:val="44"/>
        </w:rPr>
      </w:pPr>
    </w:p>
    <w:p w:rsidR="00701BD6" w:rsidRDefault="00701BD6">
      <w:pPr>
        <w:pStyle w:val="Default"/>
        <w:spacing w:line="560" w:lineRule="exact"/>
        <w:jc w:val="center"/>
        <w:rPr>
          <w:rFonts w:ascii="宋体" w:eastAsia="宋体" w:cs="宋体"/>
          <w:b/>
          <w:color w:val="auto"/>
          <w:sz w:val="44"/>
          <w:szCs w:val="44"/>
        </w:rPr>
      </w:pPr>
    </w:p>
    <w:p w:rsidR="00701BD6" w:rsidRDefault="00701BD6">
      <w:pPr>
        <w:pStyle w:val="Default"/>
        <w:spacing w:line="560" w:lineRule="exact"/>
        <w:jc w:val="center"/>
        <w:rPr>
          <w:rFonts w:ascii="宋体" w:eastAsia="宋体" w:cs="宋体"/>
          <w:b/>
          <w:color w:val="auto"/>
          <w:sz w:val="44"/>
          <w:szCs w:val="44"/>
        </w:rPr>
      </w:pPr>
    </w:p>
    <w:p w:rsidR="00701BD6" w:rsidRDefault="002007C2">
      <w:pPr>
        <w:pStyle w:val="Default"/>
        <w:spacing w:line="560" w:lineRule="exact"/>
        <w:jc w:val="center"/>
        <w:rPr>
          <w:rFonts w:ascii="宋体" w:eastAsia="宋体" w:cs="宋体"/>
          <w:b/>
          <w:color w:val="auto"/>
          <w:sz w:val="44"/>
          <w:szCs w:val="44"/>
        </w:rPr>
      </w:pPr>
      <w:r>
        <w:rPr>
          <w:rFonts w:ascii="宋体" w:eastAsia="宋体" w:cs="宋体"/>
          <w:b/>
          <w:color w:val="auto"/>
          <w:sz w:val="44"/>
          <w:szCs w:val="44"/>
        </w:rPr>
        <w:br w:type="page"/>
      </w:r>
    </w:p>
    <w:p w:rsidR="00701BD6" w:rsidRDefault="002007C2">
      <w:pPr>
        <w:pStyle w:val="Default"/>
        <w:spacing w:line="560" w:lineRule="exact"/>
        <w:jc w:val="center"/>
        <w:outlineLvl w:val="0"/>
        <w:rPr>
          <w:rFonts w:asciiTheme="minorEastAsia" w:hAnsiTheme="minorEastAsia" w:cs="黑体"/>
          <w:b/>
          <w:color w:val="auto"/>
          <w:sz w:val="36"/>
          <w:szCs w:val="32"/>
        </w:rPr>
      </w:pPr>
      <w:r>
        <w:rPr>
          <w:rFonts w:asciiTheme="minorEastAsia" w:hAnsiTheme="minorEastAsia" w:cs="黑体"/>
          <w:b/>
          <w:color w:val="auto"/>
          <w:sz w:val="36"/>
          <w:szCs w:val="32"/>
        </w:rPr>
        <w:lastRenderedPageBreak/>
        <w:t>公司信息</w:t>
      </w:r>
    </w:p>
    <w:p w:rsidR="00701BD6" w:rsidRDefault="00701BD6">
      <w:pPr>
        <w:pStyle w:val="Default"/>
        <w:spacing w:line="560" w:lineRule="exact"/>
        <w:jc w:val="center"/>
        <w:rPr>
          <w:rFonts w:ascii="宋体" w:eastAsia="宋体" w:cs="宋体"/>
          <w:b/>
          <w:color w:val="auto"/>
          <w:sz w:val="44"/>
          <w:szCs w:val="44"/>
        </w:rPr>
      </w:pPr>
    </w:p>
    <w:tbl>
      <w:tblPr>
        <w:tblStyle w:val="ab"/>
        <w:tblpPr w:leftFromText="180" w:rightFromText="180" w:vertAnchor="page" w:horzAnchor="margin" w:tblpX="-540" w:tblpY="2421"/>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4296"/>
      </w:tblGrid>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公司名称：</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公司英文名称：</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法定代表人：</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注册地址：</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注册资本：</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经营保险业务许可证号：</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开业时间：</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经营范围：</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经营区域：</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报告联系人姓名：</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办公室电话：</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移动电话：</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r w:rsidR="00701BD6">
        <w:tc>
          <w:tcPr>
            <w:tcW w:w="4860" w:type="dxa"/>
            <w:vAlign w:val="center"/>
          </w:tcPr>
          <w:p w:rsidR="00701BD6" w:rsidRDefault="002007C2">
            <w:pPr>
              <w:spacing w:line="360" w:lineRule="auto"/>
              <w:ind w:left="0" w:firstLineChars="200" w:firstLine="652"/>
              <w:jc w:val="left"/>
              <w:rPr>
                <w:rFonts w:ascii="仿宋_GB2312" w:eastAsia="仿宋_GB2312"/>
                <w:color w:val="000000" w:themeColor="text1"/>
                <w:spacing w:val="6"/>
                <w:position w:val="2"/>
                <w:sz w:val="32"/>
                <w:szCs w:val="32"/>
              </w:rPr>
            </w:pPr>
            <w:r>
              <w:rPr>
                <w:rFonts w:ascii="仿宋_GB2312" w:eastAsia="仿宋_GB2312" w:hint="eastAsia"/>
                <w:color w:val="000000" w:themeColor="text1"/>
                <w:spacing w:val="6"/>
                <w:position w:val="2"/>
                <w:sz w:val="32"/>
                <w:szCs w:val="32"/>
              </w:rPr>
              <w:t>电子信箱：</w:t>
            </w:r>
          </w:p>
        </w:tc>
        <w:tc>
          <w:tcPr>
            <w:tcW w:w="4296" w:type="dxa"/>
          </w:tcPr>
          <w:p w:rsidR="00701BD6" w:rsidRDefault="00701BD6">
            <w:pPr>
              <w:spacing w:line="360" w:lineRule="auto"/>
              <w:ind w:left="0" w:firstLine="0"/>
              <w:jc w:val="left"/>
              <w:rPr>
                <w:rFonts w:ascii="仿宋_GB2312" w:eastAsia="仿宋_GB2312"/>
                <w:color w:val="000000" w:themeColor="text1"/>
                <w:spacing w:val="6"/>
                <w:position w:val="2"/>
                <w:sz w:val="32"/>
                <w:szCs w:val="32"/>
              </w:rPr>
            </w:pPr>
          </w:p>
        </w:tc>
      </w:tr>
    </w:tbl>
    <w:p w:rsidR="00701BD6" w:rsidRDefault="00701BD6">
      <w:pPr>
        <w:pStyle w:val="Default"/>
        <w:spacing w:line="560" w:lineRule="exact"/>
        <w:jc w:val="center"/>
        <w:rPr>
          <w:rFonts w:ascii="宋体" w:eastAsia="宋体" w:cs="宋体"/>
          <w:b/>
          <w:color w:val="auto"/>
          <w:sz w:val="44"/>
          <w:szCs w:val="44"/>
        </w:rPr>
      </w:pPr>
    </w:p>
    <w:p w:rsidR="00701BD6" w:rsidRDefault="00701BD6"/>
    <w:p w:rsidR="00701BD6" w:rsidRDefault="002007C2">
      <w:pPr>
        <w:sectPr w:rsidR="00701BD6">
          <w:pgSz w:w="11906" w:h="17338"/>
          <w:pgMar w:top="1276" w:right="1826" w:bottom="1276" w:left="1752" w:header="720" w:footer="720" w:gutter="0"/>
          <w:pgNumType w:start="1"/>
          <w:cols w:space="720"/>
        </w:sectPr>
      </w:pPr>
      <w:r>
        <w:br w:type="page"/>
      </w:r>
    </w:p>
    <w:p w:rsidR="00701BD6" w:rsidRDefault="002007C2">
      <w:pPr>
        <w:spacing w:line="560" w:lineRule="exact"/>
        <w:ind w:firstLine="720"/>
        <w:jc w:val="both"/>
        <w:outlineLvl w:val="0"/>
        <w:rPr>
          <w:rFonts w:ascii="黑体" w:eastAsia="黑体" w:hAnsi="黑体"/>
          <w:sz w:val="32"/>
          <w:szCs w:val="32"/>
        </w:rPr>
      </w:pPr>
      <w:r>
        <w:rPr>
          <w:rFonts w:ascii="黑体" w:eastAsia="黑体" w:hAnsi="黑体" w:hint="eastAsia"/>
          <w:sz w:val="32"/>
          <w:szCs w:val="32"/>
        </w:rPr>
        <w:lastRenderedPageBreak/>
        <w:t>一、基本情况</w:t>
      </w:r>
    </w:p>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t>（一）资产负债管理的目标及比较分析</w:t>
      </w:r>
    </w:p>
    <w:p w:rsidR="00701BD6" w:rsidRDefault="002007C2" w:rsidP="00247774">
      <w:pPr>
        <w:spacing w:after="0" w:line="560" w:lineRule="exact"/>
        <w:ind w:firstLine="720"/>
        <w:rPr>
          <w:rFonts w:ascii="仿宋_GB2312" w:eastAsia="仿宋_GB2312" w:hint="eastAsia"/>
          <w:sz w:val="32"/>
          <w:szCs w:val="24"/>
        </w:rPr>
      </w:pPr>
      <w:r>
        <w:rPr>
          <w:rFonts w:ascii="仿宋_GB2312" w:eastAsia="仿宋_GB2312" w:hint="eastAsia"/>
          <w:sz w:val="32"/>
          <w:szCs w:val="24"/>
        </w:rPr>
        <w:t>[资产负债管理目标包括但不限于期限结构目标、成本收益目标、流动性目标、偿付能力目标，目标可以是绝对值、相对值或区间值。]</w:t>
      </w:r>
    </w:p>
    <w:tbl>
      <w:tblPr>
        <w:tblStyle w:val="ab"/>
        <w:tblW w:w="8318" w:type="dxa"/>
        <w:tblLayout w:type="fixed"/>
        <w:tblLook w:val="04A0" w:firstRow="1" w:lastRow="0" w:firstColumn="1" w:lastColumn="0" w:noHBand="0" w:noVBand="1"/>
      </w:tblPr>
      <w:tblGrid>
        <w:gridCol w:w="1165"/>
        <w:gridCol w:w="2700"/>
        <w:gridCol w:w="900"/>
        <w:gridCol w:w="990"/>
        <w:gridCol w:w="990"/>
        <w:gridCol w:w="1573"/>
      </w:tblGrid>
      <w:tr w:rsidR="00701BD6">
        <w:tc>
          <w:tcPr>
            <w:tcW w:w="1165" w:type="dxa"/>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资产负债管理目标</w:t>
            </w:r>
          </w:p>
        </w:tc>
        <w:tc>
          <w:tcPr>
            <w:tcW w:w="2700" w:type="dxa"/>
            <w:vAlign w:val="center"/>
          </w:tcPr>
          <w:p w:rsidR="00701BD6" w:rsidRDefault="002007C2">
            <w:pPr>
              <w:jc w:val="center"/>
              <w:rPr>
                <w:rFonts w:ascii="仿宋_GB2312" w:eastAsia="仿宋_GB2312" w:hAnsi="仿宋"/>
                <w:sz w:val="20"/>
                <w:szCs w:val="20"/>
              </w:rPr>
            </w:pPr>
            <w:r>
              <w:rPr>
                <w:rFonts w:ascii="仿宋_GB2312" w:eastAsia="仿宋_GB2312" w:hAnsi="仿宋" w:hint="eastAsia"/>
                <w:sz w:val="20"/>
                <w:szCs w:val="20"/>
              </w:rPr>
              <w:t>资产负债管理指标</w:t>
            </w:r>
          </w:p>
        </w:tc>
        <w:tc>
          <w:tcPr>
            <w:tcW w:w="900" w:type="dxa"/>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本年度目标</w:t>
            </w:r>
          </w:p>
        </w:tc>
        <w:tc>
          <w:tcPr>
            <w:tcW w:w="990" w:type="dxa"/>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报告年度目标</w:t>
            </w:r>
          </w:p>
        </w:tc>
        <w:tc>
          <w:tcPr>
            <w:tcW w:w="990" w:type="dxa"/>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报告年度实际</w:t>
            </w:r>
          </w:p>
        </w:tc>
        <w:tc>
          <w:tcPr>
            <w:tcW w:w="1573" w:type="dxa"/>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报告年度目标与报告年度实际的比较分析</w:t>
            </w:r>
          </w:p>
        </w:tc>
      </w:tr>
      <w:tr w:rsidR="00701BD6">
        <w:tc>
          <w:tcPr>
            <w:tcW w:w="1165" w:type="dxa"/>
            <w:vMerge w:val="restart"/>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期限结构目标</w:t>
            </w:r>
          </w:p>
        </w:tc>
        <w:tc>
          <w:tcPr>
            <w:tcW w:w="5580" w:type="dxa"/>
            <w:gridSpan w:val="4"/>
            <w:shd w:val="clear" w:color="auto" w:fill="D0CECE" w:themeFill="background2" w:themeFillShade="E6"/>
          </w:tcPr>
          <w:p w:rsidR="00701BD6" w:rsidRDefault="002007C2">
            <w:pPr>
              <w:rPr>
                <w:rFonts w:ascii="仿宋_GB2312" w:eastAsia="仿宋_GB2312" w:hAnsi="仿宋"/>
                <w:sz w:val="20"/>
                <w:szCs w:val="20"/>
              </w:rPr>
            </w:pPr>
            <w:r>
              <w:rPr>
                <w:rFonts w:ascii="仿宋_GB2312" w:eastAsia="仿宋_GB2312" w:hAnsi="仿宋" w:hint="eastAsia"/>
                <w:sz w:val="20"/>
                <w:szCs w:val="20"/>
              </w:rPr>
              <w:t>人身保险公司：</w:t>
            </w:r>
          </w:p>
        </w:tc>
        <w:tc>
          <w:tcPr>
            <w:tcW w:w="1573" w:type="dxa"/>
            <w:vMerge w:val="restart"/>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公司自定的</w:t>
            </w:r>
            <w:proofErr w:type="gramStart"/>
            <w:r>
              <w:rPr>
                <w:rFonts w:ascii="仿宋_GB2312" w:eastAsia="仿宋_GB2312" w:hAnsi="仿宋" w:hint="eastAsia"/>
                <w:sz w:val="20"/>
                <w:szCs w:val="20"/>
              </w:rPr>
              <w:t>资产久期</w:t>
            </w:r>
            <w:proofErr w:type="gramEnd"/>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公司自定的负债现金流</w:t>
            </w:r>
            <w:proofErr w:type="gramStart"/>
            <w:r>
              <w:rPr>
                <w:rFonts w:ascii="仿宋_GB2312" w:eastAsia="仿宋_GB2312" w:hAnsi="仿宋" w:hint="eastAsia"/>
                <w:sz w:val="20"/>
                <w:szCs w:val="20"/>
              </w:rPr>
              <w:t>流入久期</w:t>
            </w:r>
            <w:proofErr w:type="gramEnd"/>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公司自定的负债现金流</w:t>
            </w:r>
            <w:proofErr w:type="gramStart"/>
            <w:r>
              <w:rPr>
                <w:rFonts w:ascii="仿宋_GB2312" w:eastAsia="仿宋_GB2312" w:hAnsi="仿宋" w:hint="eastAsia"/>
                <w:sz w:val="20"/>
                <w:szCs w:val="20"/>
              </w:rPr>
              <w:t>流出久期</w:t>
            </w:r>
            <w:proofErr w:type="gramEnd"/>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公司自定</w:t>
            </w:r>
            <w:proofErr w:type="gramStart"/>
            <w:r>
              <w:rPr>
                <w:rFonts w:ascii="仿宋_GB2312" w:eastAsia="仿宋_GB2312" w:hAnsi="仿宋" w:hint="eastAsia"/>
                <w:sz w:val="20"/>
                <w:szCs w:val="20"/>
              </w:rPr>
              <w:t>的久期缺口</w:t>
            </w:r>
            <w:proofErr w:type="gramEnd"/>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rPr>
                <w:rFonts w:ascii="仿宋_GB2312" w:eastAsia="仿宋_GB2312" w:hAnsi="仿宋"/>
                <w:sz w:val="20"/>
                <w:szCs w:val="20"/>
              </w:rPr>
            </w:pPr>
            <w:r>
              <w:rPr>
                <w:rFonts w:ascii="仿宋_GB2312" w:eastAsia="仿宋_GB2312" w:hAnsi="仿宋" w:hint="eastAsia"/>
                <w:sz w:val="20"/>
                <w:szCs w:val="20"/>
              </w:rPr>
              <w:t>其他</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5580" w:type="dxa"/>
            <w:gridSpan w:val="4"/>
            <w:shd w:val="clear" w:color="auto" w:fill="D0CECE" w:themeFill="background2" w:themeFillShade="E6"/>
          </w:tcPr>
          <w:p w:rsidR="00701BD6" w:rsidRDefault="002007C2">
            <w:pPr>
              <w:rPr>
                <w:rFonts w:ascii="仿宋_GB2312" w:eastAsia="仿宋_GB2312" w:hAnsi="仿宋"/>
                <w:sz w:val="20"/>
                <w:szCs w:val="20"/>
              </w:rPr>
            </w:pPr>
            <w:r>
              <w:rPr>
                <w:rFonts w:ascii="仿宋_GB2312" w:eastAsia="仿宋_GB2312" w:hAnsi="仿宋" w:hint="eastAsia"/>
                <w:sz w:val="20"/>
                <w:szCs w:val="20"/>
              </w:rPr>
              <w:t>财产保险公司：</w:t>
            </w: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沉淀资金缺口率</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中长期资产</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其他</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restart"/>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成本收益目标</w:t>
            </w: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公司自定的投资收益率</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val="restart"/>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公司自定的负债成本率</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公司自定的利差</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rPr>
                <w:rFonts w:ascii="仿宋_GB2312" w:eastAsia="仿宋_GB2312" w:hAnsi="仿宋"/>
                <w:sz w:val="20"/>
                <w:szCs w:val="20"/>
              </w:rPr>
            </w:pPr>
            <w:r>
              <w:rPr>
                <w:rFonts w:ascii="仿宋_GB2312" w:eastAsia="仿宋_GB2312" w:hAnsi="仿宋" w:hint="eastAsia"/>
                <w:sz w:val="20"/>
                <w:szCs w:val="20"/>
              </w:rPr>
              <w:t>其他</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restart"/>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流动性</w:t>
            </w:r>
          </w:p>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目标</w:t>
            </w:r>
          </w:p>
        </w:tc>
        <w:tc>
          <w:tcPr>
            <w:tcW w:w="5580" w:type="dxa"/>
            <w:gridSpan w:val="4"/>
            <w:shd w:val="clear" w:color="auto" w:fill="D0CECE" w:themeFill="background2" w:themeFillShade="E6"/>
          </w:tcPr>
          <w:p w:rsidR="00701BD6" w:rsidRDefault="002007C2">
            <w:pPr>
              <w:rPr>
                <w:rFonts w:ascii="仿宋_GB2312" w:eastAsia="仿宋_GB2312" w:hAnsi="仿宋"/>
                <w:sz w:val="20"/>
                <w:szCs w:val="20"/>
              </w:rPr>
            </w:pPr>
            <w:r>
              <w:rPr>
                <w:rFonts w:ascii="仿宋_GB2312" w:eastAsia="仿宋_GB2312" w:hAnsi="仿宋" w:hint="eastAsia"/>
                <w:sz w:val="20"/>
                <w:szCs w:val="20"/>
              </w:rPr>
              <w:t>人身保险公司：</w:t>
            </w:r>
          </w:p>
        </w:tc>
        <w:tc>
          <w:tcPr>
            <w:tcW w:w="1573" w:type="dxa"/>
            <w:vMerge w:val="restart"/>
          </w:tcPr>
          <w:p w:rsidR="00701BD6" w:rsidRDefault="00701BD6">
            <w:pPr>
              <w:rPr>
                <w:rFonts w:ascii="仿宋_GB2312" w:eastAsia="仿宋_GB2312" w:hAnsi="仿宋"/>
                <w:sz w:val="20"/>
                <w:szCs w:val="20"/>
              </w:rPr>
            </w:pPr>
          </w:p>
        </w:tc>
      </w:tr>
      <w:tr w:rsidR="00701BD6">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rPr>
                <w:rFonts w:ascii="仿宋_GB2312" w:eastAsia="仿宋_GB2312" w:hAnsi="仿宋"/>
                <w:sz w:val="20"/>
                <w:szCs w:val="20"/>
              </w:rPr>
            </w:pPr>
            <w:r>
              <w:rPr>
                <w:rFonts w:ascii="仿宋_GB2312" w:eastAsia="仿宋_GB2312" w:hAnsi="仿宋" w:hint="eastAsia"/>
                <w:sz w:val="20"/>
                <w:szCs w:val="20"/>
              </w:rPr>
              <w:t>公司自定的流动性目标</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rPr>
          <w:trHeight w:val="244"/>
        </w:trPr>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rPr>
                <w:rFonts w:ascii="仿宋_GB2312" w:eastAsia="仿宋_GB2312" w:hAnsi="仿宋"/>
                <w:sz w:val="20"/>
                <w:szCs w:val="20"/>
              </w:rPr>
            </w:pPr>
            <w:r>
              <w:rPr>
                <w:rFonts w:ascii="仿宋_GB2312" w:eastAsia="仿宋_GB2312" w:hAnsi="仿宋" w:hint="eastAsia"/>
                <w:sz w:val="20"/>
                <w:szCs w:val="20"/>
              </w:rPr>
              <w:t>其他</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rPr>
          <w:trHeight w:val="244"/>
        </w:trPr>
        <w:tc>
          <w:tcPr>
            <w:tcW w:w="1165" w:type="dxa"/>
            <w:vMerge/>
            <w:vAlign w:val="center"/>
          </w:tcPr>
          <w:p w:rsidR="00701BD6" w:rsidRDefault="00701BD6">
            <w:pPr>
              <w:jc w:val="center"/>
              <w:rPr>
                <w:rFonts w:ascii="仿宋_GB2312" w:eastAsia="仿宋_GB2312" w:hAnsi="仿宋"/>
                <w:sz w:val="20"/>
                <w:szCs w:val="20"/>
              </w:rPr>
            </w:pPr>
          </w:p>
        </w:tc>
        <w:tc>
          <w:tcPr>
            <w:tcW w:w="5580" w:type="dxa"/>
            <w:gridSpan w:val="4"/>
            <w:shd w:val="clear" w:color="auto" w:fill="D0CECE" w:themeFill="background2" w:themeFillShade="E6"/>
          </w:tcPr>
          <w:p w:rsidR="00701BD6" w:rsidRDefault="002007C2">
            <w:pPr>
              <w:rPr>
                <w:rFonts w:ascii="仿宋_GB2312" w:eastAsia="仿宋_GB2312" w:hAnsi="仿宋"/>
                <w:sz w:val="20"/>
                <w:szCs w:val="20"/>
              </w:rPr>
            </w:pPr>
            <w:r>
              <w:rPr>
                <w:rFonts w:ascii="仿宋_GB2312" w:eastAsia="仿宋_GB2312" w:hAnsi="仿宋" w:hint="eastAsia"/>
                <w:sz w:val="20"/>
                <w:szCs w:val="20"/>
              </w:rPr>
              <w:t>财产保险公司：</w:t>
            </w:r>
          </w:p>
        </w:tc>
        <w:tc>
          <w:tcPr>
            <w:tcW w:w="1573" w:type="dxa"/>
            <w:vMerge/>
          </w:tcPr>
          <w:p w:rsidR="00701BD6" w:rsidRDefault="00701BD6">
            <w:pPr>
              <w:rPr>
                <w:rFonts w:ascii="仿宋_GB2312" w:eastAsia="仿宋_GB2312" w:hAnsi="仿宋"/>
                <w:sz w:val="20"/>
                <w:szCs w:val="20"/>
              </w:rPr>
            </w:pPr>
          </w:p>
        </w:tc>
      </w:tr>
      <w:tr w:rsidR="00701BD6">
        <w:trPr>
          <w:trHeight w:val="244"/>
        </w:trPr>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rPr>
                <w:rFonts w:ascii="仿宋_GB2312" w:eastAsia="仿宋_GB2312" w:hAnsi="仿宋"/>
                <w:sz w:val="20"/>
                <w:szCs w:val="20"/>
              </w:rPr>
            </w:pPr>
            <w:r>
              <w:rPr>
                <w:rFonts w:ascii="仿宋_GB2312" w:eastAsia="仿宋_GB2312" w:hAnsi="仿宋" w:hint="eastAsia"/>
                <w:sz w:val="20"/>
                <w:szCs w:val="20"/>
              </w:rPr>
              <w:t>公司自定的流动性目标</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rPr>
          <w:trHeight w:val="244"/>
        </w:trPr>
        <w:tc>
          <w:tcPr>
            <w:tcW w:w="1165" w:type="dxa"/>
            <w:vMerge/>
            <w:vAlign w:val="center"/>
          </w:tcPr>
          <w:p w:rsidR="00701BD6" w:rsidRDefault="00701BD6">
            <w:pPr>
              <w:jc w:val="cente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其他</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val="restart"/>
            <w:vAlign w:val="center"/>
          </w:tcPr>
          <w:p w:rsidR="00701BD6" w:rsidRDefault="002007C2">
            <w:pPr>
              <w:ind w:left="0" w:firstLine="0"/>
              <w:jc w:val="center"/>
              <w:rPr>
                <w:rFonts w:ascii="仿宋_GB2312" w:eastAsia="仿宋_GB2312" w:hAnsi="仿宋"/>
                <w:sz w:val="20"/>
                <w:szCs w:val="20"/>
              </w:rPr>
            </w:pPr>
            <w:r>
              <w:rPr>
                <w:rFonts w:ascii="仿宋_GB2312" w:eastAsia="仿宋_GB2312" w:hAnsi="仿宋" w:hint="eastAsia"/>
                <w:sz w:val="20"/>
                <w:szCs w:val="20"/>
              </w:rPr>
              <w:t>偿付能力目标</w:t>
            </w: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综合偿付能力充足率</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val="restart"/>
          </w:tcPr>
          <w:p w:rsidR="00701BD6" w:rsidRDefault="00701BD6">
            <w:pPr>
              <w:rPr>
                <w:rFonts w:ascii="仿宋_GB2312" w:eastAsia="仿宋_GB2312" w:hAnsi="仿宋"/>
                <w:sz w:val="20"/>
                <w:szCs w:val="20"/>
              </w:rPr>
            </w:pPr>
          </w:p>
        </w:tc>
      </w:tr>
      <w:tr w:rsidR="00701BD6">
        <w:tc>
          <w:tcPr>
            <w:tcW w:w="1165" w:type="dxa"/>
            <w:vMerge/>
          </w:tcPr>
          <w:p w:rsidR="00701BD6" w:rsidRDefault="00701BD6">
            <w:pPr>
              <w:rPr>
                <w:rFonts w:ascii="仿宋_GB2312" w:eastAsia="仿宋_GB2312" w:hAnsi="仿宋"/>
                <w:sz w:val="20"/>
                <w:szCs w:val="20"/>
              </w:rPr>
            </w:pPr>
          </w:p>
        </w:tc>
        <w:tc>
          <w:tcPr>
            <w:tcW w:w="2700" w:type="dxa"/>
          </w:tcPr>
          <w:p w:rsidR="00701BD6" w:rsidRDefault="002007C2">
            <w:pPr>
              <w:ind w:left="0" w:firstLine="0"/>
              <w:rPr>
                <w:rFonts w:ascii="仿宋_GB2312" w:eastAsia="仿宋_GB2312" w:hAnsi="仿宋"/>
                <w:sz w:val="20"/>
                <w:szCs w:val="20"/>
              </w:rPr>
            </w:pPr>
            <w:r>
              <w:rPr>
                <w:rFonts w:ascii="仿宋_GB2312" w:eastAsia="仿宋_GB2312" w:hAnsi="仿宋" w:hint="eastAsia"/>
                <w:sz w:val="20"/>
                <w:szCs w:val="20"/>
              </w:rPr>
              <w:t>核心偿付能力充足率</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701BD6">
        <w:tc>
          <w:tcPr>
            <w:tcW w:w="1165" w:type="dxa"/>
            <w:vMerge/>
          </w:tcPr>
          <w:p w:rsidR="00701BD6" w:rsidRDefault="00701BD6">
            <w:pPr>
              <w:rPr>
                <w:rFonts w:ascii="仿宋_GB2312" w:eastAsia="仿宋_GB2312" w:hAnsi="仿宋"/>
                <w:sz w:val="20"/>
                <w:szCs w:val="20"/>
              </w:rPr>
            </w:pPr>
          </w:p>
        </w:tc>
        <w:tc>
          <w:tcPr>
            <w:tcW w:w="2700" w:type="dxa"/>
          </w:tcPr>
          <w:p w:rsidR="00701BD6" w:rsidRDefault="002007C2">
            <w:pPr>
              <w:rPr>
                <w:rFonts w:ascii="仿宋_GB2312" w:eastAsia="仿宋_GB2312" w:hAnsi="仿宋"/>
                <w:sz w:val="20"/>
                <w:szCs w:val="20"/>
              </w:rPr>
            </w:pPr>
            <w:r>
              <w:rPr>
                <w:rFonts w:ascii="仿宋_GB2312" w:eastAsia="仿宋_GB2312" w:hAnsi="仿宋" w:hint="eastAsia"/>
                <w:sz w:val="20"/>
                <w:szCs w:val="20"/>
              </w:rPr>
              <w:t>其他</w:t>
            </w:r>
          </w:p>
        </w:tc>
        <w:tc>
          <w:tcPr>
            <w:tcW w:w="90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990" w:type="dxa"/>
          </w:tcPr>
          <w:p w:rsidR="00701BD6" w:rsidRDefault="00701BD6">
            <w:pPr>
              <w:rPr>
                <w:rFonts w:ascii="仿宋_GB2312" w:eastAsia="仿宋_GB2312" w:hAnsi="仿宋"/>
                <w:sz w:val="20"/>
                <w:szCs w:val="20"/>
              </w:rPr>
            </w:pPr>
          </w:p>
        </w:tc>
        <w:tc>
          <w:tcPr>
            <w:tcW w:w="1573" w:type="dxa"/>
            <w:vMerge/>
          </w:tcPr>
          <w:p w:rsidR="00701BD6" w:rsidRDefault="00701BD6">
            <w:pPr>
              <w:rPr>
                <w:rFonts w:ascii="仿宋_GB2312" w:eastAsia="仿宋_GB2312" w:hAnsi="仿宋"/>
                <w:sz w:val="20"/>
                <w:szCs w:val="20"/>
              </w:rPr>
            </w:pPr>
          </w:p>
        </w:tc>
      </w:tr>
      <w:tr w:rsidR="004F3D74">
        <w:tc>
          <w:tcPr>
            <w:tcW w:w="1165" w:type="dxa"/>
          </w:tcPr>
          <w:p w:rsidR="004F3D74" w:rsidRDefault="004F3D74">
            <w:pPr>
              <w:rPr>
                <w:rFonts w:ascii="仿宋_GB2312" w:eastAsia="仿宋_GB2312" w:hAnsi="仿宋"/>
                <w:sz w:val="20"/>
                <w:szCs w:val="20"/>
              </w:rPr>
            </w:pPr>
            <w:r>
              <w:rPr>
                <w:rFonts w:ascii="仿宋_GB2312" w:eastAsia="仿宋_GB2312" w:hAnsi="仿宋"/>
                <w:sz w:val="20"/>
                <w:szCs w:val="20"/>
              </w:rPr>
              <w:t>其他目标</w:t>
            </w:r>
          </w:p>
        </w:tc>
        <w:tc>
          <w:tcPr>
            <w:tcW w:w="2700" w:type="dxa"/>
          </w:tcPr>
          <w:p w:rsidR="004F3D74" w:rsidRDefault="004F3D74">
            <w:pPr>
              <w:rPr>
                <w:rFonts w:ascii="仿宋_GB2312" w:eastAsia="仿宋_GB2312" w:hAnsi="仿宋"/>
                <w:sz w:val="20"/>
                <w:szCs w:val="20"/>
              </w:rPr>
            </w:pPr>
          </w:p>
        </w:tc>
        <w:tc>
          <w:tcPr>
            <w:tcW w:w="900" w:type="dxa"/>
          </w:tcPr>
          <w:p w:rsidR="004F3D74" w:rsidRDefault="004F3D74">
            <w:pPr>
              <w:rPr>
                <w:rFonts w:ascii="仿宋_GB2312" w:eastAsia="仿宋_GB2312" w:hAnsi="仿宋"/>
                <w:sz w:val="20"/>
                <w:szCs w:val="20"/>
              </w:rPr>
            </w:pPr>
          </w:p>
        </w:tc>
        <w:tc>
          <w:tcPr>
            <w:tcW w:w="990" w:type="dxa"/>
          </w:tcPr>
          <w:p w:rsidR="004F3D74" w:rsidRDefault="004F3D74">
            <w:pPr>
              <w:rPr>
                <w:rFonts w:ascii="仿宋_GB2312" w:eastAsia="仿宋_GB2312" w:hAnsi="仿宋"/>
                <w:sz w:val="20"/>
                <w:szCs w:val="20"/>
              </w:rPr>
            </w:pPr>
          </w:p>
        </w:tc>
        <w:tc>
          <w:tcPr>
            <w:tcW w:w="990" w:type="dxa"/>
          </w:tcPr>
          <w:p w:rsidR="004F3D74" w:rsidRDefault="004F3D74">
            <w:pPr>
              <w:rPr>
                <w:rFonts w:ascii="仿宋_GB2312" w:eastAsia="仿宋_GB2312" w:hAnsi="仿宋"/>
                <w:sz w:val="20"/>
                <w:szCs w:val="20"/>
              </w:rPr>
            </w:pPr>
          </w:p>
        </w:tc>
        <w:tc>
          <w:tcPr>
            <w:tcW w:w="1573" w:type="dxa"/>
          </w:tcPr>
          <w:p w:rsidR="004F3D74" w:rsidRDefault="004F3D74">
            <w:pPr>
              <w:rPr>
                <w:rFonts w:ascii="仿宋_GB2312" w:eastAsia="仿宋_GB2312" w:hAnsi="仿宋"/>
                <w:sz w:val="20"/>
                <w:szCs w:val="20"/>
              </w:rPr>
            </w:pPr>
          </w:p>
        </w:tc>
      </w:tr>
    </w:tbl>
    <w:p w:rsidR="00701BD6" w:rsidRDefault="002007C2">
      <w:pPr>
        <w:rPr>
          <w:rFonts w:ascii="仿宋_GB2312" w:eastAsia="仿宋_GB2312" w:hAnsiTheme="majorHAnsi" w:cstheme="majorBidi"/>
          <w:sz w:val="32"/>
          <w:szCs w:val="32"/>
        </w:rPr>
      </w:pPr>
      <w:r>
        <w:rPr>
          <w:rFonts w:ascii="仿宋_GB2312" w:eastAsia="仿宋_GB2312"/>
          <w:sz w:val="32"/>
          <w:szCs w:val="32"/>
        </w:rPr>
        <w:br w:type="page"/>
      </w:r>
    </w:p>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lastRenderedPageBreak/>
        <w:t>（二）资产负债管理的组织架构图及人员和职责安排（与签字</w:t>
      </w:r>
      <w:proofErr w:type="gramStart"/>
      <w:r>
        <w:rPr>
          <w:rFonts w:ascii="华文楷体" w:eastAsia="华文楷体" w:hAnsi="华文楷体" w:hint="eastAsia"/>
          <w:b/>
          <w:color w:val="auto"/>
          <w:sz w:val="32"/>
          <w:szCs w:val="32"/>
        </w:rPr>
        <w:t>页一起</w:t>
      </w:r>
      <w:proofErr w:type="gramEnd"/>
      <w:r>
        <w:rPr>
          <w:rFonts w:ascii="华文楷体" w:eastAsia="华文楷体" w:hAnsi="华文楷体" w:hint="eastAsia"/>
          <w:b/>
          <w:color w:val="auto"/>
          <w:sz w:val="32"/>
          <w:szCs w:val="32"/>
        </w:rPr>
        <w:t>报送）</w:t>
      </w:r>
    </w:p>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[人员包括董事会</w:t>
      </w:r>
      <w:r>
        <w:rPr>
          <w:rFonts w:ascii="仿宋_GB2312" w:eastAsia="仿宋_GB2312" w:hint="eastAsia"/>
          <w:sz w:val="32"/>
          <w:szCs w:val="24"/>
        </w:rPr>
        <w:t>成员、资产负债管理专委会成员、资产负债管理执委会成员，以及秘书处和相关职能部门成员，</w:t>
      </w:r>
      <w:r>
        <w:rPr>
          <w:rFonts w:ascii="仿宋_GB2312" w:eastAsia="仿宋_GB2312"/>
          <w:sz w:val="32"/>
          <w:szCs w:val="24"/>
        </w:rPr>
        <w:t>名单列</w:t>
      </w:r>
      <w:proofErr w:type="gramStart"/>
      <w:r>
        <w:rPr>
          <w:rFonts w:ascii="仿宋_GB2312" w:eastAsia="仿宋_GB2312"/>
          <w:sz w:val="32"/>
          <w:szCs w:val="24"/>
        </w:rPr>
        <w:t>至部门</w:t>
      </w:r>
      <w:proofErr w:type="gramEnd"/>
      <w:r>
        <w:rPr>
          <w:rFonts w:ascii="仿宋_GB2312" w:eastAsia="仿宋_GB2312"/>
          <w:sz w:val="32"/>
          <w:szCs w:val="24"/>
        </w:rPr>
        <w:t>负责人</w:t>
      </w:r>
      <w:r>
        <w:rPr>
          <w:rFonts w:ascii="仿宋_GB2312" w:eastAsia="仿宋_GB2312" w:hint="eastAsia"/>
          <w:sz w:val="32"/>
          <w:szCs w:val="24"/>
        </w:rPr>
        <w:t>。</w:t>
      </w:r>
      <w:r>
        <w:rPr>
          <w:rFonts w:ascii="仿宋_GB2312" w:eastAsia="仿宋_GB2312"/>
          <w:sz w:val="32"/>
          <w:szCs w:val="24"/>
        </w:rPr>
        <w:t>]</w:t>
      </w:r>
    </w:p>
    <w:p w:rsidR="00701BD6" w:rsidRDefault="00701BD6">
      <w:pPr>
        <w:spacing w:after="0" w:line="560" w:lineRule="exact"/>
        <w:ind w:firstLine="720"/>
        <w:rPr>
          <w:rFonts w:ascii="仿宋_GB2312" w:eastAsia="仿宋_GB2312"/>
          <w:sz w:val="24"/>
          <w:szCs w:val="24"/>
        </w:rPr>
      </w:pPr>
    </w:p>
    <w:p w:rsidR="00701BD6" w:rsidRDefault="002007C2">
      <w:pPr>
        <w:spacing w:line="560" w:lineRule="exact"/>
        <w:ind w:firstLine="720"/>
        <w:rPr>
          <w:rFonts w:ascii="华文楷体" w:eastAsia="华文楷体" w:hAnsi="华文楷体"/>
          <w:b/>
          <w:sz w:val="32"/>
          <w:szCs w:val="32"/>
        </w:rPr>
      </w:pPr>
      <w:r>
        <w:rPr>
          <w:rFonts w:ascii="华文楷体" w:eastAsia="华文楷体" w:hAnsi="华文楷体" w:hint="eastAsia"/>
          <w:b/>
          <w:sz w:val="32"/>
          <w:szCs w:val="32"/>
        </w:rPr>
        <w:t>（三）资产负债管理的流程图（与签字</w:t>
      </w:r>
      <w:proofErr w:type="gramStart"/>
      <w:r>
        <w:rPr>
          <w:rFonts w:ascii="华文楷体" w:eastAsia="华文楷体" w:hAnsi="华文楷体" w:hint="eastAsia"/>
          <w:b/>
          <w:sz w:val="32"/>
          <w:szCs w:val="32"/>
        </w:rPr>
        <w:t>页一起</w:t>
      </w:r>
      <w:proofErr w:type="gramEnd"/>
      <w:r>
        <w:rPr>
          <w:rFonts w:ascii="华文楷体" w:eastAsia="华文楷体" w:hAnsi="华文楷体" w:hint="eastAsia"/>
          <w:b/>
          <w:sz w:val="32"/>
          <w:szCs w:val="32"/>
        </w:rPr>
        <w:t>报送）</w:t>
      </w:r>
    </w:p>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[包括业务规划、产品开发和定价、资产配置、资产负债风险管理、流动性管理等资产负债管理流程图</w:t>
      </w:r>
      <w:r w:rsidR="00247774">
        <w:rPr>
          <w:rFonts w:ascii="仿宋_GB2312" w:eastAsia="仿宋_GB2312" w:hint="eastAsia"/>
          <w:sz w:val="32"/>
          <w:szCs w:val="24"/>
        </w:rPr>
        <w:t>。</w:t>
      </w:r>
      <w:bookmarkStart w:id="0" w:name="_GoBack"/>
      <w:bookmarkEnd w:id="0"/>
      <w:r>
        <w:rPr>
          <w:rFonts w:ascii="仿宋_GB2312" w:eastAsia="仿宋_GB2312" w:hint="eastAsia"/>
          <w:sz w:val="32"/>
          <w:szCs w:val="24"/>
        </w:rPr>
        <w:t>]</w:t>
      </w:r>
    </w:p>
    <w:p w:rsidR="00701BD6" w:rsidRDefault="002007C2">
      <w:pPr>
        <w:ind w:firstLine="720"/>
        <w:rPr>
          <w:rFonts w:ascii="仿宋_GB2312" w:eastAsia="仿宋_GB2312" w:hAnsi="Times New Roman" w:cs="仿宋_GB2312"/>
          <w:color w:val="000000"/>
          <w:sz w:val="32"/>
          <w:szCs w:val="32"/>
        </w:rPr>
      </w:pPr>
      <w:r>
        <w:rPr>
          <w:rFonts w:ascii="仿宋_GB2312" w:eastAsia="仿宋_GB2312" w:cs="仿宋_GB2312"/>
          <w:sz w:val="32"/>
          <w:szCs w:val="32"/>
        </w:rPr>
        <w:br w:type="page"/>
      </w:r>
    </w:p>
    <w:p w:rsidR="00701BD6" w:rsidRDefault="002007C2">
      <w:pPr>
        <w:spacing w:line="560" w:lineRule="exact"/>
        <w:ind w:firstLine="720"/>
        <w:jc w:val="both"/>
        <w:outlineLvl w:val="0"/>
        <w:rPr>
          <w:rFonts w:ascii="黑体" w:eastAsia="黑体" w:hAnsi="黑体"/>
          <w:sz w:val="32"/>
          <w:szCs w:val="32"/>
        </w:rPr>
      </w:pPr>
      <w:r>
        <w:rPr>
          <w:rFonts w:ascii="黑体" w:eastAsia="黑体" w:hAnsi="黑体"/>
          <w:sz w:val="32"/>
          <w:szCs w:val="32"/>
        </w:rPr>
        <w:lastRenderedPageBreak/>
        <w:t>二</w:t>
      </w:r>
      <w:r>
        <w:rPr>
          <w:rFonts w:ascii="黑体" w:eastAsia="黑体" w:hAnsi="黑体" w:hint="eastAsia"/>
          <w:sz w:val="32"/>
          <w:szCs w:val="32"/>
        </w:rPr>
        <w:t>、业务规划与资产配置</w:t>
      </w:r>
    </w:p>
    <w:p w:rsidR="00701BD6" w:rsidRDefault="002007C2">
      <w:pPr>
        <w:pStyle w:val="2"/>
        <w:spacing w:line="560" w:lineRule="exact"/>
        <w:ind w:firstLine="720"/>
        <w:rPr>
          <w:rFonts w:ascii="华文楷体" w:eastAsia="华文楷体" w:hAnsi="华文楷体" w:cs="仿宋"/>
          <w:b/>
          <w:color w:val="000000"/>
          <w:sz w:val="24"/>
          <w:szCs w:val="24"/>
          <w:lang w:val="en-US"/>
        </w:rPr>
      </w:pPr>
      <w:r>
        <w:rPr>
          <w:rFonts w:ascii="华文楷体" w:eastAsia="华文楷体" w:hAnsi="华文楷体" w:hint="eastAsia"/>
          <w:b/>
          <w:color w:val="auto"/>
          <w:sz w:val="32"/>
          <w:szCs w:val="32"/>
        </w:rPr>
        <w:t>（一）三年业务规划</w:t>
      </w:r>
    </w:p>
    <w:p w:rsidR="00701BD6" w:rsidRDefault="002007C2">
      <w:pPr>
        <w:spacing w:after="0" w:line="560" w:lineRule="exact"/>
        <w:ind w:left="90" w:firstLine="630"/>
        <w:rPr>
          <w:sz w:val="28"/>
          <w:lang w:val="en-US"/>
        </w:rPr>
      </w:pPr>
      <w:r>
        <w:rPr>
          <w:rFonts w:ascii="仿宋_GB2312" w:eastAsia="仿宋_GB2312" w:hint="eastAsia"/>
          <w:sz w:val="32"/>
          <w:szCs w:val="24"/>
        </w:rPr>
        <w:t>至少应包括各类产品业务未来三年的预期保费规模。</w:t>
      </w:r>
    </w:p>
    <w:tbl>
      <w:tblPr>
        <w:tblStyle w:val="ab"/>
        <w:tblW w:w="7470" w:type="dxa"/>
        <w:tblInd w:w="805" w:type="dxa"/>
        <w:tblLayout w:type="fixed"/>
        <w:tblLook w:val="04A0" w:firstRow="1" w:lastRow="0" w:firstColumn="1" w:lastColumn="0" w:noHBand="0" w:noVBand="1"/>
      </w:tblPr>
      <w:tblGrid>
        <w:gridCol w:w="7470"/>
      </w:tblGrid>
      <w:tr w:rsidR="00701BD6">
        <w:trPr>
          <w:trHeight w:val="604"/>
        </w:trPr>
        <w:tc>
          <w:tcPr>
            <w:tcW w:w="7470" w:type="dxa"/>
          </w:tcPr>
          <w:p w:rsidR="00701BD6" w:rsidRDefault="00701BD6">
            <w:pPr>
              <w:rPr>
                <w:rFonts w:ascii="仿宋_GB2312" w:eastAsia="仿宋_GB2312"/>
                <w:sz w:val="24"/>
                <w:szCs w:val="24"/>
              </w:rPr>
            </w:pPr>
          </w:p>
        </w:tc>
      </w:tr>
    </w:tbl>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t>（二）资产战略配置规划摘要</w:t>
      </w:r>
    </w:p>
    <w:p w:rsidR="00701BD6" w:rsidRDefault="002007C2">
      <w:pPr>
        <w:spacing w:after="0" w:line="560" w:lineRule="exact"/>
        <w:ind w:left="90" w:firstLine="630"/>
        <w:rPr>
          <w:rFonts w:ascii="仿宋_GB2312" w:eastAsia="仿宋_GB2312"/>
          <w:sz w:val="32"/>
          <w:szCs w:val="24"/>
        </w:rPr>
      </w:pPr>
      <w:r>
        <w:rPr>
          <w:rFonts w:ascii="仿宋_GB2312" w:eastAsia="仿宋_GB2312" w:hint="eastAsia"/>
          <w:sz w:val="32"/>
          <w:szCs w:val="24"/>
        </w:rPr>
        <w:t>1、宏观经济趋势、保险业务和负债特征、各类资产风险收益特征、公司长期发展规划和整体风险承受能力等决策依据摘要；</w:t>
      </w:r>
    </w:p>
    <w:tbl>
      <w:tblPr>
        <w:tblStyle w:val="ab"/>
        <w:tblW w:w="7470" w:type="dxa"/>
        <w:tblInd w:w="805" w:type="dxa"/>
        <w:tblLayout w:type="fixed"/>
        <w:tblLook w:val="04A0" w:firstRow="1" w:lastRow="0" w:firstColumn="1" w:lastColumn="0" w:noHBand="0" w:noVBand="1"/>
      </w:tblPr>
      <w:tblGrid>
        <w:gridCol w:w="7470"/>
      </w:tblGrid>
      <w:tr w:rsidR="00701BD6">
        <w:trPr>
          <w:trHeight w:val="640"/>
        </w:trPr>
        <w:tc>
          <w:tcPr>
            <w:tcW w:w="7470"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2</w:t>
      </w:r>
      <w:r>
        <w:rPr>
          <w:rFonts w:ascii="仿宋_GB2312" w:eastAsia="仿宋_GB2312" w:hint="eastAsia"/>
          <w:sz w:val="32"/>
          <w:szCs w:val="24"/>
        </w:rPr>
        <w:t>、各普通账户的长期收益目标或长期业绩比较基准；</w:t>
      </w:r>
    </w:p>
    <w:tbl>
      <w:tblPr>
        <w:tblStyle w:val="ab"/>
        <w:tblW w:w="7470" w:type="dxa"/>
        <w:tblInd w:w="805" w:type="dxa"/>
        <w:tblLayout w:type="fixed"/>
        <w:tblLook w:val="04A0" w:firstRow="1" w:lastRow="0" w:firstColumn="1" w:lastColumn="0" w:noHBand="0" w:noVBand="1"/>
      </w:tblPr>
      <w:tblGrid>
        <w:gridCol w:w="7470"/>
      </w:tblGrid>
      <w:tr w:rsidR="00701BD6">
        <w:trPr>
          <w:trHeight w:val="685"/>
        </w:trPr>
        <w:tc>
          <w:tcPr>
            <w:tcW w:w="7470"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3、各普通账户的境内、境外大类资产配置比例；</w:t>
      </w:r>
    </w:p>
    <w:tbl>
      <w:tblPr>
        <w:tblStyle w:val="ab"/>
        <w:tblW w:w="7470" w:type="dxa"/>
        <w:tblInd w:w="805" w:type="dxa"/>
        <w:tblLayout w:type="fixed"/>
        <w:tblLook w:val="04A0" w:firstRow="1" w:lastRow="0" w:firstColumn="1" w:lastColumn="0" w:noHBand="0" w:noVBand="1"/>
      </w:tblPr>
      <w:tblGrid>
        <w:gridCol w:w="7470"/>
      </w:tblGrid>
      <w:tr w:rsidR="00701BD6">
        <w:trPr>
          <w:trHeight w:val="631"/>
        </w:trPr>
        <w:tc>
          <w:tcPr>
            <w:tcW w:w="7470"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4</w:t>
      </w:r>
      <w:r>
        <w:rPr>
          <w:rFonts w:ascii="仿宋_GB2312" w:eastAsia="仿宋_GB2312" w:hint="eastAsia"/>
          <w:sz w:val="32"/>
          <w:szCs w:val="24"/>
        </w:rPr>
        <w:t>、各普通账户允许、限制及禁止配置资产的标准；</w:t>
      </w:r>
    </w:p>
    <w:tbl>
      <w:tblPr>
        <w:tblStyle w:val="ab"/>
        <w:tblW w:w="7470" w:type="dxa"/>
        <w:tblInd w:w="805" w:type="dxa"/>
        <w:tblLayout w:type="fixed"/>
        <w:tblLook w:val="04A0" w:firstRow="1" w:lastRow="0" w:firstColumn="1" w:lastColumn="0" w:noHBand="0" w:noVBand="1"/>
      </w:tblPr>
      <w:tblGrid>
        <w:gridCol w:w="7470"/>
      </w:tblGrid>
      <w:tr w:rsidR="00701BD6">
        <w:trPr>
          <w:trHeight w:val="685"/>
        </w:trPr>
        <w:tc>
          <w:tcPr>
            <w:tcW w:w="7470"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5</w:t>
      </w:r>
      <w:r>
        <w:rPr>
          <w:rFonts w:ascii="仿宋_GB2312" w:eastAsia="仿宋_GB2312" w:hint="eastAsia"/>
          <w:sz w:val="32"/>
          <w:szCs w:val="24"/>
        </w:rPr>
        <w:t>、各普通账户的流动性要求、期限结构和再投资计划摘要；</w:t>
      </w:r>
    </w:p>
    <w:tbl>
      <w:tblPr>
        <w:tblStyle w:val="ab"/>
        <w:tblW w:w="7513" w:type="dxa"/>
        <w:tblInd w:w="805" w:type="dxa"/>
        <w:tblLayout w:type="fixed"/>
        <w:tblLook w:val="04A0" w:firstRow="1" w:lastRow="0" w:firstColumn="1" w:lastColumn="0" w:noHBand="0" w:noVBand="1"/>
      </w:tblPr>
      <w:tblGrid>
        <w:gridCol w:w="7513"/>
      </w:tblGrid>
      <w:tr w:rsidR="00701BD6">
        <w:trPr>
          <w:trHeight w:val="667"/>
        </w:trPr>
        <w:tc>
          <w:tcPr>
            <w:tcW w:w="751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6、会计分类原则。</w:t>
      </w:r>
    </w:p>
    <w:tbl>
      <w:tblPr>
        <w:tblStyle w:val="ab"/>
        <w:tblW w:w="7513" w:type="dxa"/>
        <w:tblInd w:w="805" w:type="dxa"/>
        <w:tblLayout w:type="fixed"/>
        <w:tblLook w:val="04A0" w:firstRow="1" w:lastRow="0" w:firstColumn="1" w:lastColumn="0" w:noHBand="0" w:noVBand="1"/>
      </w:tblPr>
      <w:tblGrid>
        <w:gridCol w:w="7513"/>
      </w:tblGrid>
      <w:tr w:rsidR="00701BD6">
        <w:trPr>
          <w:trHeight w:val="685"/>
        </w:trPr>
        <w:tc>
          <w:tcPr>
            <w:tcW w:w="7513" w:type="dxa"/>
          </w:tcPr>
          <w:p w:rsidR="00701BD6" w:rsidRDefault="00701BD6">
            <w:pPr>
              <w:spacing w:line="560" w:lineRule="exact"/>
              <w:rPr>
                <w:rFonts w:ascii="仿宋_GB2312" w:eastAsia="仿宋_GB2312"/>
                <w:sz w:val="24"/>
                <w:szCs w:val="24"/>
              </w:rPr>
            </w:pPr>
          </w:p>
        </w:tc>
      </w:tr>
    </w:tbl>
    <w:p w:rsidR="00701BD6" w:rsidRDefault="002007C2">
      <w:pPr>
        <w:rPr>
          <w:rFonts w:ascii="仿宋_GB2312" w:eastAsia="仿宋_GB2312" w:hAnsiTheme="majorHAnsi" w:cstheme="majorBidi"/>
          <w:sz w:val="32"/>
          <w:szCs w:val="32"/>
        </w:rPr>
      </w:pPr>
      <w:r>
        <w:rPr>
          <w:rFonts w:ascii="仿宋_GB2312" w:eastAsia="仿宋_GB2312"/>
          <w:sz w:val="32"/>
          <w:szCs w:val="32"/>
        </w:rPr>
        <w:br w:type="page"/>
      </w:r>
    </w:p>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lastRenderedPageBreak/>
        <w:t>（三）年度资产配置计划摘要</w:t>
      </w:r>
    </w:p>
    <w:p w:rsidR="00701BD6" w:rsidRDefault="002007C2">
      <w:pPr>
        <w:tabs>
          <w:tab w:val="left" w:pos="720"/>
        </w:tabs>
        <w:spacing w:after="0" w:line="560" w:lineRule="exact"/>
        <w:ind w:firstLine="720"/>
        <w:rPr>
          <w:rFonts w:ascii="仿宋_GB2312" w:eastAsia="仿宋_GB2312"/>
          <w:sz w:val="32"/>
          <w:szCs w:val="24"/>
        </w:rPr>
      </w:pPr>
      <w:r>
        <w:rPr>
          <w:rFonts w:ascii="仿宋_GB2312" w:eastAsia="仿宋_GB2312" w:hint="eastAsia"/>
          <w:sz w:val="32"/>
          <w:szCs w:val="24"/>
        </w:rPr>
        <w:t>1、年度经济形势分析、各市场分析、负债特征变化及各类资产风险收益预期等决策依据摘要；</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tabs>
                <w:tab w:val="left" w:pos="720"/>
              </w:tabs>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2、各普通账户的资产负债情况摘要；</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3、各普通账户的目标资产配置比例及浮动区间；</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4、各普通账户的年度收益目标或业绩比较基准；</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5</w:t>
      </w:r>
      <w:r>
        <w:rPr>
          <w:rFonts w:ascii="仿宋_GB2312" w:eastAsia="仿宋_GB2312" w:hint="eastAsia"/>
          <w:sz w:val="32"/>
          <w:szCs w:val="24"/>
        </w:rPr>
        <w:t>、各普通账户的资产风险状况和压力测试结果分析摘要。</w:t>
      </w:r>
    </w:p>
    <w:tbl>
      <w:tblPr>
        <w:tblStyle w:val="ab"/>
        <w:tblW w:w="7603" w:type="dxa"/>
        <w:tblInd w:w="715" w:type="dxa"/>
        <w:tblLayout w:type="fixed"/>
        <w:tblLook w:val="04A0" w:firstRow="1" w:lastRow="0" w:firstColumn="1" w:lastColumn="0" w:noHBand="0" w:noVBand="1"/>
      </w:tblPr>
      <w:tblGrid>
        <w:gridCol w:w="7603"/>
      </w:tblGrid>
      <w:tr w:rsidR="00701BD6">
        <w:trPr>
          <w:trHeight w:val="595"/>
        </w:trPr>
        <w:tc>
          <w:tcPr>
            <w:tcW w:w="7603" w:type="dxa"/>
          </w:tcPr>
          <w:p w:rsidR="00701BD6" w:rsidRDefault="00701BD6">
            <w:pPr>
              <w:rPr>
                <w:rFonts w:ascii="仿宋_GB2312" w:eastAsia="仿宋_GB2312"/>
                <w:sz w:val="32"/>
                <w:szCs w:val="32"/>
              </w:rPr>
            </w:pPr>
          </w:p>
        </w:tc>
      </w:tr>
    </w:tbl>
    <w:p w:rsidR="00701BD6" w:rsidRDefault="002007C2">
      <w:pPr>
        <w:rPr>
          <w:rFonts w:ascii="仿宋_GB2312" w:eastAsia="仿宋_GB2312" w:hAnsiTheme="majorHAnsi" w:cstheme="majorBidi"/>
          <w:sz w:val="32"/>
          <w:szCs w:val="32"/>
        </w:rPr>
      </w:pPr>
      <w:r>
        <w:rPr>
          <w:rFonts w:ascii="仿宋_GB2312" w:eastAsia="仿宋_GB2312"/>
          <w:sz w:val="32"/>
          <w:szCs w:val="32"/>
        </w:rPr>
        <w:br w:type="page"/>
      </w:r>
    </w:p>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lastRenderedPageBreak/>
        <w:t>（四）资产负债管理回溯分析</w:t>
      </w:r>
    </w:p>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1、分账户的预期保费收入与实际保费收入的偏差；</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2</w:t>
      </w:r>
      <w:r>
        <w:rPr>
          <w:rFonts w:ascii="仿宋_GB2312" w:eastAsia="仿宋_GB2312" w:hint="eastAsia"/>
          <w:sz w:val="32"/>
          <w:szCs w:val="24"/>
        </w:rPr>
        <w:t>、大类资产配置长期收益率假设与实际大类资产长期收益率的偏差；</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3</w:t>
      </w:r>
      <w:r>
        <w:rPr>
          <w:rFonts w:ascii="仿宋_GB2312" w:eastAsia="仿宋_GB2312" w:hint="eastAsia"/>
          <w:sz w:val="32"/>
          <w:szCs w:val="24"/>
        </w:rPr>
        <w:t>、分账户的预期资产配置比例与实际资产配置比例的偏差；</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4</w:t>
      </w:r>
      <w:r>
        <w:rPr>
          <w:rFonts w:ascii="仿宋_GB2312" w:eastAsia="仿宋_GB2312" w:hint="eastAsia"/>
          <w:sz w:val="32"/>
          <w:szCs w:val="24"/>
        </w:rPr>
        <w:t>、分账户的预期投资收益率与实际投资收益率的偏差。</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5、财产险公司预期未来一个年度的负债资金成本率与实际资金成本率的偏差。</w:t>
      </w:r>
    </w:p>
    <w:tbl>
      <w:tblPr>
        <w:tblStyle w:val="ab"/>
        <w:tblW w:w="7643" w:type="dxa"/>
        <w:tblInd w:w="675" w:type="dxa"/>
        <w:tblLayout w:type="fixed"/>
        <w:tblLook w:val="04A0" w:firstRow="1" w:lastRow="0" w:firstColumn="1" w:lastColumn="0" w:noHBand="0" w:noVBand="1"/>
      </w:tblPr>
      <w:tblGrid>
        <w:gridCol w:w="7643"/>
      </w:tblGrid>
      <w:tr w:rsidR="00701BD6">
        <w:tc>
          <w:tcPr>
            <w:tcW w:w="7643" w:type="dxa"/>
          </w:tcPr>
          <w:p w:rsidR="00701BD6" w:rsidRDefault="00701BD6">
            <w:pPr>
              <w:spacing w:line="560" w:lineRule="exact"/>
              <w:rPr>
                <w:rFonts w:ascii="仿宋_GB2312" w:eastAsia="仿宋_GB2312"/>
                <w:sz w:val="24"/>
                <w:szCs w:val="24"/>
              </w:rPr>
            </w:pPr>
          </w:p>
        </w:tc>
      </w:tr>
    </w:tbl>
    <w:p w:rsidR="00701BD6" w:rsidRDefault="00701BD6">
      <w:pPr>
        <w:spacing w:after="0" w:line="560" w:lineRule="exact"/>
        <w:ind w:firstLine="720"/>
        <w:rPr>
          <w:rFonts w:ascii="仿宋_GB2312" w:eastAsia="仿宋_GB2312"/>
          <w:sz w:val="24"/>
          <w:szCs w:val="24"/>
        </w:rPr>
      </w:pPr>
    </w:p>
    <w:p w:rsidR="00701BD6" w:rsidRDefault="002007C2">
      <w:pPr>
        <w:rPr>
          <w:rFonts w:ascii="仿宋_GB2312" w:eastAsia="仿宋_GB2312"/>
          <w:sz w:val="32"/>
          <w:szCs w:val="32"/>
        </w:rPr>
      </w:pPr>
      <w:r>
        <w:rPr>
          <w:rFonts w:ascii="仿宋_GB2312" w:eastAsia="仿宋_GB2312"/>
          <w:sz w:val="32"/>
          <w:szCs w:val="32"/>
        </w:rPr>
        <w:br w:type="page"/>
      </w:r>
    </w:p>
    <w:p w:rsidR="00701BD6" w:rsidRDefault="00701BD6">
      <w:pPr>
        <w:rPr>
          <w:rFonts w:ascii="仿宋_GB2312" w:eastAsia="仿宋_GB2312" w:hAnsiTheme="majorHAnsi" w:cstheme="majorBidi"/>
          <w:sz w:val="32"/>
          <w:szCs w:val="32"/>
        </w:rPr>
      </w:pPr>
    </w:p>
    <w:p w:rsidR="00701BD6" w:rsidRDefault="002007C2">
      <w:pPr>
        <w:spacing w:line="560" w:lineRule="exact"/>
        <w:ind w:firstLine="720"/>
        <w:jc w:val="both"/>
        <w:outlineLvl w:val="0"/>
        <w:rPr>
          <w:rFonts w:ascii="黑体" w:eastAsia="黑体" w:hAnsi="黑体"/>
          <w:sz w:val="32"/>
          <w:szCs w:val="32"/>
        </w:rPr>
      </w:pPr>
      <w:r>
        <w:rPr>
          <w:rFonts w:ascii="黑体" w:eastAsia="黑体" w:hAnsi="黑体"/>
          <w:sz w:val="32"/>
          <w:szCs w:val="32"/>
        </w:rPr>
        <w:t>三</w:t>
      </w:r>
      <w:r>
        <w:rPr>
          <w:rFonts w:ascii="黑体" w:eastAsia="黑体" w:hAnsi="黑体" w:hint="eastAsia"/>
          <w:sz w:val="32"/>
          <w:szCs w:val="32"/>
        </w:rPr>
        <w:t>、资产负债管理与评估</w:t>
      </w:r>
    </w:p>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t>（一）资产负债管理能力自评估结果及分析</w:t>
      </w:r>
    </w:p>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1</w:t>
      </w:r>
      <w:r>
        <w:rPr>
          <w:rFonts w:ascii="仿宋_GB2312" w:eastAsia="仿宋_GB2312" w:hint="eastAsia"/>
          <w:sz w:val="32"/>
          <w:szCs w:val="24"/>
        </w:rPr>
        <w:t>、</w:t>
      </w:r>
      <w:r>
        <w:rPr>
          <w:rFonts w:ascii="仿宋_GB2312" w:eastAsia="仿宋_GB2312"/>
          <w:sz w:val="32"/>
          <w:szCs w:val="24"/>
        </w:rPr>
        <w:t>自评估结果</w:t>
      </w:r>
      <w:r>
        <w:rPr>
          <w:rFonts w:ascii="仿宋_GB2312" w:eastAsia="仿宋_GB2312" w:hint="eastAsia"/>
          <w:sz w:val="32"/>
          <w:szCs w:val="24"/>
        </w:rPr>
        <w:t>;</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2</w:t>
      </w:r>
      <w:r>
        <w:rPr>
          <w:rFonts w:ascii="仿宋_GB2312" w:eastAsia="仿宋_GB2312" w:hint="eastAsia"/>
          <w:sz w:val="32"/>
          <w:szCs w:val="24"/>
        </w:rPr>
        <w:t>、</w:t>
      </w:r>
      <w:r>
        <w:rPr>
          <w:rFonts w:ascii="仿宋_GB2312" w:eastAsia="仿宋_GB2312"/>
          <w:sz w:val="32"/>
          <w:szCs w:val="24"/>
        </w:rPr>
        <w:t>差距分析</w:t>
      </w:r>
      <w:r>
        <w:rPr>
          <w:rFonts w:ascii="仿宋_GB2312" w:eastAsia="仿宋_GB2312" w:hint="eastAsia"/>
          <w:sz w:val="32"/>
          <w:szCs w:val="24"/>
        </w:rPr>
        <w:t>;</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3、改进措施。</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24"/>
                <w:szCs w:val="24"/>
              </w:rPr>
            </w:pPr>
          </w:p>
        </w:tc>
      </w:tr>
    </w:tbl>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t>（二）资产负债管理量化评估结果分析</w:t>
      </w:r>
    </w:p>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1</w:t>
      </w:r>
      <w:r>
        <w:rPr>
          <w:rFonts w:ascii="仿宋_GB2312" w:eastAsia="仿宋_GB2312" w:hint="eastAsia"/>
          <w:sz w:val="32"/>
          <w:szCs w:val="24"/>
        </w:rPr>
        <w:t>、</w:t>
      </w:r>
      <w:r>
        <w:rPr>
          <w:rFonts w:ascii="仿宋_GB2312" w:eastAsia="仿宋_GB2312"/>
          <w:sz w:val="32"/>
          <w:szCs w:val="24"/>
        </w:rPr>
        <w:t>基本情况及变化分析</w:t>
      </w:r>
      <w:r>
        <w:rPr>
          <w:rFonts w:ascii="仿宋_GB2312" w:eastAsia="仿宋_GB2312" w:hint="eastAsia"/>
          <w:sz w:val="32"/>
          <w:szCs w:val="24"/>
        </w:rPr>
        <w:t>；</w:t>
      </w:r>
    </w:p>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[包括期限结构匹配、成本收益匹配和现金流匹配的基本情景及变化分析</w:t>
      </w:r>
      <w:r>
        <w:rPr>
          <w:rFonts w:ascii="仿宋_GB2312" w:eastAsia="仿宋_GB2312"/>
          <w:sz w:val="32"/>
          <w:szCs w:val="24"/>
        </w:rPr>
        <w:t>]</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2</w:t>
      </w:r>
      <w:r>
        <w:rPr>
          <w:rFonts w:ascii="仿宋_GB2312" w:eastAsia="仿宋_GB2312" w:hint="eastAsia"/>
          <w:sz w:val="32"/>
          <w:szCs w:val="24"/>
        </w:rPr>
        <w:t>、主要风险；</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32"/>
                <w:szCs w:val="24"/>
              </w:rPr>
            </w:pPr>
          </w:p>
        </w:tc>
      </w:tr>
    </w:tbl>
    <w:p w:rsidR="00701BD6" w:rsidRDefault="002007C2">
      <w:pPr>
        <w:spacing w:after="0" w:line="560" w:lineRule="exact"/>
        <w:ind w:firstLine="720"/>
        <w:rPr>
          <w:rFonts w:ascii="仿宋_GB2312" w:eastAsia="仿宋_GB2312"/>
          <w:sz w:val="32"/>
          <w:szCs w:val="24"/>
        </w:rPr>
      </w:pPr>
      <w:r>
        <w:rPr>
          <w:rFonts w:ascii="仿宋_GB2312" w:eastAsia="仿宋_GB2312"/>
          <w:sz w:val="32"/>
          <w:szCs w:val="24"/>
        </w:rPr>
        <w:t>3</w:t>
      </w:r>
      <w:r>
        <w:rPr>
          <w:rFonts w:ascii="仿宋_GB2312" w:eastAsia="仿宋_GB2312" w:hint="eastAsia"/>
          <w:sz w:val="32"/>
          <w:szCs w:val="24"/>
        </w:rPr>
        <w:t>、应对措施。</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24"/>
                <w:szCs w:val="24"/>
              </w:rPr>
            </w:pPr>
          </w:p>
        </w:tc>
      </w:tr>
    </w:tbl>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t>（三）报告期内对资产负债管理造成重大影响的事项</w:t>
      </w:r>
    </w:p>
    <w:p w:rsidR="00701BD6" w:rsidRDefault="002007C2">
      <w:pPr>
        <w:spacing w:after="0" w:line="560" w:lineRule="exact"/>
        <w:ind w:firstLine="720"/>
        <w:rPr>
          <w:rFonts w:ascii="仿宋_GB2312" w:eastAsia="仿宋_GB2312"/>
          <w:sz w:val="32"/>
          <w:szCs w:val="24"/>
        </w:rPr>
      </w:pPr>
      <w:r>
        <w:rPr>
          <w:rFonts w:ascii="仿宋_GB2312" w:eastAsia="仿宋_GB2312" w:hint="eastAsia"/>
          <w:sz w:val="32"/>
          <w:szCs w:val="24"/>
        </w:rPr>
        <w:t>[如有，列</w:t>
      </w:r>
      <w:proofErr w:type="gramStart"/>
      <w:r>
        <w:rPr>
          <w:rFonts w:ascii="仿宋_GB2312" w:eastAsia="仿宋_GB2312" w:hint="eastAsia"/>
          <w:sz w:val="32"/>
          <w:szCs w:val="24"/>
        </w:rPr>
        <w:t>报报告</w:t>
      </w:r>
      <w:proofErr w:type="gramEnd"/>
      <w:r>
        <w:rPr>
          <w:rFonts w:ascii="仿宋_GB2312" w:eastAsia="仿宋_GB2312" w:hint="eastAsia"/>
          <w:sz w:val="32"/>
          <w:szCs w:val="24"/>
        </w:rPr>
        <w:t>期内对资产负债匹配状况造成重大影响的业务、投资、赔付、融资等方面的事项。]</w:t>
      </w:r>
    </w:p>
    <w:tbl>
      <w:tblPr>
        <w:tblStyle w:val="ab"/>
        <w:tblW w:w="7603" w:type="dxa"/>
        <w:tblInd w:w="715" w:type="dxa"/>
        <w:tblLayout w:type="fixed"/>
        <w:tblLook w:val="04A0" w:firstRow="1" w:lastRow="0" w:firstColumn="1" w:lastColumn="0" w:noHBand="0" w:noVBand="1"/>
      </w:tblPr>
      <w:tblGrid>
        <w:gridCol w:w="7603"/>
      </w:tblGrid>
      <w:tr w:rsidR="00701BD6">
        <w:tc>
          <w:tcPr>
            <w:tcW w:w="7603" w:type="dxa"/>
          </w:tcPr>
          <w:p w:rsidR="00701BD6" w:rsidRDefault="00701BD6">
            <w:pPr>
              <w:spacing w:line="560" w:lineRule="exact"/>
              <w:rPr>
                <w:rFonts w:ascii="仿宋_GB2312" w:eastAsia="仿宋_GB2312"/>
                <w:sz w:val="24"/>
                <w:szCs w:val="24"/>
              </w:rPr>
            </w:pPr>
          </w:p>
        </w:tc>
      </w:tr>
    </w:tbl>
    <w:p w:rsidR="00701BD6" w:rsidRDefault="002007C2">
      <w:pPr>
        <w:spacing w:after="0" w:line="560" w:lineRule="exact"/>
        <w:ind w:firstLine="720"/>
        <w:rPr>
          <w:rFonts w:ascii="仿宋_GB2312" w:eastAsia="仿宋_GB2312" w:hAnsiTheme="majorHAnsi" w:cstheme="majorBidi"/>
          <w:sz w:val="24"/>
          <w:szCs w:val="24"/>
        </w:rPr>
      </w:pPr>
      <w:r>
        <w:rPr>
          <w:rFonts w:ascii="仿宋_GB2312" w:eastAsia="仿宋_GB2312"/>
          <w:sz w:val="24"/>
          <w:szCs w:val="24"/>
        </w:rPr>
        <w:br w:type="page"/>
      </w:r>
    </w:p>
    <w:p w:rsidR="00701BD6" w:rsidRDefault="002007C2">
      <w:pPr>
        <w:spacing w:line="560" w:lineRule="exact"/>
        <w:ind w:firstLine="720"/>
        <w:jc w:val="both"/>
        <w:outlineLvl w:val="0"/>
        <w:rPr>
          <w:rFonts w:ascii="黑体" w:eastAsia="黑体" w:hAnsi="黑体"/>
          <w:sz w:val="32"/>
          <w:szCs w:val="32"/>
        </w:rPr>
      </w:pPr>
      <w:r>
        <w:rPr>
          <w:rFonts w:ascii="黑体" w:eastAsia="黑体" w:hAnsi="黑体"/>
          <w:sz w:val="32"/>
          <w:szCs w:val="32"/>
        </w:rPr>
        <w:lastRenderedPageBreak/>
        <w:t>四</w:t>
      </w:r>
      <w:r>
        <w:rPr>
          <w:rFonts w:ascii="黑体" w:eastAsia="黑体" w:hAnsi="黑体" w:hint="eastAsia"/>
          <w:sz w:val="32"/>
          <w:szCs w:val="32"/>
        </w:rPr>
        <w:t>、外部机构意见</w:t>
      </w:r>
    </w:p>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t>（一）年度量化评估表审核意见</w:t>
      </w:r>
    </w:p>
    <w:tbl>
      <w:tblPr>
        <w:tblStyle w:val="ab"/>
        <w:tblW w:w="7423" w:type="dxa"/>
        <w:tblInd w:w="895" w:type="dxa"/>
        <w:tblLayout w:type="fixed"/>
        <w:tblLook w:val="04A0" w:firstRow="1" w:lastRow="0" w:firstColumn="1" w:lastColumn="0" w:noHBand="0" w:noVBand="1"/>
      </w:tblPr>
      <w:tblGrid>
        <w:gridCol w:w="7423"/>
      </w:tblGrid>
      <w:tr w:rsidR="00701BD6">
        <w:trPr>
          <w:trHeight w:val="604"/>
        </w:trPr>
        <w:tc>
          <w:tcPr>
            <w:tcW w:w="7423" w:type="dxa"/>
          </w:tcPr>
          <w:p w:rsidR="00701BD6" w:rsidRDefault="00701BD6">
            <w:pPr>
              <w:rPr>
                <w:rFonts w:ascii="仿宋_GB2312" w:eastAsia="仿宋_GB2312"/>
                <w:sz w:val="24"/>
                <w:szCs w:val="24"/>
              </w:rPr>
            </w:pPr>
          </w:p>
        </w:tc>
      </w:tr>
    </w:tbl>
    <w:p w:rsidR="00701BD6" w:rsidRDefault="002007C2">
      <w:pPr>
        <w:pStyle w:val="2"/>
        <w:spacing w:line="560" w:lineRule="exact"/>
        <w:ind w:firstLine="720"/>
        <w:rPr>
          <w:rFonts w:ascii="华文楷体" w:eastAsia="华文楷体" w:hAnsi="华文楷体"/>
          <w:b/>
          <w:color w:val="auto"/>
          <w:sz w:val="32"/>
          <w:szCs w:val="32"/>
        </w:rPr>
      </w:pPr>
      <w:r>
        <w:rPr>
          <w:rFonts w:ascii="华文楷体" w:eastAsia="华文楷体" w:hAnsi="华文楷体" w:hint="eastAsia"/>
          <w:b/>
          <w:color w:val="auto"/>
          <w:sz w:val="32"/>
          <w:szCs w:val="32"/>
        </w:rPr>
        <w:t>（二）导致非标准无保留审核意见的事项</w:t>
      </w:r>
    </w:p>
    <w:tbl>
      <w:tblPr>
        <w:tblStyle w:val="ab"/>
        <w:tblW w:w="7423" w:type="dxa"/>
        <w:tblInd w:w="895" w:type="dxa"/>
        <w:tblLayout w:type="fixed"/>
        <w:tblLook w:val="04A0" w:firstRow="1" w:lastRow="0" w:firstColumn="1" w:lastColumn="0" w:noHBand="0" w:noVBand="1"/>
      </w:tblPr>
      <w:tblGrid>
        <w:gridCol w:w="7423"/>
      </w:tblGrid>
      <w:tr w:rsidR="00701BD6">
        <w:trPr>
          <w:trHeight w:val="613"/>
        </w:trPr>
        <w:tc>
          <w:tcPr>
            <w:tcW w:w="7423" w:type="dxa"/>
          </w:tcPr>
          <w:p w:rsidR="00701BD6" w:rsidRDefault="00701BD6">
            <w:pPr>
              <w:rPr>
                <w:rFonts w:ascii="仿宋_GB2312" w:eastAsia="仿宋_GB2312"/>
                <w:sz w:val="32"/>
                <w:szCs w:val="32"/>
              </w:rPr>
            </w:pPr>
          </w:p>
        </w:tc>
      </w:tr>
    </w:tbl>
    <w:p w:rsidR="00701BD6" w:rsidRDefault="00701BD6">
      <w:pPr>
        <w:ind w:firstLine="720"/>
        <w:rPr>
          <w:rFonts w:ascii="黑体" w:eastAsia="黑体" w:hAnsi="黑体"/>
          <w:sz w:val="32"/>
          <w:szCs w:val="32"/>
        </w:rPr>
      </w:pPr>
    </w:p>
    <w:sectPr w:rsidR="00701BD6">
      <w:headerReference w:type="default" r:id="rId9"/>
      <w:footerReference w:type="default" r:id="rId10"/>
      <w:pgSz w:w="11906" w:h="17338"/>
      <w:pgMar w:top="1276" w:right="1826" w:bottom="1276" w:left="17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0CD" w:rsidRDefault="003860CD">
      <w:pPr>
        <w:spacing w:after="0" w:line="240" w:lineRule="auto"/>
      </w:pPr>
      <w:r>
        <w:separator/>
      </w:r>
    </w:p>
  </w:endnote>
  <w:endnote w:type="continuationSeparator" w:id="0">
    <w:p w:rsidR="003860CD" w:rsidRDefault="0038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181995"/>
      <w:docPartObj>
        <w:docPartGallery w:val="AutoText"/>
      </w:docPartObj>
    </w:sdtPr>
    <w:sdtEndPr/>
    <w:sdtContent>
      <w:p w:rsidR="00701BD6" w:rsidRDefault="002007C2">
        <w:pPr>
          <w:pStyle w:val="a7"/>
          <w:jc w:val="center"/>
        </w:pPr>
        <w:r>
          <w:fldChar w:fldCharType="begin"/>
        </w:r>
        <w:r>
          <w:instrText>PAGE   \* MERGEFORMAT</w:instrText>
        </w:r>
        <w:r>
          <w:fldChar w:fldCharType="separate"/>
        </w:r>
        <w:r w:rsidR="00247774" w:rsidRPr="00247774">
          <w:rPr>
            <w:noProof/>
            <w:lang w:val="zh-CN"/>
          </w:rPr>
          <w:t>3</w:t>
        </w:r>
        <w:r>
          <w:fldChar w:fldCharType="end"/>
        </w:r>
      </w:p>
    </w:sdtContent>
  </w:sdt>
  <w:p w:rsidR="00701BD6" w:rsidRDefault="00701BD6">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0CD" w:rsidRDefault="003860CD">
      <w:pPr>
        <w:spacing w:after="0" w:line="240" w:lineRule="auto"/>
      </w:pPr>
      <w:r>
        <w:separator/>
      </w:r>
    </w:p>
  </w:footnote>
  <w:footnote w:type="continuationSeparator" w:id="0">
    <w:p w:rsidR="003860CD" w:rsidRDefault="00386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D6" w:rsidRDefault="00701B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C79"/>
    <w:multiLevelType w:val="multilevel"/>
    <w:tmpl w:val="005E4C79"/>
    <w:lvl w:ilvl="0">
      <w:start w:val="1"/>
      <w:numFmt w:val="decimal"/>
      <w:pStyle w:val="1biao"/>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29C5CCF6"/>
    <w:multiLevelType w:val="singleLevel"/>
    <w:tmpl w:val="29C5CCF6"/>
    <w:lvl w:ilvl="0">
      <w:start w:val="2"/>
      <w:numFmt w:val="decimal"/>
      <w:suff w:val="nothing"/>
      <w:lvlText w:val="%1、"/>
      <w:lvlJc w:val="left"/>
    </w:lvl>
  </w:abstractNum>
  <w:abstractNum w:abstractNumId="2" w15:restartNumberingAfterBreak="0">
    <w:nsid w:val="70AD7B6B"/>
    <w:multiLevelType w:val="multilevel"/>
    <w:tmpl w:val="70AD7B6B"/>
    <w:lvl w:ilvl="0">
      <w:start w:val="1"/>
      <w:numFmt w:val="chineseCountingThousand"/>
      <w:pStyle w:val="Style11"/>
      <w:lvlText w:val="第%1条"/>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8B"/>
    <w:rsid w:val="00012D0E"/>
    <w:rsid w:val="00015DD3"/>
    <w:rsid w:val="00016F01"/>
    <w:rsid w:val="00020252"/>
    <w:rsid w:val="00020DCC"/>
    <w:rsid w:val="000224F3"/>
    <w:rsid w:val="000237CA"/>
    <w:rsid w:val="00031007"/>
    <w:rsid w:val="000333E9"/>
    <w:rsid w:val="00034949"/>
    <w:rsid w:val="00036649"/>
    <w:rsid w:val="00040398"/>
    <w:rsid w:val="00045429"/>
    <w:rsid w:val="000458D4"/>
    <w:rsid w:val="000464D7"/>
    <w:rsid w:val="00047613"/>
    <w:rsid w:val="0005163E"/>
    <w:rsid w:val="00051916"/>
    <w:rsid w:val="000540E8"/>
    <w:rsid w:val="0005424B"/>
    <w:rsid w:val="000558A2"/>
    <w:rsid w:val="00056023"/>
    <w:rsid w:val="0005679A"/>
    <w:rsid w:val="00057627"/>
    <w:rsid w:val="00057C2F"/>
    <w:rsid w:val="00063E0A"/>
    <w:rsid w:val="0006401D"/>
    <w:rsid w:val="00064EBE"/>
    <w:rsid w:val="00070EDF"/>
    <w:rsid w:val="00074B28"/>
    <w:rsid w:val="00081E1E"/>
    <w:rsid w:val="00084A34"/>
    <w:rsid w:val="00091036"/>
    <w:rsid w:val="00091545"/>
    <w:rsid w:val="00094B16"/>
    <w:rsid w:val="000A0A00"/>
    <w:rsid w:val="000A0A45"/>
    <w:rsid w:val="000A29F6"/>
    <w:rsid w:val="000B3E88"/>
    <w:rsid w:val="000C19F4"/>
    <w:rsid w:val="000C6BEE"/>
    <w:rsid w:val="000D1552"/>
    <w:rsid w:val="000D1831"/>
    <w:rsid w:val="000D30E5"/>
    <w:rsid w:val="000D56FE"/>
    <w:rsid w:val="000D588B"/>
    <w:rsid w:val="000E02DA"/>
    <w:rsid w:val="000E0926"/>
    <w:rsid w:val="000E28AB"/>
    <w:rsid w:val="000E5286"/>
    <w:rsid w:val="000E66B7"/>
    <w:rsid w:val="000F5D90"/>
    <w:rsid w:val="000F7160"/>
    <w:rsid w:val="00103725"/>
    <w:rsid w:val="001039EA"/>
    <w:rsid w:val="00105D2F"/>
    <w:rsid w:val="001121DD"/>
    <w:rsid w:val="00114F7E"/>
    <w:rsid w:val="00115DB9"/>
    <w:rsid w:val="00125847"/>
    <w:rsid w:val="00133B8E"/>
    <w:rsid w:val="00135F93"/>
    <w:rsid w:val="001404A1"/>
    <w:rsid w:val="001426CF"/>
    <w:rsid w:val="00145047"/>
    <w:rsid w:val="00146F1A"/>
    <w:rsid w:val="001618F0"/>
    <w:rsid w:val="0017085D"/>
    <w:rsid w:val="00192E5C"/>
    <w:rsid w:val="0019321A"/>
    <w:rsid w:val="00197944"/>
    <w:rsid w:val="001A2935"/>
    <w:rsid w:val="001C3012"/>
    <w:rsid w:val="001C7B70"/>
    <w:rsid w:val="001C7C78"/>
    <w:rsid w:val="001D0D7E"/>
    <w:rsid w:val="001D56C6"/>
    <w:rsid w:val="001D7070"/>
    <w:rsid w:val="001E179E"/>
    <w:rsid w:val="001E7EA2"/>
    <w:rsid w:val="001F2455"/>
    <w:rsid w:val="001F25D2"/>
    <w:rsid w:val="002007C2"/>
    <w:rsid w:val="00213C8E"/>
    <w:rsid w:val="00215167"/>
    <w:rsid w:val="00215B89"/>
    <w:rsid w:val="0022112B"/>
    <w:rsid w:val="00222CC7"/>
    <w:rsid w:val="0022320A"/>
    <w:rsid w:val="00224BAA"/>
    <w:rsid w:val="00226304"/>
    <w:rsid w:val="00226784"/>
    <w:rsid w:val="00232C90"/>
    <w:rsid w:val="002330FD"/>
    <w:rsid w:val="002350E5"/>
    <w:rsid w:val="002354A5"/>
    <w:rsid w:val="00235F08"/>
    <w:rsid w:val="00237B53"/>
    <w:rsid w:val="00244D3A"/>
    <w:rsid w:val="00245517"/>
    <w:rsid w:val="00247774"/>
    <w:rsid w:val="002545C9"/>
    <w:rsid w:val="00260372"/>
    <w:rsid w:val="00272860"/>
    <w:rsid w:val="002807A8"/>
    <w:rsid w:val="00281B31"/>
    <w:rsid w:val="0029735B"/>
    <w:rsid w:val="002A4069"/>
    <w:rsid w:val="002A47BF"/>
    <w:rsid w:val="002A5745"/>
    <w:rsid w:val="002A6531"/>
    <w:rsid w:val="002B4592"/>
    <w:rsid w:val="002B4F22"/>
    <w:rsid w:val="002B6A92"/>
    <w:rsid w:val="002B7A44"/>
    <w:rsid w:val="002C4BB8"/>
    <w:rsid w:val="002D6080"/>
    <w:rsid w:val="002D70DC"/>
    <w:rsid w:val="002D7901"/>
    <w:rsid w:val="002E1024"/>
    <w:rsid w:val="002E660B"/>
    <w:rsid w:val="002E7B84"/>
    <w:rsid w:val="002F21FE"/>
    <w:rsid w:val="002F261F"/>
    <w:rsid w:val="00302EDC"/>
    <w:rsid w:val="00304019"/>
    <w:rsid w:val="00307589"/>
    <w:rsid w:val="003100C7"/>
    <w:rsid w:val="003116DB"/>
    <w:rsid w:val="00313FF9"/>
    <w:rsid w:val="0031685E"/>
    <w:rsid w:val="003222E8"/>
    <w:rsid w:val="00326EF1"/>
    <w:rsid w:val="00331AAF"/>
    <w:rsid w:val="0034033B"/>
    <w:rsid w:val="003414C3"/>
    <w:rsid w:val="0034380D"/>
    <w:rsid w:val="00345B55"/>
    <w:rsid w:val="00350878"/>
    <w:rsid w:val="00355AAF"/>
    <w:rsid w:val="00357789"/>
    <w:rsid w:val="003627A6"/>
    <w:rsid w:val="00380A4C"/>
    <w:rsid w:val="00384EBD"/>
    <w:rsid w:val="003860CD"/>
    <w:rsid w:val="00387AFE"/>
    <w:rsid w:val="00387ECE"/>
    <w:rsid w:val="003911BE"/>
    <w:rsid w:val="00391CDE"/>
    <w:rsid w:val="00395037"/>
    <w:rsid w:val="003A1689"/>
    <w:rsid w:val="003A73D1"/>
    <w:rsid w:val="003B2BF7"/>
    <w:rsid w:val="003B519B"/>
    <w:rsid w:val="003B5631"/>
    <w:rsid w:val="003B6A7F"/>
    <w:rsid w:val="003B7E09"/>
    <w:rsid w:val="003C10F5"/>
    <w:rsid w:val="003C5F99"/>
    <w:rsid w:val="003C6A3A"/>
    <w:rsid w:val="003F42AE"/>
    <w:rsid w:val="003F7602"/>
    <w:rsid w:val="00400997"/>
    <w:rsid w:val="0040295C"/>
    <w:rsid w:val="00405FC9"/>
    <w:rsid w:val="00415C5D"/>
    <w:rsid w:val="00423041"/>
    <w:rsid w:val="0042521E"/>
    <w:rsid w:val="004263F8"/>
    <w:rsid w:val="00430F89"/>
    <w:rsid w:val="00431FF8"/>
    <w:rsid w:val="0044369B"/>
    <w:rsid w:val="00452C09"/>
    <w:rsid w:val="00453DBE"/>
    <w:rsid w:val="004553CC"/>
    <w:rsid w:val="004600FC"/>
    <w:rsid w:val="00460260"/>
    <w:rsid w:val="004606B8"/>
    <w:rsid w:val="004616C0"/>
    <w:rsid w:val="004648E2"/>
    <w:rsid w:val="00465F65"/>
    <w:rsid w:val="004670C8"/>
    <w:rsid w:val="00487865"/>
    <w:rsid w:val="00492C62"/>
    <w:rsid w:val="00492E91"/>
    <w:rsid w:val="00492F0A"/>
    <w:rsid w:val="00492FDC"/>
    <w:rsid w:val="00493C35"/>
    <w:rsid w:val="00496072"/>
    <w:rsid w:val="004A00C1"/>
    <w:rsid w:val="004A1F22"/>
    <w:rsid w:val="004A41E0"/>
    <w:rsid w:val="004B224A"/>
    <w:rsid w:val="004B3112"/>
    <w:rsid w:val="004B67D8"/>
    <w:rsid w:val="004C3523"/>
    <w:rsid w:val="004D0185"/>
    <w:rsid w:val="004F3D74"/>
    <w:rsid w:val="005057DB"/>
    <w:rsid w:val="00510830"/>
    <w:rsid w:val="005112DC"/>
    <w:rsid w:val="0051221C"/>
    <w:rsid w:val="005161C8"/>
    <w:rsid w:val="0051665C"/>
    <w:rsid w:val="00525EA6"/>
    <w:rsid w:val="005307D7"/>
    <w:rsid w:val="00532BF3"/>
    <w:rsid w:val="00535CBB"/>
    <w:rsid w:val="00541FFD"/>
    <w:rsid w:val="00545AB2"/>
    <w:rsid w:val="00546F78"/>
    <w:rsid w:val="005708FA"/>
    <w:rsid w:val="00571222"/>
    <w:rsid w:val="00577ED8"/>
    <w:rsid w:val="005832F4"/>
    <w:rsid w:val="00583531"/>
    <w:rsid w:val="00587646"/>
    <w:rsid w:val="00595070"/>
    <w:rsid w:val="005A12D1"/>
    <w:rsid w:val="005A192A"/>
    <w:rsid w:val="005A3129"/>
    <w:rsid w:val="005A34D4"/>
    <w:rsid w:val="005B435A"/>
    <w:rsid w:val="005C666A"/>
    <w:rsid w:val="005D1DA4"/>
    <w:rsid w:val="005D5929"/>
    <w:rsid w:val="005F6627"/>
    <w:rsid w:val="005F7F2C"/>
    <w:rsid w:val="006048CB"/>
    <w:rsid w:val="006104C3"/>
    <w:rsid w:val="00622436"/>
    <w:rsid w:val="006248F0"/>
    <w:rsid w:val="00624AEF"/>
    <w:rsid w:val="00636958"/>
    <w:rsid w:val="00637C63"/>
    <w:rsid w:val="006423B7"/>
    <w:rsid w:val="0064614D"/>
    <w:rsid w:val="0065159C"/>
    <w:rsid w:val="00654C66"/>
    <w:rsid w:val="00660174"/>
    <w:rsid w:val="0066294E"/>
    <w:rsid w:val="006666F4"/>
    <w:rsid w:val="00666821"/>
    <w:rsid w:val="00675B1F"/>
    <w:rsid w:val="00676AAE"/>
    <w:rsid w:val="006800B7"/>
    <w:rsid w:val="00681129"/>
    <w:rsid w:val="00681F54"/>
    <w:rsid w:val="00686644"/>
    <w:rsid w:val="006905E4"/>
    <w:rsid w:val="00691294"/>
    <w:rsid w:val="0069278B"/>
    <w:rsid w:val="006A3CC3"/>
    <w:rsid w:val="006A7218"/>
    <w:rsid w:val="006B4243"/>
    <w:rsid w:val="006B6D32"/>
    <w:rsid w:val="006C1BB9"/>
    <w:rsid w:val="006C5DF0"/>
    <w:rsid w:val="006C6BFA"/>
    <w:rsid w:val="006E0076"/>
    <w:rsid w:val="006E26AE"/>
    <w:rsid w:val="006E36D8"/>
    <w:rsid w:val="006E64F9"/>
    <w:rsid w:val="006E7894"/>
    <w:rsid w:val="007012BF"/>
    <w:rsid w:val="00701BD6"/>
    <w:rsid w:val="0070605C"/>
    <w:rsid w:val="007068E5"/>
    <w:rsid w:val="007077F4"/>
    <w:rsid w:val="00707BBB"/>
    <w:rsid w:val="0072107C"/>
    <w:rsid w:val="00722343"/>
    <w:rsid w:val="007235B1"/>
    <w:rsid w:val="00725D24"/>
    <w:rsid w:val="00727FAC"/>
    <w:rsid w:val="00731A28"/>
    <w:rsid w:val="007378EC"/>
    <w:rsid w:val="00741283"/>
    <w:rsid w:val="007429E7"/>
    <w:rsid w:val="007430B2"/>
    <w:rsid w:val="00747858"/>
    <w:rsid w:val="00756335"/>
    <w:rsid w:val="00757DF4"/>
    <w:rsid w:val="00761252"/>
    <w:rsid w:val="00763E9E"/>
    <w:rsid w:val="00765655"/>
    <w:rsid w:val="00766626"/>
    <w:rsid w:val="00771E8A"/>
    <w:rsid w:val="007730A0"/>
    <w:rsid w:val="007A38F4"/>
    <w:rsid w:val="007A3A35"/>
    <w:rsid w:val="007A57FE"/>
    <w:rsid w:val="007B2D8D"/>
    <w:rsid w:val="007B301E"/>
    <w:rsid w:val="007B66E0"/>
    <w:rsid w:val="007B713B"/>
    <w:rsid w:val="007C2938"/>
    <w:rsid w:val="007C4169"/>
    <w:rsid w:val="007C750E"/>
    <w:rsid w:val="007C768B"/>
    <w:rsid w:val="007D38D0"/>
    <w:rsid w:val="007D46E0"/>
    <w:rsid w:val="007D5715"/>
    <w:rsid w:val="007D7EAF"/>
    <w:rsid w:val="007E51D7"/>
    <w:rsid w:val="007F0D74"/>
    <w:rsid w:val="007F29AD"/>
    <w:rsid w:val="00804BCA"/>
    <w:rsid w:val="008112FB"/>
    <w:rsid w:val="00813064"/>
    <w:rsid w:val="008208BE"/>
    <w:rsid w:val="00823381"/>
    <w:rsid w:val="00826913"/>
    <w:rsid w:val="008328D7"/>
    <w:rsid w:val="00833CDA"/>
    <w:rsid w:val="008363B5"/>
    <w:rsid w:val="00837135"/>
    <w:rsid w:val="0084148A"/>
    <w:rsid w:val="00841892"/>
    <w:rsid w:val="00843976"/>
    <w:rsid w:val="0084665C"/>
    <w:rsid w:val="0085191A"/>
    <w:rsid w:val="00853520"/>
    <w:rsid w:val="0085638E"/>
    <w:rsid w:val="00865328"/>
    <w:rsid w:val="00873463"/>
    <w:rsid w:val="008769B5"/>
    <w:rsid w:val="00880368"/>
    <w:rsid w:val="008810FC"/>
    <w:rsid w:val="00892B37"/>
    <w:rsid w:val="008A1E93"/>
    <w:rsid w:val="008A2F87"/>
    <w:rsid w:val="008A33F6"/>
    <w:rsid w:val="008A4E24"/>
    <w:rsid w:val="008C1DA6"/>
    <w:rsid w:val="008C2AD3"/>
    <w:rsid w:val="008C41A2"/>
    <w:rsid w:val="008D3225"/>
    <w:rsid w:val="008D3BF5"/>
    <w:rsid w:val="008D4874"/>
    <w:rsid w:val="008D4AF5"/>
    <w:rsid w:val="008D4E39"/>
    <w:rsid w:val="008E1B0F"/>
    <w:rsid w:val="008E4557"/>
    <w:rsid w:val="008E7909"/>
    <w:rsid w:val="008F0197"/>
    <w:rsid w:val="008F7962"/>
    <w:rsid w:val="008F7AFC"/>
    <w:rsid w:val="00910DB0"/>
    <w:rsid w:val="0091345E"/>
    <w:rsid w:val="0092109F"/>
    <w:rsid w:val="00921EAF"/>
    <w:rsid w:val="009237F6"/>
    <w:rsid w:val="00925642"/>
    <w:rsid w:val="009272E4"/>
    <w:rsid w:val="009305B0"/>
    <w:rsid w:val="00931503"/>
    <w:rsid w:val="009440C5"/>
    <w:rsid w:val="00950911"/>
    <w:rsid w:val="0095202B"/>
    <w:rsid w:val="0095602E"/>
    <w:rsid w:val="009621FC"/>
    <w:rsid w:val="009643F7"/>
    <w:rsid w:val="00965C9E"/>
    <w:rsid w:val="00967C08"/>
    <w:rsid w:val="009716AC"/>
    <w:rsid w:val="00972AB8"/>
    <w:rsid w:val="00975C51"/>
    <w:rsid w:val="0097659D"/>
    <w:rsid w:val="009778CD"/>
    <w:rsid w:val="0099389B"/>
    <w:rsid w:val="009A2382"/>
    <w:rsid w:val="009A35CD"/>
    <w:rsid w:val="009B1E66"/>
    <w:rsid w:val="009B2885"/>
    <w:rsid w:val="009B6C16"/>
    <w:rsid w:val="009B7E41"/>
    <w:rsid w:val="009C2B8F"/>
    <w:rsid w:val="009D0569"/>
    <w:rsid w:val="009D0717"/>
    <w:rsid w:val="009D1DCF"/>
    <w:rsid w:val="009D42CE"/>
    <w:rsid w:val="009D4E02"/>
    <w:rsid w:val="009E0110"/>
    <w:rsid w:val="009E05C0"/>
    <w:rsid w:val="009F5A11"/>
    <w:rsid w:val="009F5DCF"/>
    <w:rsid w:val="00A074C8"/>
    <w:rsid w:val="00A17DA2"/>
    <w:rsid w:val="00A26AB6"/>
    <w:rsid w:val="00A372EC"/>
    <w:rsid w:val="00A401CB"/>
    <w:rsid w:val="00A661ED"/>
    <w:rsid w:val="00A726BC"/>
    <w:rsid w:val="00A76360"/>
    <w:rsid w:val="00A7640A"/>
    <w:rsid w:val="00A76B45"/>
    <w:rsid w:val="00A82CB8"/>
    <w:rsid w:val="00A8689B"/>
    <w:rsid w:val="00A92F00"/>
    <w:rsid w:val="00A94B60"/>
    <w:rsid w:val="00AA4907"/>
    <w:rsid w:val="00AA6BDD"/>
    <w:rsid w:val="00AB33EC"/>
    <w:rsid w:val="00AB487D"/>
    <w:rsid w:val="00AD0F11"/>
    <w:rsid w:val="00AE53D2"/>
    <w:rsid w:val="00AF2F5F"/>
    <w:rsid w:val="00AF7EAF"/>
    <w:rsid w:val="00B02563"/>
    <w:rsid w:val="00B02B81"/>
    <w:rsid w:val="00B05EEB"/>
    <w:rsid w:val="00B13E33"/>
    <w:rsid w:val="00B13E88"/>
    <w:rsid w:val="00B147BE"/>
    <w:rsid w:val="00B20954"/>
    <w:rsid w:val="00B21F38"/>
    <w:rsid w:val="00B22F0B"/>
    <w:rsid w:val="00B265F7"/>
    <w:rsid w:val="00B305D3"/>
    <w:rsid w:val="00B32B1E"/>
    <w:rsid w:val="00B45332"/>
    <w:rsid w:val="00B51D35"/>
    <w:rsid w:val="00B60372"/>
    <w:rsid w:val="00B621DA"/>
    <w:rsid w:val="00B63AA2"/>
    <w:rsid w:val="00B64A53"/>
    <w:rsid w:val="00B64AC5"/>
    <w:rsid w:val="00B65059"/>
    <w:rsid w:val="00B67043"/>
    <w:rsid w:val="00B73A0D"/>
    <w:rsid w:val="00B7549B"/>
    <w:rsid w:val="00B80C39"/>
    <w:rsid w:val="00B82487"/>
    <w:rsid w:val="00B90869"/>
    <w:rsid w:val="00BA2AD2"/>
    <w:rsid w:val="00BA54EB"/>
    <w:rsid w:val="00BB60BC"/>
    <w:rsid w:val="00BC43A0"/>
    <w:rsid w:val="00BC5D0D"/>
    <w:rsid w:val="00BD25CF"/>
    <w:rsid w:val="00BD64BB"/>
    <w:rsid w:val="00BD6FAA"/>
    <w:rsid w:val="00BE28DD"/>
    <w:rsid w:val="00BE3216"/>
    <w:rsid w:val="00BE4ACF"/>
    <w:rsid w:val="00BE76EF"/>
    <w:rsid w:val="00BF03B7"/>
    <w:rsid w:val="00BF6FCF"/>
    <w:rsid w:val="00C241E9"/>
    <w:rsid w:val="00C31CD6"/>
    <w:rsid w:val="00C323A2"/>
    <w:rsid w:val="00C330C5"/>
    <w:rsid w:val="00C331E1"/>
    <w:rsid w:val="00C356D0"/>
    <w:rsid w:val="00C35F8B"/>
    <w:rsid w:val="00C4604E"/>
    <w:rsid w:val="00C50AA9"/>
    <w:rsid w:val="00C50B8A"/>
    <w:rsid w:val="00C5196C"/>
    <w:rsid w:val="00C534B5"/>
    <w:rsid w:val="00C5526A"/>
    <w:rsid w:val="00C676E3"/>
    <w:rsid w:val="00C758B3"/>
    <w:rsid w:val="00C77D64"/>
    <w:rsid w:val="00C80117"/>
    <w:rsid w:val="00C8015C"/>
    <w:rsid w:val="00C90EFE"/>
    <w:rsid w:val="00C93DC5"/>
    <w:rsid w:val="00CA2D7A"/>
    <w:rsid w:val="00CA3CF9"/>
    <w:rsid w:val="00CB48E1"/>
    <w:rsid w:val="00CC40F5"/>
    <w:rsid w:val="00CC6C8F"/>
    <w:rsid w:val="00CD7571"/>
    <w:rsid w:val="00CE08AB"/>
    <w:rsid w:val="00CE1AE6"/>
    <w:rsid w:val="00CE2186"/>
    <w:rsid w:val="00CE2578"/>
    <w:rsid w:val="00CE6954"/>
    <w:rsid w:val="00CF4104"/>
    <w:rsid w:val="00D0156A"/>
    <w:rsid w:val="00D038DD"/>
    <w:rsid w:val="00D04BA6"/>
    <w:rsid w:val="00D05D39"/>
    <w:rsid w:val="00D11D44"/>
    <w:rsid w:val="00D13BC0"/>
    <w:rsid w:val="00D14EB0"/>
    <w:rsid w:val="00D1526B"/>
    <w:rsid w:val="00D20EA0"/>
    <w:rsid w:val="00D25F23"/>
    <w:rsid w:val="00D2602D"/>
    <w:rsid w:val="00D30306"/>
    <w:rsid w:val="00D42251"/>
    <w:rsid w:val="00D42B2A"/>
    <w:rsid w:val="00D44801"/>
    <w:rsid w:val="00D44DAD"/>
    <w:rsid w:val="00D50E06"/>
    <w:rsid w:val="00D52A25"/>
    <w:rsid w:val="00D6019D"/>
    <w:rsid w:val="00D6469B"/>
    <w:rsid w:val="00D74A3D"/>
    <w:rsid w:val="00D75C8D"/>
    <w:rsid w:val="00D7700E"/>
    <w:rsid w:val="00D852FF"/>
    <w:rsid w:val="00D85339"/>
    <w:rsid w:val="00D861E7"/>
    <w:rsid w:val="00D941B9"/>
    <w:rsid w:val="00D964F8"/>
    <w:rsid w:val="00D97385"/>
    <w:rsid w:val="00DA457A"/>
    <w:rsid w:val="00DB3C45"/>
    <w:rsid w:val="00DB6003"/>
    <w:rsid w:val="00DC04DE"/>
    <w:rsid w:val="00DC41DE"/>
    <w:rsid w:val="00DC5C76"/>
    <w:rsid w:val="00DC7F50"/>
    <w:rsid w:val="00DD3D12"/>
    <w:rsid w:val="00DE3604"/>
    <w:rsid w:val="00DE4662"/>
    <w:rsid w:val="00DE4DD5"/>
    <w:rsid w:val="00E10D20"/>
    <w:rsid w:val="00E11BFC"/>
    <w:rsid w:val="00E1235D"/>
    <w:rsid w:val="00E12E14"/>
    <w:rsid w:val="00E15323"/>
    <w:rsid w:val="00E221D0"/>
    <w:rsid w:val="00E25940"/>
    <w:rsid w:val="00E27B0E"/>
    <w:rsid w:val="00E31B2B"/>
    <w:rsid w:val="00E35EEA"/>
    <w:rsid w:val="00E36FD8"/>
    <w:rsid w:val="00E44AAE"/>
    <w:rsid w:val="00E453D5"/>
    <w:rsid w:val="00E463BD"/>
    <w:rsid w:val="00E506DF"/>
    <w:rsid w:val="00E558D1"/>
    <w:rsid w:val="00E656FD"/>
    <w:rsid w:val="00E65890"/>
    <w:rsid w:val="00E65FD1"/>
    <w:rsid w:val="00E70823"/>
    <w:rsid w:val="00E72144"/>
    <w:rsid w:val="00E75D8E"/>
    <w:rsid w:val="00E87C6C"/>
    <w:rsid w:val="00E91B11"/>
    <w:rsid w:val="00E93E03"/>
    <w:rsid w:val="00E95CA0"/>
    <w:rsid w:val="00E97AF5"/>
    <w:rsid w:val="00EA02C3"/>
    <w:rsid w:val="00EA1643"/>
    <w:rsid w:val="00EA20BE"/>
    <w:rsid w:val="00EA2E9B"/>
    <w:rsid w:val="00EA3176"/>
    <w:rsid w:val="00EA4969"/>
    <w:rsid w:val="00EB7A35"/>
    <w:rsid w:val="00EB7E4C"/>
    <w:rsid w:val="00EC0BD6"/>
    <w:rsid w:val="00ED0D9E"/>
    <w:rsid w:val="00ED1E1D"/>
    <w:rsid w:val="00EE06AF"/>
    <w:rsid w:val="00EE5EAA"/>
    <w:rsid w:val="00EF421B"/>
    <w:rsid w:val="00EF4CDE"/>
    <w:rsid w:val="00EF5307"/>
    <w:rsid w:val="00F00DE1"/>
    <w:rsid w:val="00F00ECD"/>
    <w:rsid w:val="00F0374D"/>
    <w:rsid w:val="00F0730C"/>
    <w:rsid w:val="00F0748F"/>
    <w:rsid w:val="00F07CFD"/>
    <w:rsid w:val="00F10BB8"/>
    <w:rsid w:val="00F133EC"/>
    <w:rsid w:val="00F1539D"/>
    <w:rsid w:val="00F22E46"/>
    <w:rsid w:val="00F23E91"/>
    <w:rsid w:val="00F24D79"/>
    <w:rsid w:val="00F25522"/>
    <w:rsid w:val="00F44FFD"/>
    <w:rsid w:val="00F47E86"/>
    <w:rsid w:val="00F56CF2"/>
    <w:rsid w:val="00F56D01"/>
    <w:rsid w:val="00F66147"/>
    <w:rsid w:val="00F7152F"/>
    <w:rsid w:val="00F7162C"/>
    <w:rsid w:val="00F72ED1"/>
    <w:rsid w:val="00F73932"/>
    <w:rsid w:val="00F759FD"/>
    <w:rsid w:val="00F75E71"/>
    <w:rsid w:val="00F80930"/>
    <w:rsid w:val="00F82313"/>
    <w:rsid w:val="00F82E38"/>
    <w:rsid w:val="00F83C20"/>
    <w:rsid w:val="00F84DD7"/>
    <w:rsid w:val="00F8607F"/>
    <w:rsid w:val="00FA0D00"/>
    <w:rsid w:val="00FA2776"/>
    <w:rsid w:val="00FA5CDF"/>
    <w:rsid w:val="00FB0784"/>
    <w:rsid w:val="00FB275E"/>
    <w:rsid w:val="00FB663A"/>
    <w:rsid w:val="00FB71CA"/>
    <w:rsid w:val="00FC307B"/>
    <w:rsid w:val="00FC75DC"/>
    <w:rsid w:val="00FD05B4"/>
    <w:rsid w:val="00FE6A4F"/>
    <w:rsid w:val="00FF1645"/>
    <w:rsid w:val="00FF5E35"/>
    <w:rsid w:val="03567B6A"/>
    <w:rsid w:val="1D26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AFF2B3-5A71-41E2-85DB-11DA4668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spacing w:line="240" w:lineRule="auto"/>
    </w:pPr>
    <w:rPr>
      <w:sz w:val="20"/>
      <w:szCs w:val="20"/>
    </w:rPr>
  </w:style>
  <w:style w:type="paragraph" w:styleId="a5">
    <w:name w:val="Document Map"/>
    <w:basedOn w:val="a"/>
    <w:link w:val="Char1"/>
    <w:uiPriority w:val="99"/>
    <w:semiHidden/>
    <w:unhideWhenUsed/>
    <w:qFormat/>
    <w:rPr>
      <w:rFonts w:ascii="宋体" w:eastAsia="宋体"/>
      <w:sz w:val="18"/>
      <w:szCs w:val="18"/>
    </w:rPr>
  </w:style>
  <w:style w:type="paragraph" w:styleId="a6">
    <w:name w:val="Balloon Text"/>
    <w:basedOn w:val="a"/>
    <w:link w:val="Char2"/>
    <w:uiPriority w:val="99"/>
    <w:semiHidden/>
    <w:unhideWhenUsed/>
    <w:pPr>
      <w:spacing w:after="0" w:line="240" w:lineRule="auto"/>
    </w:pPr>
    <w:rPr>
      <w:sz w:val="18"/>
      <w:szCs w:val="18"/>
    </w:rPr>
  </w:style>
  <w:style w:type="paragraph" w:styleId="a7">
    <w:name w:val="footer"/>
    <w:basedOn w:val="a"/>
    <w:link w:val="Char3"/>
    <w:uiPriority w:val="99"/>
    <w:unhideWhenUsed/>
    <w:pPr>
      <w:tabs>
        <w:tab w:val="center" w:pos="4153"/>
        <w:tab w:val="right" w:pos="8306"/>
      </w:tabs>
      <w:spacing w:after="0" w:line="240" w:lineRule="auto"/>
    </w:pPr>
  </w:style>
  <w:style w:type="paragraph" w:styleId="a8">
    <w:name w:val="header"/>
    <w:basedOn w:val="a"/>
    <w:link w:val="Char4"/>
    <w:uiPriority w:val="99"/>
    <w:unhideWhenUsed/>
    <w:pPr>
      <w:tabs>
        <w:tab w:val="center" w:pos="4153"/>
        <w:tab w:val="right" w:pos="8306"/>
      </w:tabs>
      <w:spacing w:after="0" w:line="240" w:lineRule="auto"/>
    </w:p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rPr>
      <w:sz w:val="16"/>
      <w:szCs w:val="16"/>
    </w:rPr>
  </w:style>
  <w:style w:type="table" w:styleId="ab">
    <w:name w:val="Table Grid"/>
    <w:basedOn w:val="a1"/>
    <w:uiPriority w:val="59"/>
    <w:qFormat/>
    <w:pPr>
      <w:spacing w:after="0" w:line="240" w:lineRule="auto"/>
      <w:ind w:left="420" w:hanging="420"/>
      <w:jc w:val="both"/>
    </w:pPr>
    <w:rPr>
      <w:rFonts w:ascii="Times New Roman" w:eastAsia="宋体" w:hAnsi="Times New Roman"/>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iao">
    <w:name w:val="1biao"/>
    <w:basedOn w:val="a"/>
    <w:link w:val="1biaoChar"/>
    <w:qFormat/>
    <w:pPr>
      <w:numPr>
        <w:numId w:val="1"/>
      </w:numPr>
      <w:tabs>
        <w:tab w:val="left" w:pos="567"/>
      </w:tabs>
      <w:overflowPunct w:val="0"/>
      <w:adjustRightInd w:val="0"/>
      <w:snapToGrid w:val="0"/>
      <w:spacing w:after="0" w:line="240" w:lineRule="auto"/>
      <w:ind w:hanging="360"/>
      <w:jc w:val="both"/>
      <w:outlineLvl w:val="0"/>
    </w:pPr>
    <w:rPr>
      <w:rFonts w:ascii="Arial" w:eastAsia="微软雅黑" w:hAnsi="Arial" w:cs="Arial"/>
      <w:snapToGrid w:val="0"/>
      <w:szCs w:val="24"/>
    </w:rPr>
  </w:style>
  <w:style w:type="character" w:customStyle="1" w:styleId="1biaoChar">
    <w:name w:val="1biao Char"/>
    <w:basedOn w:val="a0"/>
    <w:link w:val="1biao"/>
    <w:rPr>
      <w:rFonts w:ascii="Arial" w:eastAsia="微软雅黑" w:hAnsi="Arial" w:cs="Arial"/>
      <w:snapToGrid w:val="0"/>
      <w:szCs w:val="24"/>
    </w:rPr>
  </w:style>
  <w:style w:type="paragraph" w:customStyle="1" w:styleId="2biao">
    <w:name w:val="2biao"/>
    <w:basedOn w:val="a"/>
    <w:link w:val="2biaoChar"/>
    <w:qFormat/>
    <w:pPr>
      <w:tabs>
        <w:tab w:val="left" w:pos="720"/>
        <w:tab w:val="left" w:pos="1134"/>
      </w:tabs>
      <w:overflowPunct w:val="0"/>
      <w:adjustRightInd w:val="0"/>
      <w:snapToGrid w:val="0"/>
      <w:spacing w:after="0" w:line="240" w:lineRule="auto"/>
      <w:ind w:left="1134" w:hanging="567"/>
      <w:jc w:val="both"/>
      <w:outlineLvl w:val="1"/>
    </w:pPr>
    <w:rPr>
      <w:rFonts w:ascii="Arial" w:eastAsia="微软雅黑" w:hAnsi="Arial" w:cs="Arial"/>
      <w:snapToGrid w:val="0"/>
      <w:szCs w:val="24"/>
    </w:rPr>
  </w:style>
  <w:style w:type="character" w:customStyle="1" w:styleId="2biaoChar">
    <w:name w:val="2biao Char"/>
    <w:basedOn w:val="a0"/>
    <w:link w:val="2biao"/>
    <w:qFormat/>
    <w:rPr>
      <w:rFonts w:ascii="Arial" w:eastAsia="微软雅黑" w:hAnsi="Arial" w:cs="Arial"/>
      <w:snapToGrid w:val="0"/>
      <w:szCs w:val="24"/>
    </w:rPr>
  </w:style>
  <w:style w:type="character" w:customStyle="1" w:styleId="Char4">
    <w:name w:val="页眉 Char"/>
    <w:basedOn w:val="a0"/>
    <w:link w:val="a8"/>
    <w:uiPriority w:val="99"/>
  </w:style>
  <w:style w:type="character" w:customStyle="1" w:styleId="Char3">
    <w:name w:val="页脚 Char"/>
    <w:basedOn w:val="a0"/>
    <w:link w:val="a7"/>
    <w:uiPriority w:val="99"/>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pPr>
      <w:ind w:left="720"/>
      <w:contextualSpacing/>
    </w:pPr>
  </w:style>
  <w:style w:type="paragraph" w:customStyle="1" w:styleId="Style11">
    <w:name w:val="Style11"/>
    <w:basedOn w:val="Default"/>
    <w:link w:val="Style11Char"/>
    <w:qFormat/>
    <w:pPr>
      <w:numPr>
        <w:numId w:val="2"/>
      </w:numPr>
      <w:spacing w:line="560" w:lineRule="exact"/>
    </w:pPr>
    <w:rPr>
      <w:rFonts w:ascii="黑体" w:eastAsia="黑体" w:cs="黑体"/>
      <w:color w:val="auto"/>
      <w:sz w:val="32"/>
      <w:szCs w:val="32"/>
    </w:rPr>
  </w:style>
  <w:style w:type="character" w:customStyle="1" w:styleId="DefaultChar">
    <w:name w:val="Default Char"/>
    <w:basedOn w:val="a0"/>
    <w:link w:val="Default"/>
    <w:qFormat/>
    <w:rPr>
      <w:rFonts w:ascii="Times New Roman" w:hAnsi="Times New Roman" w:cs="Times New Roman"/>
      <w:color w:val="000000"/>
      <w:sz w:val="24"/>
      <w:szCs w:val="24"/>
    </w:rPr>
  </w:style>
  <w:style w:type="character" w:customStyle="1" w:styleId="Style11Char">
    <w:name w:val="Style11 Char"/>
    <w:basedOn w:val="DefaultChar"/>
    <w:link w:val="Style11"/>
    <w:rPr>
      <w:rFonts w:ascii="黑体" w:eastAsia="黑体" w:hAnsi="Times New Roman" w:cs="黑体"/>
      <w:color w:val="000000"/>
      <w:sz w:val="32"/>
      <w:szCs w:val="32"/>
    </w:rPr>
  </w:style>
  <w:style w:type="character" w:customStyle="1" w:styleId="Char1">
    <w:name w:val="文档结构图 Char"/>
    <w:basedOn w:val="a0"/>
    <w:link w:val="a5"/>
    <w:uiPriority w:val="99"/>
    <w:semiHidden/>
    <w:rPr>
      <w:rFonts w:ascii="宋体" w:eastAsia="宋体"/>
      <w:sz w:val="18"/>
      <w:szCs w:val="18"/>
    </w:rPr>
  </w:style>
  <w:style w:type="character" w:customStyle="1" w:styleId="1Char">
    <w:name w:val="标题 1 Char"/>
    <w:basedOn w:val="a0"/>
    <w:link w:val="1"/>
    <w:uiPriority w:val="9"/>
    <w:rPr>
      <w:b/>
      <w:bCs/>
      <w:kern w:val="44"/>
      <w:sz w:val="44"/>
      <w:szCs w:val="44"/>
    </w:rPr>
  </w:style>
  <w:style w:type="paragraph" w:customStyle="1" w:styleId="TOCHeading1">
    <w:name w:val="TOC Heading1"/>
    <w:basedOn w:val="1"/>
    <w:next w:val="a"/>
    <w:uiPriority w:val="39"/>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rPr>
  </w:style>
  <w:style w:type="character" w:customStyle="1" w:styleId="Char2">
    <w:name w:val="批注框文本 Char"/>
    <w:basedOn w:val="a0"/>
    <w:link w:val="a6"/>
    <w:uiPriority w:val="99"/>
    <w:semiHidden/>
    <w:qFormat/>
    <w:rPr>
      <w:sz w:val="18"/>
      <w:szCs w:val="18"/>
    </w:rPr>
  </w:style>
  <w:style w:type="character" w:customStyle="1" w:styleId="Char0">
    <w:name w:val="批注文字 Char"/>
    <w:basedOn w:val="a0"/>
    <w:link w:val="a4"/>
    <w:uiPriority w:val="99"/>
    <w:semiHidden/>
    <w:rPr>
      <w:sz w:val="20"/>
      <w:szCs w:val="20"/>
    </w:rPr>
  </w:style>
  <w:style w:type="character" w:customStyle="1" w:styleId="Char">
    <w:name w:val="批注主题 Char"/>
    <w:basedOn w:val="Char0"/>
    <w:link w:val="a3"/>
    <w:uiPriority w:val="99"/>
    <w:semiHidden/>
    <w:rPr>
      <w:b/>
      <w:bCs/>
      <w:sz w:val="20"/>
      <w:szCs w:val="20"/>
    </w:rPr>
  </w:style>
  <w:style w:type="character" w:customStyle="1" w:styleId="2Char">
    <w:name w:val="标题 2 Char"/>
    <w:basedOn w:val="a0"/>
    <w:link w:val="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7D9A4-A292-4AB5-B21E-F29DE08D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Yu</dc:creator>
  <cp:lastModifiedBy>iac</cp:lastModifiedBy>
  <cp:revision>4</cp:revision>
  <cp:lastPrinted>2018-03-14T06:27:00Z</cp:lastPrinted>
  <dcterms:created xsi:type="dcterms:W3CDTF">2019-03-19T08:27:00Z</dcterms:created>
  <dcterms:modified xsi:type="dcterms:W3CDTF">2019-03-19T11:03:00Z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