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B77EC" w14:textId="77777777" w:rsidR="0007332B" w:rsidRDefault="0007332B" w:rsidP="0007332B">
      <w:pPr>
        <w:jc w:val="center"/>
        <w:rPr>
          <w:rFonts w:eastAsia="宋体"/>
          <w:b/>
          <w:bCs/>
          <w:sz w:val="44"/>
        </w:rPr>
      </w:pPr>
      <w:r>
        <w:rPr>
          <w:rFonts w:eastAsia="宋体" w:hint="eastAsia"/>
          <w:b/>
          <w:bCs/>
          <w:sz w:val="44"/>
        </w:rPr>
        <w:t>五、关于科目表的使用说明</w:t>
      </w:r>
    </w:p>
    <w:p w14:paraId="1C546CF5" w14:textId="77777777" w:rsidR="0007332B" w:rsidRDefault="0007332B" w:rsidP="0007332B">
      <w:pPr>
        <w:jc w:val="center"/>
        <w:rPr>
          <w:rFonts w:eastAsia="宋体"/>
          <w:b/>
          <w:bCs/>
          <w:sz w:val="44"/>
        </w:rPr>
      </w:pPr>
    </w:p>
    <w:p w14:paraId="6DE4ACC5" w14:textId="77777777" w:rsidR="0007332B" w:rsidRDefault="0007332B" w:rsidP="0007332B">
      <w:pPr>
        <w:numPr>
          <w:ilvl w:val="0"/>
          <w:numId w:val="1"/>
        </w:numPr>
        <w:tabs>
          <w:tab w:val="clear" w:pos="720"/>
          <w:tab w:val="num" w:pos="0"/>
        </w:tabs>
        <w:ind w:left="0" w:firstLineChars="240" w:firstLine="720"/>
        <w:rPr>
          <w:sz w:val="30"/>
        </w:rPr>
      </w:pPr>
      <w:r>
        <w:rPr>
          <w:rFonts w:hint="eastAsia"/>
          <w:sz w:val="30"/>
        </w:rPr>
        <w:t>科目表适用的公司包括财产保险公司、人寿保险公司、再保险公司、集团公司。</w:t>
      </w:r>
    </w:p>
    <w:p w14:paraId="78C5037D" w14:textId="77777777" w:rsidR="0007332B" w:rsidRDefault="0007332B" w:rsidP="0007332B">
      <w:pPr>
        <w:numPr>
          <w:ilvl w:val="0"/>
          <w:numId w:val="1"/>
        </w:numPr>
        <w:tabs>
          <w:tab w:val="clear" w:pos="720"/>
          <w:tab w:val="num" w:pos="0"/>
        </w:tabs>
        <w:ind w:left="0" w:firstLineChars="240" w:firstLine="720"/>
        <w:rPr>
          <w:sz w:val="30"/>
        </w:rPr>
      </w:pPr>
      <w:r>
        <w:rPr>
          <w:rFonts w:hint="eastAsia"/>
          <w:sz w:val="30"/>
        </w:rPr>
        <w:t>公司类型字段：标出了产险、寿险、再保和集团，分别用“产”、“寿”、“再”和“集”表示。再保险公司填报科目</w:t>
      </w:r>
      <w:proofErr w:type="gramStart"/>
      <w:r>
        <w:rPr>
          <w:rFonts w:hint="eastAsia"/>
          <w:sz w:val="30"/>
        </w:rPr>
        <w:t>不分产寿业务</w:t>
      </w:r>
      <w:proofErr w:type="gramEnd"/>
      <w:r>
        <w:rPr>
          <w:rFonts w:hint="eastAsia"/>
          <w:sz w:val="30"/>
        </w:rPr>
        <w:t>，因此再保险公司应根据其业务范围报送相应科目，</w:t>
      </w:r>
      <w:proofErr w:type="gramStart"/>
      <w:r>
        <w:rPr>
          <w:rFonts w:hint="eastAsia"/>
          <w:sz w:val="30"/>
        </w:rPr>
        <w:t>人寿再</w:t>
      </w:r>
      <w:proofErr w:type="gramEnd"/>
      <w:r>
        <w:rPr>
          <w:rFonts w:hint="eastAsia"/>
          <w:sz w:val="30"/>
        </w:rPr>
        <w:t>报送寿险科目、财产再报送财产险业务、综合性的如慕尼黑</w:t>
      </w:r>
      <w:proofErr w:type="gramStart"/>
      <w:r>
        <w:rPr>
          <w:rFonts w:hint="eastAsia"/>
          <w:sz w:val="30"/>
        </w:rPr>
        <w:t>再产寿都</w:t>
      </w:r>
      <w:proofErr w:type="gramEnd"/>
      <w:r>
        <w:rPr>
          <w:rFonts w:hint="eastAsia"/>
          <w:sz w:val="30"/>
        </w:rPr>
        <w:t>报送。</w:t>
      </w:r>
    </w:p>
    <w:p w14:paraId="3923D16A" w14:textId="77777777" w:rsidR="0007332B" w:rsidRDefault="0007332B" w:rsidP="0007332B">
      <w:pPr>
        <w:numPr>
          <w:ilvl w:val="0"/>
          <w:numId w:val="1"/>
        </w:numPr>
        <w:tabs>
          <w:tab w:val="clear" w:pos="720"/>
          <w:tab w:val="num" w:pos="0"/>
        </w:tabs>
        <w:ind w:left="0" w:firstLineChars="240" w:firstLine="720"/>
        <w:rPr>
          <w:sz w:val="30"/>
        </w:rPr>
      </w:pPr>
      <w:r>
        <w:rPr>
          <w:rFonts w:hint="eastAsia"/>
          <w:sz w:val="30"/>
        </w:rPr>
        <w:t>科目性质字段包括：资产、负债、权益、损益、现金流量、统计、资金运用，分别用“资产”、“负债”、“权益”、“损益”、“现金流”、“统计”和“资金”表示。</w:t>
      </w:r>
    </w:p>
    <w:p w14:paraId="2E25A4DA" w14:textId="77777777" w:rsidR="0007332B" w:rsidRDefault="0007332B" w:rsidP="0007332B">
      <w:pPr>
        <w:numPr>
          <w:ilvl w:val="0"/>
          <w:numId w:val="1"/>
        </w:numPr>
        <w:tabs>
          <w:tab w:val="clear" w:pos="720"/>
          <w:tab w:val="num" w:pos="0"/>
        </w:tabs>
        <w:ind w:left="0" w:firstLineChars="240" w:firstLine="720"/>
        <w:rPr>
          <w:sz w:val="30"/>
        </w:rPr>
      </w:pPr>
      <w:r>
        <w:rPr>
          <w:rFonts w:hint="eastAsia"/>
          <w:sz w:val="30"/>
        </w:rPr>
        <w:t>填报频率字段包括：快报、月报、季报、半年报、年报，分别用“快”、“月”、“季”、“半年”和“年”表示。快报每月上报、单独存储；逢</w:t>
      </w:r>
      <w:r>
        <w:rPr>
          <w:rFonts w:hint="eastAsia"/>
          <w:sz w:val="30"/>
        </w:rPr>
        <w:t>1</w:t>
      </w:r>
      <w:r>
        <w:rPr>
          <w:rFonts w:hint="eastAsia"/>
          <w:sz w:val="30"/>
        </w:rPr>
        <w:t>、</w:t>
      </w:r>
      <w:r>
        <w:rPr>
          <w:rFonts w:hint="eastAsia"/>
          <w:sz w:val="30"/>
        </w:rPr>
        <w:t>2</w:t>
      </w:r>
      <w:r>
        <w:rPr>
          <w:rFonts w:hint="eastAsia"/>
          <w:sz w:val="30"/>
        </w:rPr>
        <w:t>、</w:t>
      </w:r>
      <w:r>
        <w:rPr>
          <w:rFonts w:hint="eastAsia"/>
          <w:sz w:val="30"/>
        </w:rPr>
        <w:t>4</w:t>
      </w:r>
      <w:r>
        <w:rPr>
          <w:rFonts w:hint="eastAsia"/>
          <w:sz w:val="30"/>
        </w:rPr>
        <w:t>、</w:t>
      </w:r>
      <w:r>
        <w:rPr>
          <w:rFonts w:hint="eastAsia"/>
          <w:sz w:val="30"/>
        </w:rPr>
        <w:t>5</w:t>
      </w:r>
      <w:r>
        <w:rPr>
          <w:rFonts w:hint="eastAsia"/>
          <w:sz w:val="30"/>
        </w:rPr>
        <w:t>、</w:t>
      </w:r>
      <w:r>
        <w:rPr>
          <w:rFonts w:hint="eastAsia"/>
          <w:sz w:val="30"/>
        </w:rPr>
        <w:t>7</w:t>
      </w:r>
      <w:r>
        <w:rPr>
          <w:rFonts w:hint="eastAsia"/>
          <w:sz w:val="30"/>
        </w:rPr>
        <w:t>、</w:t>
      </w:r>
      <w:r>
        <w:rPr>
          <w:rFonts w:hint="eastAsia"/>
          <w:sz w:val="30"/>
        </w:rPr>
        <w:t>8</w:t>
      </w:r>
      <w:r>
        <w:rPr>
          <w:rFonts w:hint="eastAsia"/>
          <w:sz w:val="30"/>
        </w:rPr>
        <w:t>、</w:t>
      </w:r>
      <w:r>
        <w:rPr>
          <w:rFonts w:hint="eastAsia"/>
          <w:sz w:val="30"/>
        </w:rPr>
        <w:t>10</w:t>
      </w:r>
      <w:r>
        <w:rPr>
          <w:rFonts w:hint="eastAsia"/>
          <w:sz w:val="30"/>
        </w:rPr>
        <w:t>、</w:t>
      </w:r>
      <w:r>
        <w:rPr>
          <w:rFonts w:hint="eastAsia"/>
          <w:sz w:val="30"/>
        </w:rPr>
        <w:t>11</w:t>
      </w:r>
      <w:r>
        <w:rPr>
          <w:rFonts w:hint="eastAsia"/>
          <w:sz w:val="30"/>
        </w:rPr>
        <w:t>报月度科目、逢</w:t>
      </w:r>
      <w:r>
        <w:rPr>
          <w:rFonts w:hint="eastAsia"/>
          <w:sz w:val="30"/>
        </w:rPr>
        <w:t>3</w:t>
      </w:r>
      <w:r>
        <w:rPr>
          <w:rFonts w:hint="eastAsia"/>
          <w:sz w:val="30"/>
        </w:rPr>
        <w:t>、</w:t>
      </w:r>
      <w:r>
        <w:rPr>
          <w:rFonts w:hint="eastAsia"/>
          <w:sz w:val="30"/>
        </w:rPr>
        <w:t>9</w:t>
      </w:r>
      <w:r>
        <w:rPr>
          <w:rFonts w:hint="eastAsia"/>
          <w:sz w:val="30"/>
        </w:rPr>
        <w:t>报季度科目；逢</w:t>
      </w:r>
      <w:proofErr w:type="gramStart"/>
      <w:r>
        <w:rPr>
          <w:rFonts w:hint="eastAsia"/>
          <w:sz w:val="30"/>
        </w:rPr>
        <w:t>6</w:t>
      </w:r>
      <w:r>
        <w:rPr>
          <w:rFonts w:hint="eastAsia"/>
          <w:sz w:val="30"/>
        </w:rPr>
        <w:t>、</w:t>
      </w:r>
      <w:r>
        <w:rPr>
          <w:rFonts w:hint="eastAsia"/>
          <w:sz w:val="30"/>
        </w:rPr>
        <w:t>12</w:t>
      </w:r>
      <w:r>
        <w:rPr>
          <w:rFonts w:hint="eastAsia"/>
          <w:sz w:val="30"/>
        </w:rPr>
        <w:t>报半年度</w:t>
      </w:r>
      <w:proofErr w:type="gramEnd"/>
      <w:r>
        <w:rPr>
          <w:rFonts w:hint="eastAsia"/>
          <w:sz w:val="30"/>
        </w:rPr>
        <w:t>科目；</w:t>
      </w:r>
      <w:r>
        <w:rPr>
          <w:rFonts w:hint="eastAsia"/>
          <w:sz w:val="30"/>
        </w:rPr>
        <w:t>12</w:t>
      </w:r>
      <w:r>
        <w:rPr>
          <w:rFonts w:hint="eastAsia"/>
          <w:sz w:val="30"/>
        </w:rPr>
        <w:t>月另需上报年报。</w:t>
      </w:r>
    </w:p>
    <w:p w14:paraId="753214C3" w14:textId="77777777" w:rsidR="0007332B" w:rsidRDefault="0007332B" w:rsidP="0007332B">
      <w:pPr>
        <w:numPr>
          <w:ilvl w:val="0"/>
          <w:numId w:val="1"/>
        </w:numPr>
        <w:tabs>
          <w:tab w:val="clear" w:pos="720"/>
          <w:tab w:val="num" w:pos="0"/>
        </w:tabs>
        <w:ind w:left="0" w:firstLineChars="240" w:firstLine="720"/>
        <w:rPr>
          <w:sz w:val="30"/>
        </w:rPr>
      </w:pPr>
      <w:r>
        <w:rPr>
          <w:rFonts w:hint="eastAsia"/>
          <w:sz w:val="30"/>
        </w:rPr>
        <w:t>科目名称字段：显示科目名称，不同层级科目用“－”分隔，下级科目的名称使用上级科目名称作为前缀。</w:t>
      </w:r>
    </w:p>
    <w:p w14:paraId="1D536751" w14:textId="77777777" w:rsidR="0007332B" w:rsidRDefault="0007332B" w:rsidP="0007332B">
      <w:pPr>
        <w:numPr>
          <w:ilvl w:val="0"/>
          <w:numId w:val="1"/>
        </w:numPr>
        <w:tabs>
          <w:tab w:val="clear" w:pos="720"/>
          <w:tab w:val="num" w:pos="0"/>
        </w:tabs>
        <w:ind w:left="0" w:firstLineChars="240" w:firstLine="720"/>
        <w:rPr>
          <w:sz w:val="30"/>
        </w:rPr>
      </w:pPr>
      <w:r>
        <w:rPr>
          <w:rFonts w:hint="eastAsia"/>
          <w:sz w:val="30"/>
        </w:rPr>
        <w:t>校验字段：本文件规定了科目上下级校验关系和总分校验关系。</w:t>
      </w:r>
    </w:p>
    <w:p w14:paraId="23AF4640" w14:textId="77777777" w:rsidR="0007332B" w:rsidRDefault="0007332B" w:rsidP="0007332B">
      <w:pPr>
        <w:tabs>
          <w:tab w:val="num" w:pos="0"/>
        </w:tabs>
        <w:ind w:firstLineChars="240" w:firstLine="720"/>
        <w:rPr>
          <w:sz w:val="30"/>
        </w:rPr>
      </w:pPr>
      <w:r>
        <w:rPr>
          <w:rFonts w:hint="eastAsia"/>
          <w:sz w:val="30"/>
        </w:rPr>
        <w:t>总分校验字段中，一级科目的校验字段为空的不存在一级科目的校验关系，为“</w:t>
      </w:r>
      <w:r>
        <w:rPr>
          <w:rFonts w:hint="eastAsia"/>
          <w:sz w:val="30"/>
        </w:rPr>
        <w:t>1</w:t>
      </w:r>
      <w:r>
        <w:rPr>
          <w:rFonts w:hint="eastAsia"/>
          <w:sz w:val="30"/>
        </w:rPr>
        <w:t>”的表示有校验关系，必须符合中心支公司汇总等于省分公司，省分公司汇总等于总公司的校验关系。</w:t>
      </w:r>
    </w:p>
    <w:p w14:paraId="1626C517" w14:textId="77777777" w:rsidR="0007332B" w:rsidRDefault="0007332B" w:rsidP="0007332B">
      <w:pPr>
        <w:tabs>
          <w:tab w:val="num" w:pos="0"/>
        </w:tabs>
        <w:ind w:firstLineChars="240" w:firstLine="720"/>
        <w:rPr>
          <w:sz w:val="30"/>
        </w:rPr>
      </w:pPr>
      <w:r>
        <w:rPr>
          <w:rFonts w:hint="eastAsia"/>
          <w:sz w:val="30"/>
        </w:rPr>
        <w:t>科目校验有两种情况：一是关系式校验。是用来表示一级科</w:t>
      </w:r>
      <w:r>
        <w:rPr>
          <w:rFonts w:hint="eastAsia"/>
          <w:sz w:val="30"/>
        </w:rPr>
        <w:lastRenderedPageBreak/>
        <w:t>目间的校验关系，科目校验字段中为“</w:t>
      </w:r>
      <w:r>
        <w:rPr>
          <w:rFonts w:hint="eastAsia"/>
          <w:sz w:val="30"/>
        </w:rPr>
        <w:t>0</w:t>
      </w:r>
      <w:r>
        <w:rPr>
          <w:rFonts w:hint="eastAsia"/>
          <w:sz w:val="30"/>
        </w:rPr>
        <w:t>”的，表示存在关系式校验，关系式在科目填报口径定义中进行说明。二是科目层级汇总校验。科目校验字段的逻辑关系一般遵循：下级科目汇总等于上级科目；遇到同一层级有多个向上汇总校验关系的，校验字段标记为</w:t>
      </w:r>
      <w:r>
        <w:rPr>
          <w:rFonts w:hint="eastAsia"/>
          <w:sz w:val="30"/>
        </w:rPr>
        <w:t>1</w:t>
      </w:r>
      <w:r>
        <w:rPr>
          <w:rFonts w:hint="eastAsia"/>
          <w:sz w:val="30"/>
        </w:rPr>
        <w:t>的（代表一个汇总关系）参与向上汇总校验、标记为</w:t>
      </w:r>
      <w:r>
        <w:rPr>
          <w:rFonts w:hint="eastAsia"/>
          <w:sz w:val="30"/>
        </w:rPr>
        <w:t>2</w:t>
      </w:r>
      <w:r>
        <w:rPr>
          <w:rFonts w:hint="eastAsia"/>
          <w:sz w:val="30"/>
        </w:rPr>
        <w:t>（代表另一个汇总关系）参与向上汇总，标记为</w:t>
      </w:r>
      <w:r>
        <w:rPr>
          <w:rFonts w:hint="eastAsia"/>
          <w:sz w:val="30"/>
        </w:rPr>
        <w:t>3</w:t>
      </w:r>
      <w:r>
        <w:rPr>
          <w:rFonts w:hint="eastAsia"/>
          <w:sz w:val="30"/>
        </w:rPr>
        <w:t>或</w:t>
      </w:r>
      <w:r>
        <w:rPr>
          <w:rFonts w:hint="eastAsia"/>
          <w:sz w:val="30"/>
        </w:rPr>
        <w:t>4</w:t>
      </w:r>
      <w:r>
        <w:rPr>
          <w:rFonts w:hint="eastAsia"/>
          <w:sz w:val="30"/>
        </w:rPr>
        <w:t>的同前；遇到其中项的，校验字段标记为</w:t>
      </w:r>
      <w:r>
        <w:rPr>
          <w:rFonts w:hint="eastAsia"/>
          <w:sz w:val="30"/>
        </w:rPr>
        <w:t>9</w:t>
      </w:r>
      <w:r>
        <w:rPr>
          <w:rFonts w:hint="eastAsia"/>
          <w:sz w:val="30"/>
        </w:rPr>
        <w:t>，即不进行任何校验。举例说明如下：</w:t>
      </w:r>
    </w:p>
    <w:p w14:paraId="6863D3E7" w14:textId="77777777" w:rsidR="0007332B" w:rsidRDefault="0007332B" w:rsidP="0007332B">
      <w:pPr>
        <w:tabs>
          <w:tab w:val="num" w:pos="0"/>
        </w:tabs>
        <w:ind w:firstLineChars="240" w:firstLine="720"/>
        <w:rPr>
          <w:rFonts w:ascii="仿宋_GB2312"/>
          <w:sz w:val="30"/>
        </w:rPr>
      </w:pPr>
      <w:r>
        <w:rPr>
          <w:rFonts w:ascii="仿宋_GB2312" w:hint="eastAsia"/>
          <w:sz w:val="30"/>
        </w:rPr>
        <w:t>科目</w:t>
      </w:r>
      <w:proofErr w:type="gramStart"/>
      <w:r>
        <w:rPr>
          <w:rFonts w:ascii="仿宋_GB2312" w:hint="eastAsia"/>
          <w:sz w:val="30"/>
        </w:rPr>
        <w:t>表电子</w:t>
      </w:r>
      <w:proofErr w:type="gramEnd"/>
      <w:r>
        <w:rPr>
          <w:rFonts w:ascii="仿宋_GB2312" w:hint="eastAsia"/>
          <w:sz w:val="30"/>
        </w:rPr>
        <w:t>文件中“保费收入－寿险－其中：养老金－有税优计划”和“保费收入－寿险－其中：养老金－无税优计划”校验字段都标记为“1”，表示这两个相加等于其上级科目“保费收入－寿险－其中：养老金”。</w:t>
      </w:r>
    </w:p>
    <w:p w14:paraId="58C528DF" w14:textId="77777777" w:rsidR="0007332B" w:rsidRDefault="0007332B" w:rsidP="0007332B">
      <w:pPr>
        <w:tabs>
          <w:tab w:val="num" w:pos="0"/>
        </w:tabs>
        <w:ind w:firstLineChars="240" w:firstLine="720"/>
        <w:rPr>
          <w:rFonts w:ascii="仿宋_GB2312"/>
          <w:sz w:val="30"/>
        </w:rPr>
      </w:pPr>
      <w:r>
        <w:rPr>
          <w:rFonts w:ascii="仿宋_GB2312" w:hint="eastAsia"/>
          <w:sz w:val="30"/>
        </w:rPr>
        <w:t>同时，“保费收入－寿险－其中：养老金－固定给付(DB)计划”和“保费收入－寿险－其中：养老金－固定缴费(DC)计划”的校验字段都标记为“2”，表示这两个相加也等于其上级科目“保费收入－寿险－其中：养老金”。</w:t>
      </w:r>
    </w:p>
    <w:p w14:paraId="1EBDD8B1" w14:textId="77777777" w:rsidR="0007332B" w:rsidRDefault="0007332B" w:rsidP="0007332B">
      <w:pPr>
        <w:tabs>
          <w:tab w:val="num" w:pos="0"/>
        </w:tabs>
        <w:ind w:firstLineChars="240" w:firstLine="720"/>
        <w:rPr>
          <w:rFonts w:ascii="仿宋_GB2312"/>
          <w:sz w:val="30"/>
        </w:rPr>
      </w:pPr>
      <w:r>
        <w:rPr>
          <w:rFonts w:ascii="仿宋_GB2312" w:hint="eastAsia"/>
          <w:sz w:val="30"/>
        </w:rPr>
        <w:t>也就是说这是两种分类方式，两种分类方式分别汇总等于上级科目。</w:t>
      </w:r>
    </w:p>
    <w:p w14:paraId="742EC46E" w14:textId="77777777" w:rsidR="0007332B" w:rsidRDefault="0007332B" w:rsidP="0007332B">
      <w:pPr>
        <w:numPr>
          <w:ilvl w:val="0"/>
          <w:numId w:val="1"/>
        </w:numPr>
        <w:tabs>
          <w:tab w:val="clear" w:pos="720"/>
          <w:tab w:val="num" w:pos="0"/>
        </w:tabs>
        <w:ind w:left="0" w:firstLineChars="240" w:firstLine="720"/>
        <w:rPr>
          <w:sz w:val="30"/>
        </w:rPr>
      </w:pPr>
      <w:r>
        <w:rPr>
          <w:rFonts w:hint="eastAsia"/>
          <w:sz w:val="30"/>
        </w:rPr>
        <w:t>科目</w:t>
      </w:r>
      <w:proofErr w:type="gramStart"/>
      <w:r>
        <w:rPr>
          <w:rFonts w:hint="eastAsia"/>
          <w:sz w:val="30"/>
        </w:rPr>
        <w:t>表电子</w:t>
      </w:r>
      <w:proofErr w:type="gramEnd"/>
      <w:r>
        <w:rPr>
          <w:rFonts w:hint="eastAsia"/>
          <w:sz w:val="30"/>
        </w:rPr>
        <w:t>文档制作了宏，用于标记不同层级科目的颜色，用户可以放心打开宏。</w:t>
      </w:r>
    </w:p>
    <w:p w14:paraId="6727361B" w14:textId="77777777" w:rsidR="008A470E" w:rsidRPr="0007332B" w:rsidRDefault="008A470E" w:rsidP="008A470E">
      <w:pPr>
        <w:spacing w:line="240" w:lineRule="auto"/>
        <w:ind w:firstLine="640"/>
        <w:jc w:val="center"/>
      </w:pPr>
    </w:p>
    <w:p w14:paraId="66539029" w14:textId="77777777" w:rsidR="008A470E" w:rsidRDefault="008A470E" w:rsidP="008A470E">
      <w:pPr>
        <w:spacing w:line="240" w:lineRule="auto"/>
        <w:ind w:firstLine="640"/>
        <w:jc w:val="center"/>
      </w:pPr>
    </w:p>
    <w:p w14:paraId="2ECE5361" w14:textId="77777777" w:rsidR="008A470E" w:rsidRDefault="008A470E" w:rsidP="008A470E">
      <w:pPr>
        <w:spacing w:line="240" w:lineRule="auto"/>
        <w:ind w:firstLine="640"/>
        <w:jc w:val="center"/>
      </w:pPr>
    </w:p>
    <w:p w14:paraId="3C618BF3" w14:textId="77777777" w:rsidR="008A470E" w:rsidRDefault="008A470E" w:rsidP="008A470E">
      <w:pPr>
        <w:spacing w:line="240" w:lineRule="auto"/>
        <w:ind w:firstLine="640"/>
        <w:jc w:val="center"/>
      </w:pPr>
    </w:p>
    <w:p w14:paraId="6F2711D7" w14:textId="77777777" w:rsidR="008A470E" w:rsidRDefault="008A470E" w:rsidP="008A470E">
      <w:pPr>
        <w:spacing w:line="240" w:lineRule="auto"/>
        <w:jc w:val="center"/>
        <w:rPr>
          <w:rFonts w:eastAsia="宋体"/>
          <w:b/>
          <w:bCs/>
          <w:sz w:val="72"/>
        </w:rPr>
      </w:pPr>
      <w:r>
        <w:rPr>
          <w:rFonts w:eastAsia="宋体" w:hint="eastAsia"/>
          <w:b/>
          <w:bCs/>
          <w:sz w:val="72"/>
        </w:rPr>
        <w:lastRenderedPageBreak/>
        <w:t>六、保险公司科目表</w:t>
      </w:r>
    </w:p>
    <w:p w14:paraId="41E3B39A" w14:textId="77777777" w:rsidR="00EB587A" w:rsidRDefault="00EB587A">
      <w:pPr>
        <w:ind w:firstLine="640"/>
      </w:pPr>
    </w:p>
    <w:sectPr w:rsidR="00EB58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91EA8" w14:textId="77777777" w:rsidR="00837051" w:rsidRDefault="00837051" w:rsidP="008A470E">
      <w:pPr>
        <w:spacing w:line="240" w:lineRule="auto"/>
        <w:ind w:firstLine="640"/>
      </w:pPr>
      <w:r>
        <w:separator/>
      </w:r>
    </w:p>
  </w:endnote>
  <w:endnote w:type="continuationSeparator" w:id="0">
    <w:p w14:paraId="7C2233A7" w14:textId="77777777" w:rsidR="00837051" w:rsidRDefault="00837051" w:rsidP="008A470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11D19" w14:textId="77777777" w:rsidR="008A470E" w:rsidRDefault="008A470E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1158" w14:textId="77777777" w:rsidR="008A470E" w:rsidRDefault="008A470E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58D9B" w14:textId="77777777" w:rsidR="008A470E" w:rsidRDefault="008A470E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E116C" w14:textId="77777777" w:rsidR="00837051" w:rsidRDefault="00837051" w:rsidP="008A470E">
      <w:pPr>
        <w:spacing w:line="240" w:lineRule="auto"/>
        <w:ind w:firstLine="640"/>
      </w:pPr>
      <w:r>
        <w:separator/>
      </w:r>
    </w:p>
  </w:footnote>
  <w:footnote w:type="continuationSeparator" w:id="0">
    <w:p w14:paraId="558FF382" w14:textId="77777777" w:rsidR="00837051" w:rsidRDefault="00837051" w:rsidP="008A470E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56575" w14:textId="77777777" w:rsidR="008A470E" w:rsidRDefault="008A470E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E56C" w14:textId="77777777" w:rsidR="008A470E" w:rsidRDefault="008A470E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FC16E" w14:textId="77777777" w:rsidR="008A470E" w:rsidRDefault="008A470E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162859"/>
    <w:multiLevelType w:val="hybridMultilevel"/>
    <w:tmpl w:val="2C320488"/>
    <w:lvl w:ilvl="0" w:tplc="10CEEA4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093816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1E3"/>
    <w:rsid w:val="0007332B"/>
    <w:rsid w:val="003E0466"/>
    <w:rsid w:val="005A2C62"/>
    <w:rsid w:val="006D31E3"/>
    <w:rsid w:val="00837051"/>
    <w:rsid w:val="008A470E"/>
    <w:rsid w:val="00EB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BCA7E3"/>
  <w15:chartTrackingRefBased/>
  <w15:docId w15:val="{B8AA8D9F-4B46-4B4F-99FD-20A30BEE9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70E"/>
    <w:pPr>
      <w:widowControl w:val="0"/>
      <w:spacing w:line="560" w:lineRule="exact"/>
      <w:jc w:val="both"/>
    </w:pPr>
    <w:rPr>
      <w:rFonts w:ascii="Times New Roman" w:eastAsia="仿宋_GB2312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2C62"/>
    <w:pPr>
      <w:keepNext/>
      <w:keepLines/>
      <w:ind w:firstLineChars="200" w:firstLine="200"/>
      <w:outlineLvl w:val="0"/>
    </w:pPr>
    <w:rPr>
      <w:rFonts w:asciiTheme="minorHAnsi" w:eastAsia="黑体" w:hAnsiTheme="minorHAnsi" w:cstheme="minorBidi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A2C62"/>
    <w:pPr>
      <w:keepNext/>
      <w:keepLines/>
      <w:ind w:firstLineChars="200" w:firstLine="200"/>
      <w:outlineLvl w:val="1"/>
    </w:pPr>
    <w:rPr>
      <w:rFonts w:asciiTheme="majorHAnsi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A2C62"/>
    <w:pPr>
      <w:keepNext/>
      <w:keepLines/>
      <w:ind w:firstLineChars="200" w:firstLine="200"/>
      <w:outlineLvl w:val="2"/>
    </w:pPr>
    <w:rPr>
      <w:rFonts w:asciiTheme="minorHAnsi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A2C62"/>
    <w:rPr>
      <w:rFonts w:eastAsia="黑体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5A2C62"/>
    <w:rPr>
      <w:rFonts w:asciiTheme="majorHAnsi" w:eastAsia="仿宋_GB2312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5A2C62"/>
    <w:rPr>
      <w:rFonts w:eastAsia="仿宋_GB2312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8A4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470E"/>
    <w:rPr>
      <w:rFonts w:eastAsia="仿宋_GB231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A470E"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470E"/>
    <w:rPr>
      <w:rFonts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yunlong</dc:creator>
  <cp:keywords/>
  <dc:description/>
  <cp:lastModifiedBy>peng yunlong</cp:lastModifiedBy>
  <cp:revision>3</cp:revision>
  <dcterms:created xsi:type="dcterms:W3CDTF">2022-04-22T01:17:00Z</dcterms:created>
  <dcterms:modified xsi:type="dcterms:W3CDTF">2022-04-22T01:20:00Z</dcterms:modified>
</cp:coreProperties>
</file>