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D7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XXX公司关于XXX关联交易的信息披露公告</w:t>
      </w:r>
    </w:p>
    <w:p w14:paraId="4FBC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根据中国保监会《保险公司资金运用信息披露准则第1号：关联交易》及相关规定，现将XXX关联交易的有关信息披露如下：</w:t>
      </w:r>
    </w:p>
    <w:p w14:paraId="19A69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一、交易概述及交易标的的基本情况</w:t>
      </w:r>
    </w:p>
    <w:p w14:paraId="36FC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（一）交易概述。</w:t>
      </w:r>
    </w:p>
    <w:p w14:paraId="6062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（二）交易标的基本情况。</w:t>
      </w:r>
    </w:p>
    <w:p w14:paraId="4306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二、交易各方的关联关系和关联方基本情况</w:t>
      </w:r>
    </w:p>
    <w:p w14:paraId="27DE4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（一）交易各方的关联关系。</w:t>
      </w:r>
    </w:p>
    <w:p w14:paraId="23BFF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（二）关联方基本情况。</w:t>
      </w:r>
    </w:p>
    <w:p w14:paraId="1DDF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三、交易的定价政策及定价依据</w:t>
      </w:r>
    </w:p>
    <w:p w14:paraId="6BE1E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（一）定价政策（指确定关联交易价格的基本策略和原则）。</w:t>
      </w:r>
    </w:p>
    <w:p w14:paraId="4C679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（二）定价依据（指计算关联交易价格的具体方法以及价格计算因子的确定过程）。</w:t>
      </w:r>
    </w:p>
    <w:p w14:paraId="6ADA8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四、交易协议的主要内容</w:t>
      </w:r>
    </w:p>
    <w:p w14:paraId="51C9F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（一）交易价格。</w:t>
      </w:r>
    </w:p>
    <w:p w14:paraId="59B51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（二）交易结算方式。</w:t>
      </w:r>
    </w:p>
    <w:p w14:paraId="1744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（三）协议生效条件、生效时间、履行期限。</w:t>
      </w:r>
    </w:p>
    <w:p w14:paraId="0590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（四）……</w:t>
      </w:r>
    </w:p>
    <w:p w14:paraId="27B95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五、交易决策及审议情况</w:t>
      </w:r>
    </w:p>
    <w:p w14:paraId="6C97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（一）决策的机构、时间、结论。</w:t>
      </w:r>
    </w:p>
    <w:p w14:paraId="1874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（二）审议的方式和过程（审议方式包括现场审议表决、通讯审议表决及其他审议表决方式；审议过程指审议表决的参与主体和主要意见）。</w:t>
      </w:r>
    </w:p>
    <w:p w14:paraId="1D7F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六、其他需要披露的信息。</w:t>
      </w:r>
    </w:p>
    <w:p w14:paraId="1987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：已充分知晓开展此项交易的责任和风险，并对本公告所披露信息的真实性、准确性、完整性和合规性负责，愿意接受有关方面监督。对本公告所披露信息如有异议，可以于本公告发布之日起10个工作日内，向中国保监会保险资金运用监管部反映。</w:t>
      </w:r>
    </w:p>
    <w:p w14:paraId="082FC7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jVmOWVhMjdiNDhkY2ExN2MxNWI4MTY0MzVkNTAifQ=="/>
  </w:docVars>
  <w:rsids>
    <w:rsidRoot w:val="31EFCBBA"/>
    <w:rsid w:val="31EFC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2024-09-08T08:52:00Z</dcterms:created>
  <dc:creator>彭云龙</dc:creator>
  <cp:lastModifiedBy>彭云龙</cp:lastModifiedBy>
  <dcterms:modified xsi:type="dcterms:W3CDTF">2024-09-08T08:53:09Z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A2D4D06C0E52760A59F5DC666E3456E7_41</vt:lpwstr>
  </property>
</Properties>
</file>