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A2D03">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ascii="黑体" w:hAnsi="黑体" w:eastAsia="黑体" w:cs="黑体"/>
          <w:b w:val="0"/>
          <w:bCs w:val="0"/>
          <w:color w:val="auto"/>
          <w:sz w:val="32"/>
          <w:szCs w:val="32"/>
          <w:lang w:val="en-US" w:eastAsia="zh-CN"/>
        </w:rPr>
      </w:pPr>
      <w:bookmarkStart w:id="52" w:name="_GoBack"/>
      <w:bookmarkEnd w:id="52"/>
      <w:r>
        <w:rPr>
          <w:rFonts w:hint="eastAsia" w:ascii="黑体" w:hAnsi="黑体" w:eastAsia="黑体" w:cs="黑体"/>
          <w:b w:val="0"/>
          <w:bCs w:val="0"/>
          <w:color w:val="auto"/>
          <w:sz w:val="32"/>
          <w:szCs w:val="32"/>
          <w:lang w:val="en-US" w:eastAsia="zh-CN"/>
        </w:rPr>
        <w:t>附件3</w:t>
      </w:r>
    </w:p>
    <w:p w14:paraId="55862449">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仿宋_GB2312" w:hAnsi="仿宋_GB2312" w:eastAsia="仿宋_GB2312" w:cs="仿宋_GB2312"/>
          <w:b w:val="0"/>
          <w:bCs w:val="0"/>
          <w:color w:val="auto"/>
          <w:sz w:val="36"/>
          <w:szCs w:val="36"/>
          <w:lang w:val="en-US" w:eastAsia="zh-CN"/>
        </w:rPr>
      </w:pPr>
    </w:p>
    <w:p w14:paraId="27E08AAE">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保险机构监管统计指标及口径说明</w:t>
      </w:r>
    </w:p>
    <w:p w14:paraId="329057C6">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（征求意见稿）</w:t>
      </w:r>
    </w:p>
    <w:p w14:paraId="31E33771">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color w:val="auto"/>
          <w:sz w:val="48"/>
          <w:szCs w:val="48"/>
          <w:lang w:val="en-US" w:eastAsia="zh-CN"/>
        </w:rPr>
      </w:pPr>
    </w:p>
    <w:p w14:paraId="5598DAA2">
      <w:pPr>
        <w:keepNext w:val="0"/>
        <w:keepLines w:val="0"/>
        <w:pageBreakBefore w:val="0"/>
        <w:kinsoku/>
        <w:wordWrap/>
        <w:overflowPunct/>
        <w:topLinePunct w:val="0"/>
        <w:bidi w:val="0"/>
        <w:spacing w:after="0" w:line="600" w:lineRule="exact"/>
        <w:jc w:val="center"/>
        <w:textAlignment w:val="auto"/>
        <w:rPr>
          <w:rFonts w:hint="eastAsia" w:ascii="仿宋_GB2312" w:hAnsi="仿宋_GB2312" w:eastAsia="仿宋_GB2312" w:cs="仿宋_GB2312"/>
          <w:b w:val="0"/>
          <w:bCs w:val="0"/>
          <w:color w:val="auto"/>
          <w:sz w:val="36"/>
          <w:szCs w:val="36"/>
          <w:lang w:val="en-US" w:eastAsia="zh-CN"/>
        </w:rPr>
      </w:pPr>
    </w:p>
    <w:p w14:paraId="670B3D63">
      <w:pPr>
        <w:keepNext w:val="0"/>
        <w:keepLines w:val="0"/>
        <w:pageBreakBefore w:val="0"/>
        <w:kinsoku/>
        <w:wordWrap/>
        <w:overflowPunct/>
        <w:topLinePunct w:val="0"/>
        <w:bidi w:val="0"/>
        <w:spacing w:before="0" w:after="0" w:line="600" w:lineRule="exact"/>
        <w:ind w:left="0" w:leftChars="0" w:right="0" w:righ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p w14:paraId="5958538F">
      <w:pPr>
        <w:pStyle w:val="17"/>
        <w:keepNext w:val="0"/>
        <w:keepLines w:val="0"/>
        <w:pageBreakBefore w:val="0"/>
        <w:tabs>
          <w:tab w:val="right" w:leader="dot" w:pos="8306"/>
        </w:tabs>
        <w:kinsoku/>
        <w:wordWrap/>
        <w:overflowPunct/>
        <w:topLinePunct w:val="0"/>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TOC \o "1-1" \h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_Toc698502020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lang w:val="en-US" w:eastAsia="zh-CN"/>
        </w:rPr>
        <w:t>第一部分 基础信息类</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_Toc698502020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2B937A6">
      <w:pPr>
        <w:pStyle w:val="17"/>
        <w:keepNext w:val="0"/>
        <w:keepLines w:val="0"/>
        <w:pageBreakBefore w:val="0"/>
        <w:tabs>
          <w:tab w:val="right" w:leader="dot" w:pos="8306"/>
        </w:tabs>
        <w:kinsoku/>
        <w:wordWrap/>
        <w:overflowPunct/>
        <w:topLinePunct w:val="0"/>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_Toc232409825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lang w:val="en-US" w:eastAsia="zh-CN"/>
        </w:rPr>
        <w:t>第二部分 财务类</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_Toc232409825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19928E96">
      <w:pPr>
        <w:pStyle w:val="17"/>
        <w:keepNext w:val="0"/>
        <w:keepLines w:val="0"/>
        <w:pageBreakBefore w:val="0"/>
        <w:tabs>
          <w:tab w:val="right" w:leader="dot" w:pos="8306"/>
        </w:tabs>
        <w:kinsoku/>
        <w:wordWrap/>
        <w:overflowPunct/>
        <w:topLinePunct w:val="0"/>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_Toc1411311499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lang w:val="en-US" w:eastAsia="zh-CN"/>
        </w:rPr>
        <w:t>第三部分 业务类</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_Toc1411311499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19</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6989DD0B">
      <w:pPr>
        <w:pStyle w:val="17"/>
        <w:keepNext w:val="0"/>
        <w:keepLines w:val="0"/>
        <w:pageBreakBefore w:val="0"/>
        <w:tabs>
          <w:tab w:val="right" w:leader="dot" w:pos="8306"/>
        </w:tabs>
        <w:kinsoku/>
        <w:wordWrap/>
        <w:overflowPunct/>
        <w:topLinePunct w:val="0"/>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_Toc1877962289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lang w:val="en-US" w:eastAsia="zh-CN"/>
        </w:rPr>
        <w:t>第四部分 保险资金运用类</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_Toc1877962289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24E036B9">
      <w:pPr>
        <w:pStyle w:val="17"/>
        <w:keepNext w:val="0"/>
        <w:keepLines w:val="0"/>
        <w:pageBreakBefore w:val="0"/>
        <w:tabs>
          <w:tab w:val="right" w:leader="dot" w:pos="8306"/>
        </w:tabs>
        <w:kinsoku/>
        <w:wordWrap/>
        <w:overflowPunct/>
        <w:topLinePunct w:val="0"/>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_Toc118130739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lang w:val="en-US" w:eastAsia="zh-CN"/>
        </w:rPr>
        <w:t>第五部分 偿付能力及风险类</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_Toc118130739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75AE6E61">
      <w:pPr>
        <w:pStyle w:val="17"/>
        <w:keepNext w:val="0"/>
        <w:keepLines w:val="0"/>
        <w:pageBreakBefore w:val="0"/>
        <w:tabs>
          <w:tab w:val="right" w:leader="dot" w:pos="8306"/>
        </w:tabs>
        <w:kinsoku/>
        <w:wordWrap/>
        <w:overflowPunct/>
        <w:topLinePunct w:val="0"/>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_Toc1805922828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pacing w:val="-11"/>
          <w:sz w:val="32"/>
          <w:szCs w:val="32"/>
          <w:lang w:val="en-US" w:eastAsia="zh-CN"/>
        </w:rPr>
        <w:t>第六部分 支持发展及重点关注类</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_Toc1805922828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5457AF5F">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end"/>
      </w:r>
    </w:p>
    <w:p w14:paraId="77A7F07C">
      <w:pPr>
        <w:keepNext w:val="0"/>
        <w:keepLines w:val="0"/>
        <w:pageBreakBefore w:val="0"/>
        <w:kinsoku/>
        <w:wordWrap/>
        <w:overflowPunct/>
        <w:topLinePunct w:val="0"/>
        <w:bidi w:val="0"/>
        <w:spacing w:before="0" w:after="0" w:line="600" w:lineRule="exact"/>
        <w:textAlignment w:val="auto"/>
        <w:rPr>
          <w:rFonts w:hint="default" w:eastAsia="仿宋_GB2312"/>
          <w:color w:val="auto"/>
          <w:sz w:val="36"/>
          <w:szCs w:val="36"/>
          <w:lang w:val="en-US" w:eastAsia="zh-CN"/>
        </w:rPr>
      </w:pPr>
    </w:p>
    <w:p w14:paraId="52BFE038">
      <w:pPr>
        <w:keepNext w:val="0"/>
        <w:keepLines w:val="0"/>
        <w:pageBreakBefore w:val="0"/>
        <w:kinsoku/>
        <w:wordWrap/>
        <w:overflowPunct/>
        <w:topLinePunct w:val="0"/>
        <w:bidi w:val="0"/>
        <w:spacing w:after="0" w:line="600" w:lineRule="exact"/>
        <w:jc w:val="center"/>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bookmarkStart w:id="0" w:name="_Toc698502020"/>
      <w:bookmarkStart w:id="1" w:name="_Toc1302475746"/>
      <w:bookmarkStart w:id="2" w:name="_Toc1910639454"/>
      <w:bookmarkStart w:id="3" w:name="_Toc689805816"/>
      <w:bookmarkStart w:id="4" w:name="_Toc748696381"/>
      <w:bookmarkStart w:id="5" w:name="_Toc1687451993"/>
      <w:bookmarkStart w:id="6" w:name="_Toc2111524369"/>
      <w:bookmarkStart w:id="7" w:name="_Toc2070891389"/>
      <w:bookmarkStart w:id="8" w:name="_Toc1004064360"/>
      <w:bookmarkStart w:id="9" w:name="_Toc20760638"/>
      <w:r>
        <w:rPr>
          <w:rStyle w:val="29"/>
          <w:color w:val="auto"/>
        </w:rPr>
        <w:t>第一部分 基础信息类</w:t>
      </w:r>
      <w:bookmarkEnd w:id="0"/>
      <w:bookmarkEnd w:id="1"/>
      <w:bookmarkEnd w:id="2"/>
      <w:bookmarkEnd w:id="3"/>
      <w:bookmarkEnd w:id="4"/>
      <w:bookmarkEnd w:id="5"/>
      <w:bookmarkEnd w:id="6"/>
      <w:bookmarkEnd w:id="7"/>
      <w:bookmarkEnd w:id="8"/>
      <w:bookmarkEnd w:id="9"/>
    </w:p>
    <w:p w14:paraId="6FB06AB9">
      <w:pPr>
        <w:pStyle w:val="56"/>
        <w:keepNext w:val="0"/>
        <w:keepLines w:val="0"/>
        <w:pageBreakBefore w:val="0"/>
        <w:kinsoku/>
        <w:wordWrap/>
        <w:overflowPunct/>
        <w:topLinePunct w:val="0"/>
        <w:bidi w:val="0"/>
        <w:spacing w:after="0" w:line="60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val="en-US" w:eastAsia="zh-CN"/>
        </w:rPr>
        <w:t>部分</w:t>
      </w:r>
      <w:r>
        <w:rPr>
          <w:rFonts w:hint="eastAsia" w:ascii="仿宋_GB2312" w:hAnsi="仿宋_GB2312" w:eastAsia="仿宋_GB2312" w:cs="仿宋_GB2312"/>
          <w:color w:val="auto"/>
          <w:sz w:val="32"/>
          <w:szCs w:val="32"/>
          <w:lang w:eastAsia="zh-CN"/>
        </w:rPr>
        <w:t>主要统计保险机构</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机构、人员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成员公司、并表机构、公司治理等基础信息。</w:t>
      </w:r>
    </w:p>
    <w:p w14:paraId="02329A3D">
      <w:pPr>
        <w:pStyle w:val="56"/>
        <w:keepNext w:val="0"/>
        <w:keepLines w:val="0"/>
        <w:pageBreakBefore w:val="0"/>
        <w:numPr>
          <w:ilvl w:val="0"/>
          <w:numId w:val="0"/>
        </w:numPr>
        <w:kinsoku/>
        <w:wordWrap/>
        <w:overflowPunct/>
        <w:topLinePunct w:val="0"/>
        <w:bidi w:val="0"/>
        <w:spacing w:after="0" w:line="600" w:lineRule="exact"/>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一、统计指标及口径</w:t>
      </w:r>
    </w:p>
    <w:p w14:paraId="15CD707D">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（一）保险机构</w:t>
      </w:r>
    </w:p>
    <w:p w14:paraId="7C8E7212">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[持股比例]</w:t>
      </w:r>
      <w:r>
        <w:rPr>
          <w:rFonts w:hint="eastAsia" w:ascii="仿宋_GB2312" w:hAnsi="仿宋_GB2312" w:eastAsia="仿宋_GB2312" w:cs="仿宋_GB2312"/>
          <w:b w:val="0"/>
          <w:bCs w:val="0"/>
          <w:color w:val="auto"/>
          <w:sz w:val="32"/>
          <w:szCs w:val="32"/>
          <w:highlight w:val="none"/>
          <w:lang w:val="en-US" w:eastAsia="zh-CN"/>
        </w:rPr>
        <w:t>是指</w:t>
      </w:r>
      <w:r>
        <w:rPr>
          <w:rFonts w:hint="eastAsia" w:ascii="仿宋_GB2312" w:hAnsi="仿宋_GB2312" w:eastAsia="仿宋_GB2312" w:cs="仿宋_GB2312"/>
          <w:color w:val="auto"/>
          <w:sz w:val="32"/>
          <w:szCs w:val="32"/>
          <w:highlight w:val="none"/>
          <w:lang w:val="en-US" w:eastAsia="zh-CN"/>
        </w:rPr>
        <w:t>填报股东直接持股比例，不含间接持股比例。</w:t>
      </w:r>
    </w:p>
    <w:p w14:paraId="2B3B0422">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[投资金额]</w:t>
      </w:r>
      <w:r>
        <w:rPr>
          <w:rFonts w:hint="eastAsia" w:ascii="仿宋_GB2312" w:hAnsi="仿宋_GB2312" w:eastAsia="仿宋_GB2312" w:cs="仿宋_GB2312"/>
          <w:color w:val="auto"/>
          <w:sz w:val="32"/>
          <w:szCs w:val="32"/>
          <w:highlight w:val="none"/>
          <w:lang w:val="en-US" w:eastAsia="zh-CN"/>
        </w:rPr>
        <w:t>是指截至统计期末的保险公司股东累计出资或投资的金额（不考虑时间价值）。以外币出资的，填报入账时的人民币金额。</w:t>
      </w:r>
    </w:p>
    <w:p w14:paraId="3E82C29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机构数</w:t>
      </w:r>
      <w:r>
        <w:rPr>
          <w:rFonts w:hint="eastAsia" w:ascii="仿宋_GB2312" w:hAnsi="仿宋_GB2312" w:eastAsia="仿宋_GB2312" w:cs="仿宋_GB2312"/>
          <w:b/>
          <w:bCs/>
          <w:color w:val="auto"/>
          <w:sz w:val="32"/>
          <w:szCs w:val="32"/>
          <w:highlight w:val="none"/>
          <w:lang w:val="en-US" w:eastAsia="zh-CN"/>
        </w:rPr>
        <w:t>量</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color w:val="auto"/>
          <w:sz w:val="32"/>
          <w:szCs w:val="32"/>
          <w:highlight w:val="none"/>
        </w:rPr>
        <w:t>指在统计期末</w:t>
      </w:r>
      <w:r>
        <w:rPr>
          <w:rFonts w:hint="eastAsia" w:ascii="仿宋_GB2312" w:hAnsi="仿宋_GB2312" w:eastAsia="仿宋_GB2312" w:cs="仿宋_GB2312"/>
          <w:color w:val="auto"/>
          <w:sz w:val="32"/>
          <w:szCs w:val="32"/>
          <w:highlight w:val="none"/>
          <w:lang w:val="en-US" w:eastAsia="zh-CN"/>
        </w:rPr>
        <w:t>经监管部门批复开业的</w:t>
      </w:r>
      <w:r>
        <w:rPr>
          <w:rFonts w:hint="eastAsia" w:ascii="仿宋_GB2312" w:hAnsi="仿宋_GB2312" w:eastAsia="仿宋_GB2312" w:cs="仿宋_GB2312"/>
          <w:color w:val="auto"/>
          <w:sz w:val="32"/>
          <w:szCs w:val="32"/>
          <w:highlight w:val="none"/>
        </w:rPr>
        <w:t>保险公司</w:t>
      </w:r>
      <w:r>
        <w:rPr>
          <w:rFonts w:hint="eastAsia" w:ascii="仿宋_GB2312" w:hAnsi="仿宋_GB2312" w:eastAsia="仿宋_GB2312" w:cs="仿宋_GB2312"/>
          <w:color w:val="auto"/>
          <w:sz w:val="32"/>
          <w:szCs w:val="32"/>
          <w:highlight w:val="none"/>
          <w:lang w:val="en-US" w:eastAsia="zh-CN"/>
        </w:rPr>
        <w:t>总公司</w:t>
      </w:r>
      <w:r>
        <w:rPr>
          <w:rFonts w:hint="eastAsia" w:ascii="仿宋_GB2312" w:hAnsi="仿宋_GB2312" w:eastAsia="仿宋_GB2312" w:cs="仿宋_GB2312"/>
          <w:color w:val="auto"/>
          <w:sz w:val="32"/>
          <w:szCs w:val="32"/>
          <w:highlight w:val="none"/>
        </w:rPr>
        <w:t>及分支机构</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数量，机构层级原则上与保险许可证记载信息保持一致。</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highlight w:val="none"/>
        </w:rPr>
        <w:t>机构数</w:t>
      </w:r>
      <w:r>
        <w:rPr>
          <w:rFonts w:hint="eastAsia" w:ascii="仿宋_GB2312" w:hAnsi="仿宋_GB2312" w:eastAsia="仿宋_GB2312" w:cs="仿宋_GB2312"/>
          <w:color w:val="auto"/>
          <w:sz w:val="32"/>
          <w:szCs w:val="32"/>
          <w:highlight w:val="none"/>
          <w:lang w:val="en-US" w:eastAsia="zh-CN"/>
        </w:rPr>
        <w:t>量</w:t>
      </w:r>
      <w:r>
        <w:rPr>
          <w:rFonts w:hint="eastAsia" w:ascii="仿宋_GB2312" w:hAnsi="仿宋_GB2312" w:eastAsia="仿宋_GB2312" w:cs="仿宋_GB2312"/>
          <w:color w:val="auto"/>
          <w:sz w:val="32"/>
          <w:szCs w:val="32"/>
          <w:highlight w:val="none"/>
        </w:rPr>
        <w:t>不包含</w:t>
      </w:r>
      <w:r>
        <w:rPr>
          <w:rFonts w:hint="eastAsia" w:ascii="仿宋_GB2312" w:hAnsi="仿宋_GB2312" w:eastAsia="仿宋_GB2312" w:cs="仿宋_GB2312"/>
          <w:color w:val="auto"/>
          <w:sz w:val="32"/>
          <w:szCs w:val="32"/>
          <w:highlight w:val="none"/>
          <w:lang w:val="en-US" w:eastAsia="zh-CN"/>
        </w:rPr>
        <w:t>处于筹备期尚未开业的机构、已注销保险</w:t>
      </w:r>
      <w:r>
        <w:rPr>
          <w:rFonts w:hint="eastAsia" w:ascii="仿宋_GB2312" w:hAnsi="仿宋_GB2312" w:eastAsia="仿宋_GB2312" w:cs="仿宋_GB2312"/>
          <w:color w:val="auto"/>
          <w:sz w:val="32"/>
          <w:szCs w:val="32"/>
          <w:highlight w:val="none"/>
        </w:rPr>
        <w:t>许可证</w:t>
      </w:r>
      <w:r>
        <w:rPr>
          <w:rFonts w:hint="eastAsia" w:ascii="仿宋_GB2312" w:hAnsi="仿宋_GB2312" w:eastAsia="仿宋_GB2312" w:cs="仿宋_GB2312"/>
          <w:color w:val="auto"/>
          <w:sz w:val="32"/>
          <w:szCs w:val="32"/>
          <w:highlight w:val="none"/>
          <w:lang w:val="en-US" w:eastAsia="zh-CN"/>
        </w:rPr>
        <w:t>的机构</w:t>
      </w:r>
      <w:r>
        <w:rPr>
          <w:rFonts w:hint="eastAsia" w:ascii="仿宋_GB2312" w:hAnsi="仿宋_GB2312" w:eastAsia="仿宋_GB2312" w:cs="仿宋_GB2312"/>
          <w:color w:val="auto"/>
          <w:sz w:val="32"/>
          <w:szCs w:val="32"/>
          <w:highlight w:val="none"/>
        </w:rPr>
        <w:t>以及电话销售中心。</w:t>
      </w:r>
    </w:p>
    <w:p w14:paraId="62500FC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职工人数]</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color w:val="auto"/>
          <w:sz w:val="32"/>
          <w:szCs w:val="32"/>
          <w:highlight w:val="none"/>
        </w:rPr>
        <w:t>指在统计期末与</w:t>
      </w:r>
      <w:r>
        <w:rPr>
          <w:rFonts w:hint="eastAsia" w:ascii="仿宋_GB2312" w:hAnsi="仿宋_GB2312" w:eastAsia="仿宋_GB2312" w:cs="仿宋_GB2312"/>
          <w:color w:val="auto"/>
          <w:sz w:val="32"/>
          <w:szCs w:val="32"/>
          <w:highlight w:val="none"/>
          <w:lang w:val="en-US" w:eastAsia="zh-CN"/>
        </w:rPr>
        <w:t>保险</w:t>
      </w:r>
      <w:r>
        <w:rPr>
          <w:rFonts w:hint="eastAsia" w:ascii="仿宋_GB2312" w:hAnsi="仿宋_GB2312" w:eastAsia="仿宋_GB2312" w:cs="仿宋_GB2312"/>
          <w:color w:val="auto"/>
          <w:sz w:val="32"/>
          <w:szCs w:val="32"/>
          <w:highlight w:val="none"/>
        </w:rPr>
        <w:t>公司签订劳动合同的人员数</w:t>
      </w:r>
      <w:r>
        <w:rPr>
          <w:rFonts w:hint="eastAsia" w:ascii="仿宋_GB2312" w:hAnsi="仿宋_GB2312" w:eastAsia="仿宋_GB2312" w:cs="仿宋_GB2312"/>
          <w:color w:val="auto"/>
          <w:sz w:val="32"/>
          <w:szCs w:val="32"/>
          <w:highlight w:val="none"/>
          <w:lang w:val="en-US" w:eastAsia="zh-CN"/>
        </w:rPr>
        <w:t>量，包括</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董事、监事及各级高管人员数量]</w:t>
      </w:r>
      <w:r>
        <w:rPr>
          <w:rFonts w:hint="eastAsia" w:ascii="仿宋_GB2312" w:hAnsi="仿宋_GB2312" w:eastAsia="仿宋_GB2312" w:cs="仿宋_GB2312"/>
          <w:b w:val="0"/>
          <w:bCs w:val="0"/>
          <w:color w:val="auto"/>
          <w:sz w:val="32"/>
          <w:szCs w:val="32"/>
          <w:highlight w:val="none"/>
          <w:lang w:val="en-US" w:eastAsia="zh-CN"/>
        </w:rPr>
        <w:t>以及</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合同</w:t>
      </w:r>
      <w:r>
        <w:rPr>
          <w:rFonts w:hint="eastAsia" w:ascii="仿宋_GB2312" w:hAnsi="仿宋_GB2312" w:eastAsia="仿宋_GB2312" w:cs="仿宋_GB2312"/>
          <w:b/>
          <w:bCs/>
          <w:color w:val="auto"/>
          <w:sz w:val="32"/>
          <w:szCs w:val="32"/>
          <w:highlight w:val="none"/>
        </w:rPr>
        <w:t>制</w:t>
      </w:r>
      <w:r>
        <w:rPr>
          <w:rFonts w:hint="eastAsia" w:ascii="仿宋_GB2312" w:hAnsi="仿宋_GB2312" w:eastAsia="仿宋_GB2312" w:cs="仿宋_GB2312"/>
          <w:b/>
          <w:bCs/>
          <w:color w:val="auto"/>
          <w:sz w:val="32"/>
          <w:szCs w:val="32"/>
          <w:highlight w:val="none"/>
          <w:lang w:val="en-US" w:eastAsia="zh-CN"/>
        </w:rPr>
        <w:t>营销员数量</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7D0BE1FD">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董事、监事及各级高管人员数量]</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职工人数]</w:t>
      </w:r>
      <w:r>
        <w:rPr>
          <w:rFonts w:hint="eastAsia" w:ascii="仿宋_GB2312" w:hAnsi="仿宋_GB2312" w:eastAsia="仿宋_GB2312" w:cs="仿宋_GB2312"/>
          <w:b w:val="0"/>
          <w:bCs w:val="0"/>
          <w:color w:val="auto"/>
          <w:sz w:val="32"/>
          <w:szCs w:val="32"/>
          <w:highlight w:val="none"/>
          <w:lang w:eastAsia="zh-CN"/>
        </w:rPr>
        <w:t>的下一级指标，</w:t>
      </w:r>
      <w:r>
        <w:rPr>
          <w:rFonts w:hint="eastAsia" w:ascii="仿宋_GB2312" w:hAnsi="仿宋_GB2312" w:eastAsia="仿宋_GB2312" w:cs="仿宋_GB2312"/>
          <w:color w:val="auto"/>
          <w:sz w:val="32"/>
          <w:szCs w:val="32"/>
          <w:highlight w:val="none"/>
        </w:rPr>
        <w:t>指在统计期末保险公司董事、监事和</w:t>
      </w:r>
      <w:r>
        <w:rPr>
          <w:rFonts w:hint="eastAsia" w:ascii="仿宋_GB2312" w:hAnsi="仿宋_GB2312" w:eastAsia="仿宋_GB2312" w:cs="仿宋_GB2312"/>
          <w:color w:val="auto"/>
          <w:sz w:val="32"/>
          <w:szCs w:val="32"/>
          <w:highlight w:val="none"/>
          <w:lang w:val="en-US" w:eastAsia="zh-CN"/>
        </w:rPr>
        <w:t>各级机构</w:t>
      </w:r>
      <w:r>
        <w:rPr>
          <w:rFonts w:hint="eastAsia" w:ascii="仿宋_GB2312" w:hAnsi="仿宋_GB2312" w:eastAsia="仿宋_GB2312" w:cs="仿宋_GB2312"/>
          <w:color w:val="auto"/>
          <w:sz w:val="32"/>
          <w:szCs w:val="32"/>
          <w:highlight w:val="none"/>
        </w:rPr>
        <w:t>高级管理人员的数量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具体口径</w:t>
      </w:r>
      <w:r>
        <w:rPr>
          <w:rFonts w:hint="eastAsia" w:ascii="仿宋_GB2312" w:hAnsi="仿宋_GB2312" w:eastAsia="仿宋_GB2312" w:cs="仿宋_GB2312"/>
          <w:color w:val="auto"/>
          <w:sz w:val="32"/>
          <w:szCs w:val="32"/>
          <w:highlight w:val="none"/>
        </w:rPr>
        <w:t>参照《保险公司董事、监事和高级管理人员任职资格管理规定》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银保监会令2021年第6号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23EC647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合同</w:t>
      </w:r>
      <w:r>
        <w:rPr>
          <w:rFonts w:hint="eastAsia" w:ascii="仿宋_GB2312" w:hAnsi="仿宋_GB2312" w:eastAsia="仿宋_GB2312" w:cs="仿宋_GB2312"/>
          <w:b/>
          <w:bCs/>
          <w:color w:val="auto"/>
          <w:sz w:val="32"/>
          <w:szCs w:val="32"/>
          <w:highlight w:val="none"/>
        </w:rPr>
        <w:t>制</w:t>
      </w:r>
      <w:r>
        <w:rPr>
          <w:rFonts w:hint="eastAsia" w:ascii="仿宋_GB2312" w:hAnsi="仿宋_GB2312" w:eastAsia="仿宋_GB2312" w:cs="仿宋_GB2312"/>
          <w:b/>
          <w:bCs/>
          <w:color w:val="auto"/>
          <w:sz w:val="32"/>
          <w:szCs w:val="32"/>
          <w:highlight w:val="none"/>
          <w:lang w:val="en-US" w:eastAsia="zh-CN"/>
        </w:rPr>
        <w:t>营销员数量</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职工人数]</w:t>
      </w:r>
      <w:r>
        <w:rPr>
          <w:rFonts w:hint="eastAsia" w:ascii="仿宋_GB2312" w:hAnsi="仿宋_GB2312" w:eastAsia="仿宋_GB2312" w:cs="仿宋_GB2312"/>
          <w:b w:val="0"/>
          <w:bCs w:val="0"/>
          <w:color w:val="auto"/>
          <w:sz w:val="32"/>
          <w:szCs w:val="32"/>
          <w:highlight w:val="none"/>
          <w:lang w:eastAsia="zh-CN"/>
        </w:rPr>
        <w:t>的下一级指标，</w:t>
      </w:r>
      <w:r>
        <w:rPr>
          <w:rFonts w:hint="eastAsia" w:ascii="仿宋_GB2312" w:hAnsi="仿宋_GB2312" w:eastAsia="仿宋_GB2312" w:cs="仿宋_GB2312"/>
          <w:color w:val="auto"/>
          <w:sz w:val="32"/>
          <w:szCs w:val="32"/>
          <w:highlight w:val="none"/>
        </w:rPr>
        <w:t>指在统计期末与保险公司签订劳动合同的销售人员数</w:t>
      </w:r>
      <w:r>
        <w:rPr>
          <w:rFonts w:hint="eastAsia" w:ascii="仿宋_GB2312" w:hAnsi="仿宋_GB2312" w:eastAsia="仿宋_GB2312" w:cs="仿宋_GB2312"/>
          <w:color w:val="auto"/>
          <w:sz w:val="32"/>
          <w:szCs w:val="32"/>
          <w:highlight w:val="none"/>
          <w:lang w:val="en-US" w:eastAsia="zh-CN"/>
        </w:rPr>
        <w:t>量。具体口径参照《保险销售行为管理办法》（金融监管总局令2023年第2号）</w:t>
      </w:r>
      <w:r>
        <w:rPr>
          <w:rFonts w:hint="eastAsia" w:ascii="仿宋_GB2312" w:hAnsi="仿宋_GB2312" w:eastAsia="仿宋_GB2312" w:cs="仿宋_GB2312"/>
          <w:color w:val="auto"/>
          <w:sz w:val="32"/>
          <w:szCs w:val="32"/>
          <w:highlight w:val="none"/>
        </w:rPr>
        <w:t>。</w:t>
      </w:r>
    </w:p>
    <w:p w14:paraId="5678BD3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代理制</w:t>
      </w:r>
      <w:r>
        <w:rPr>
          <w:rFonts w:hint="eastAsia" w:ascii="仿宋_GB2312" w:hAnsi="仿宋_GB2312" w:eastAsia="仿宋_GB2312" w:cs="仿宋_GB2312"/>
          <w:b/>
          <w:bCs/>
          <w:color w:val="auto"/>
          <w:sz w:val="32"/>
          <w:szCs w:val="32"/>
          <w:highlight w:val="none"/>
          <w:lang w:val="en-US" w:eastAsia="zh-CN"/>
        </w:rPr>
        <w:t>营销员数量</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是</w:t>
      </w:r>
      <w:r>
        <w:rPr>
          <w:rFonts w:hint="eastAsia" w:ascii="仿宋_GB2312" w:hAnsi="仿宋_GB2312" w:eastAsia="仿宋_GB2312" w:cs="仿宋_GB2312"/>
          <w:color w:val="auto"/>
          <w:sz w:val="32"/>
          <w:szCs w:val="32"/>
          <w:highlight w:val="none"/>
        </w:rPr>
        <w:t>指在统计期末与保险公司签订代理合同的销售人员</w:t>
      </w:r>
      <w:r>
        <w:rPr>
          <w:rFonts w:hint="eastAsia" w:ascii="仿宋_GB2312" w:hAnsi="仿宋_GB2312" w:eastAsia="仿宋_GB2312" w:cs="仿宋_GB2312"/>
          <w:color w:val="auto"/>
          <w:sz w:val="32"/>
          <w:szCs w:val="32"/>
          <w:highlight w:val="none"/>
          <w:lang w:val="en-US" w:eastAsia="zh-CN"/>
        </w:rPr>
        <w:t>数量。具体口径参照《保险销售行为管理办法》（金融监管总局令2023年第2号）</w:t>
      </w:r>
      <w:r>
        <w:rPr>
          <w:rFonts w:hint="eastAsia" w:ascii="仿宋_GB2312" w:hAnsi="仿宋_GB2312" w:eastAsia="仿宋_GB2312" w:cs="仿宋_GB2312"/>
          <w:color w:val="auto"/>
          <w:sz w:val="32"/>
          <w:szCs w:val="32"/>
          <w:highlight w:val="none"/>
        </w:rPr>
        <w:t>。</w:t>
      </w:r>
    </w:p>
    <w:p w14:paraId="6ECA99B6">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[董事人数]</w:t>
      </w:r>
      <w:r>
        <w:rPr>
          <w:rFonts w:hint="eastAsia" w:ascii="仿宋_GB2312" w:hAnsi="仿宋_GB2312" w:eastAsia="仿宋_GB2312" w:cs="仿宋_GB2312"/>
          <w:b w:val="0"/>
          <w:bCs w:val="0"/>
          <w:color w:val="auto"/>
          <w:sz w:val="32"/>
          <w:szCs w:val="32"/>
          <w:highlight w:val="none"/>
          <w:lang w:val="en-US" w:eastAsia="zh-CN"/>
        </w:rPr>
        <w:t>是指根据</w:t>
      </w:r>
      <w:r>
        <w:rPr>
          <w:rFonts w:hint="eastAsia" w:ascii="仿宋_GB2312" w:hAnsi="仿宋_GB2312" w:eastAsia="仿宋_GB2312" w:cs="仿宋_GB2312"/>
          <w:color w:val="auto"/>
          <w:sz w:val="32"/>
          <w:szCs w:val="32"/>
          <w:highlight w:val="none"/>
        </w:rPr>
        <w:t>《保险公司董事、监事和高级管理人员任职资格管理规定》</w:t>
      </w:r>
      <w:r>
        <w:rPr>
          <w:rFonts w:hint="eastAsia" w:ascii="仿宋_GB2312" w:hAnsi="仿宋_GB2312" w:eastAsia="仿宋_GB2312" w:cs="仿宋_GB2312"/>
          <w:color w:val="auto"/>
          <w:sz w:val="32"/>
          <w:szCs w:val="32"/>
          <w:highlight w:val="none"/>
          <w:lang w:eastAsia="zh-CN"/>
        </w:rPr>
        <w:t>确定的董事的人数。</w:t>
      </w:r>
      <w:r>
        <w:rPr>
          <w:rFonts w:hint="eastAsia" w:ascii="仿宋_GB2312" w:hAnsi="仿宋_GB2312" w:eastAsia="仿宋_GB2312" w:cs="仿宋_GB2312"/>
          <w:b w:val="0"/>
          <w:bCs w:val="0"/>
          <w:color w:val="auto"/>
          <w:sz w:val="32"/>
          <w:szCs w:val="32"/>
          <w:highlight w:val="none"/>
          <w:lang w:val="en-US" w:eastAsia="zh-CN"/>
        </w:rPr>
        <w:t>下一级指标包括</w:t>
      </w:r>
      <w:r>
        <w:rPr>
          <w:rFonts w:hint="eastAsia" w:ascii="仿宋_GB2312" w:hAnsi="仿宋_GB2312" w:eastAsia="仿宋_GB2312" w:cs="仿宋_GB2312"/>
          <w:b/>
          <w:bCs/>
          <w:color w:val="auto"/>
          <w:sz w:val="32"/>
          <w:szCs w:val="32"/>
          <w:highlight w:val="none"/>
          <w:lang w:val="en-US" w:eastAsia="zh-CN"/>
        </w:rPr>
        <w:t>[执行董事人数]、[独立董事人数]、[非执行董事人数]、[职工代表董事人数]</w:t>
      </w:r>
      <w:r>
        <w:rPr>
          <w:rFonts w:hint="eastAsia" w:ascii="仿宋_GB2312" w:hAnsi="仿宋_GB2312" w:eastAsia="仿宋_GB2312" w:cs="仿宋_GB2312"/>
          <w:b w:val="0"/>
          <w:bCs w:val="0"/>
          <w:color w:val="auto"/>
          <w:sz w:val="32"/>
          <w:szCs w:val="32"/>
          <w:highlight w:val="none"/>
          <w:lang w:val="en-US" w:eastAsia="zh-CN"/>
        </w:rPr>
        <w:t>。</w:t>
      </w:r>
    </w:p>
    <w:p w14:paraId="569B47B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[监事人数]</w:t>
      </w:r>
      <w:r>
        <w:rPr>
          <w:rFonts w:hint="eastAsia" w:ascii="仿宋_GB2312" w:hAnsi="仿宋_GB2312" w:eastAsia="仿宋_GB2312" w:cs="仿宋_GB2312"/>
          <w:b w:val="0"/>
          <w:bCs w:val="0"/>
          <w:color w:val="auto"/>
          <w:sz w:val="32"/>
          <w:szCs w:val="32"/>
          <w:highlight w:val="none"/>
          <w:lang w:val="en-US" w:eastAsia="zh-CN"/>
        </w:rPr>
        <w:t>是指根据</w:t>
      </w:r>
      <w:r>
        <w:rPr>
          <w:rFonts w:hint="eastAsia" w:ascii="仿宋_GB2312" w:hAnsi="仿宋_GB2312" w:eastAsia="仿宋_GB2312" w:cs="仿宋_GB2312"/>
          <w:color w:val="auto"/>
          <w:sz w:val="32"/>
          <w:szCs w:val="32"/>
          <w:highlight w:val="none"/>
        </w:rPr>
        <w:t>《保险公司董事、监事和高级管理人员任职资格管理规定》</w:t>
      </w:r>
      <w:r>
        <w:rPr>
          <w:rFonts w:hint="eastAsia" w:ascii="仿宋_GB2312" w:hAnsi="仿宋_GB2312" w:eastAsia="仿宋_GB2312" w:cs="仿宋_GB2312"/>
          <w:color w:val="auto"/>
          <w:sz w:val="32"/>
          <w:szCs w:val="32"/>
          <w:highlight w:val="none"/>
          <w:lang w:eastAsia="zh-CN"/>
        </w:rPr>
        <w:t>确定的监事的人数。</w:t>
      </w:r>
    </w:p>
    <w:p w14:paraId="068FD10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[专业委员会数量]</w:t>
      </w:r>
      <w:r>
        <w:rPr>
          <w:rFonts w:hint="eastAsia" w:ascii="仿宋_GB2312" w:hAnsi="仿宋_GB2312" w:eastAsia="仿宋_GB2312" w:cs="仿宋_GB2312"/>
          <w:b w:val="0"/>
          <w:bCs w:val="0"/>
          <w:color w:val="auto"/>
          <w:sz w:val="32"/>
          <w:szCs w:val="32"/>
          <w:highlight w:val="none"/>
          <w:lang w:val="en-US" w:eastAsia="zh-CN"/>
        </w:rPr>
        <w:t>是指在统计期末，根据</w:t>
      </w:r>
      <w:r>
        <w:rPr>
          <w:rFonts w:hint="eastAsia" w:ascii="仿宋_GB2312" w:hAnsi="仿宋_GB2312" w:eastAsia="仿宋_GB2312" w:cs="仿宋_GB2312"/>
          <w:color w:val="auto"/>
          <w:sz w:val="32"/>
          <w:szCs w:val="32"/>
          <w:highlight w:val="none"/>
          <w:lang w:eastAsia="zh-CN"/>
        </w:rPr>
        <w:t>公司章程确定的董事会下属委员会的数量。</w:t>
      </w:r>
    </w:p>
    <w:p w14:paraId="53BF628F">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[公司治理会议次数]</w:t>
      </w:r>
      <w:r>
        <w:rPr>
          <w:rFonts w:hint="eastAsia" w:ascii="仿宋_GB2312" w:hAnsi="仿宋_GB2312" w:eastAsia="仿宋_GB2312" w:cs="仿宋_GB2312"/>
          <w:b w:val="0"/>
          <w:bCs w:val="0"/>
          <w:color w:val="auto"/>
          <w:sz w:val="32"/>
          <w:szCs w:val="32"/>
          <w:highlight w:val="none"/>
          <w:lang w:val="en-US" w:eastAsia="zh-CN"/>
        </w:rPr>
        <w:t>是指统计期内，保险机构累计召开董事会、专业委员会、监事会等会议的次数。</w:t>
      </w:r>
      <w:r>
        <w:rPr>
          <w:rFonts w:hint="eastAsia" w:ascii="仿宋_GB2312" w:hAnsi="仿宋_GB2312" w:eastAsia="仿宋_GB2312" w:cs="仿宋_GB2312"/>
          <w:b/>
          <w:bCs/>
          <w:color w:val="auto"/>
          <w:sz w:val="32"/>
          <w:szCs w:val="32"/>
          <w:highlight w:val="none"/>
          <w:lang w:val="en-US" w:eastAsia="zh-CN"/>
        </w:rPr>
        <w:t>下一级指标包括[董事会会议次数]、[专业委员会会议次数]、[监事会会议次数]</w:t>
      </w:r>
      <w:r>
        <w:rPr>
          <w:rFonts w:hint="eastAsia" w:ascii="仿宋_GB2312" w:hAnsi="仿宋_GB2312" w:eastAsia="仿宋_GB2312" w:cs="仿宋_GB2312"/>
          <w:b w:val="0"/>
          <w:bCs w:val="0"/>
          <w:color w:val="auto"/>
          <w:sz w:val="32"/>
          <w:szCs w:val="32"/>
          <w:highlight w:val="none"/>
          <w:lang w:val="en-US" w:eastAsia="zh-CN"/>
        </w:rPr>
        <w:t>。</w:t>
      </w:r>
    </w:p>
    <w:p w14:paraId="621BDC0A">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（二）保险机构并表机构及境外分支机构</w:t>
      </w:r>
    </w:p>
    <w:p w14:paraId="3D45F8C0">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保险机构应当确定其所有并表机构和境外分支机构、代表处的名单，在此基础上统计相关机构的明细情况。对于并表机构，保险集团（控股）公司按照《保险集团并表监督管理办法》（金规〔2025〕11号）有关规定确定纳入并表范围的实体法人机构，其他保险机构按照企业会计准则有关合并财务报表的要求确定。境内分支机构不在统计范围内。具体统计指标包括：</w:t>
      </w:r>
    </w:p>
    <w:p w14:paraId="29C1344F">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[下级机构数量]</w:t>
      </w:r>
      <w:r>
        <w:rPr>
          <w:rFonts w:hint="eastAsia" w:ascii="仿宋_GB2312" w:hAnsi="仿宋_GB2312" w:eastAsia="仿宋_GB2312" w:cs="仿宋_GB2312"/>
          <w:color w:val="auto"/>
          <w:sz w:val="32"/>
          <w:szCs w:val="32"/>
          <w:highlight w:val="none"/>
          <w:lang w:val="en-US" w:eastAsia="zh-CN"/>
        </w:rPr>
        <w:t>是指保险机构并表机构的下属各级机构的数量总和。</w:t>
      </w:r>
      <w:r>
        <w:rPr>
          <w:rFonts w:hint="eastAsia" w:ascii="仿宋_GB2312" w:hAnsi="仿宋_GB2312" w:eastAsia="仿宋_GB2312" w:cs="仿宋_GB2312"/>
          <w:b w:val="0"/>
          <w:bCs w:val="0"/>
          <w:color w:val="auto"/>
          <w:sz w:val="32"/>
          <w:szCs w:val="32"/>
          <w:highlight w:val="none"/>
          <w:lang w:val="en-US" w:eastAsia="zh-CN"/>
        </w:rPr>
        <w:t>仅适用于机构层级是</w:t>
      </w:r>
      <w:r>
        <w:rPr>
          <w:rFonts w:hint="eastAsia" w:ascii="仿宋_GB2312" w:hAnsi="仿宋_GB2312" w:eastAsia="仿宋_GB2312" w:cs="仿宋_GB2312"/>
          <w:b/>
          <w:bCs/>
          <w:color w:val="auto"/>
          <w:sz w:val="32"/>
          <w:szCs w:val="32"/>
          <w:highlight w:val="none"/>
          <w:lang w:val="en-US" w:eastAsia="zh-CN"/>
        </w:rPr>
        <w:t>[1级（不含项目公司）]、[2级（不含项目公司）]</w:t>
      </w:r>
      <w:r>
        <w:rPr>
          <w:rFonts w:hint="eastAsia" w:ascii="仿宋_GB2312" w:hAnsi="仿宋_GB2312" w:eastAsia="仿宋_GB2312" w:cs="仿宋_GB2312"/>
          <w:b w:val="0"/>
          <w:bCs w:val="0"/>
          <w:color w:val="auto"/>
          <w:sz w:val="32"/>
          <w:szCs w:val="32"/>
          <w:highlight w:val="none"/>
          <w:lang w:val="en-US" w:eastAsia="zh-CN"/>
        </w:rPr>
        <w:t>或者虽然机构层级不是</w:t>
      </w:r>
      <w:r>
        <w:rPr>
          <w:rFonts w:hint="eastAsia" w:ascii="仿宋_GB2312" w:hAnsi="仿宋_GB2312" w:eastAsia="仿宋_GB2312" w:cs="仿宋_GB2312"/>
          <w:b/>
          <w:bCs/>
          <w:color w:val="auto"/>
          <w:sz w:val="32"/>
          <w:szCs w:val="32"/>
          <w:highlight w:val="none"/>
          <w:lang w:val="en-US" w:eastAsia="zh-CN"/>
        </w:rPr>
        <w:t>[1级（不含项目公司）]、[2级（不含项目公司）]</w:t>
      </w:r>
      <w:r>
        <w:rPr>
          <w:rFonts w:hint="eastAsia" w:ascii="仿宋_GB2312" w:hAnsi="仿宋_GB2312" w:eastAsia="仿宋_GB2312" w:cs="仿宋_GB2312"/>
          <w:b w:val="0"/>
          <w:bCs w:val="0"/>
          <w:color w:val="auto"/>
          <w:sz w:val="32"/>
          <w:szCs w:val="32"/>
          <w:highlight w:val="none"/>
          <w:lang w:val="en-US" w:eastAsia="zh-CN"/>
        </w:rPr>
        <w:t>但跨境层级是</w:t>
      </w:r>
      <w:r>
        <w:rPr>
          <w:rFonts w:hint="eastAsia" w:ascii="仿宋_GB2312" w:hAnsi="仿宋_GB2312" w:eastAsia="仿宋_GB2312" w:cs="仿宋_GB2312"/>
          <w:b/>
          <w:bCs/>
          <w:color w:val="auto"/>
          <w:sz w:val="32"/>
          <w:szCs w:val="32"/>
          <w:highlight w:val="none"/>
          <w:lang w:val="en-US" w:eastAsia="zh-CN"/>
        </w:rPr>
        <w:t>[跨境1级]</w:t>
      </w:r>
      <w:r>
        <w:rPr>
          <w:rFonts w:hint="eastAsia" w:ascii="仿宋_GB2312" w:hAnsi="仿宋_GB2312" w:eastAsia="仿宋_GB2312" w:cs="仿宋_GB2312"/>
          <w:b w:val="0"/>
          <w:bCs w:val="0"/>
          <w:color w:val="auto"/>
          <w:sz w:val="32"/>
          <w:szCs w:val="32"/>
          <w:highlight w:val="none"/>
          <w:lang w:val="en-US" w:eastAsia="zh-CN"/>
        </w:rPr>
        <w:t>的并表机构。</w:t>
      </w:r>
    </w:p>
    <w:p w14:paraId="3B8E03B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实收资本</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是指保险机构并表机构按照企业章程或合同、协议的约定，工商登记注册或财务入账的实收资本。适用于</w:t>
      </w:r>
      <w:r>
        <w:rPr>
          <w:rFonts w:hint="eastAsia" w:ascii="仿宋_GB2312" w:hAnsi="仿宋_GB2312" w:eastAsia="仿宋_GB2312" w:cs="仿宋_GB2312"/>
          <w:b/>
          <w:bCs/>
          <w:color w:val="auto"/>
          <w:sz w:val="32"/>
          <w:szCs w:val="32"/>
          <w:highlight w:val="none"/>
          <w:lang w:val="en-US" w:eastAsia="zh-CN"/>
        </w:rPr>
        <w:t>[境内法人机构]、[境外法人机构]</w:t>
      </w:r>
      <w:r>
        <w:rPr>
          <w:rFonts w:hint="eastAsia" w:ascii="仿宋_GB2312" w:hAnsi="仿宋_GB2312" w:eastAsia="仿宋_GB2312" w:cs="仿宋_GB2312"/>
          <w:color w:val="auto"/>
          <w:sz w:val="32"/>
          <w:szCs w:val="32"/>
          <w:highlight w:val="none"/>
          <w:lang w:val="en-US" w:eastAsia="zh-CN"/>
        </w:rPr>
        <w:t>。</w:t>
      </w:r>
    </w:p>
    <w:p w14:paraId="6FAD486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营运资金</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是指保险机构并表机构在经营中可供运用、周转的流动资金净额。适用于</w:t>
      </w:r>
      <w:r>
        <w:rPr>
          <w:rFonts w:hint="eastAsia" w:ascii="仿宋_GB2312" w:hAnsi="仿宋_GB2312" w:eastAsia="仿宋_GB2312" w:cs="仿宋_GB2312"/>
          <w:b/>
          <w:bCs/>
          <w:color w:val="auto"/>
          <w:sz w:val="32"/>
          <w:szCs w:val="32"/>
          <w:highlight w:val="none"/>
          <w:lang w:val="en-US" w:eastAsia="zh-CN"/>
        </w:rPr>
        <w:t>[境外分支机构]、[境外代表处]</w:t>
      </w:r>
      <w:r>
        <w:rPr>
          <w:rFonts w:hint="eastAsia" w:ascii="仿宋_GB2312" w:hAnsi="仿宋_GB2312" w:eastAsia="仿宋_GB2312" w:cs="仿宋_GB2312"/>
          <w:color w:val="auto"/>
          <w:sz w:val="32"/>
          <w:szCs w:val="32"/>
          <w:highlight w:val="none"/>
          <w:lang w:val="en-US" w:eastAsia="zh-CN"/>
        </w:rPr>
        <w:t>。</w:t>
      </w:r>
    </w:p>
    <w:p w14:paraId="7D481C5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[持股比例]</w:t>
      </w:r>
      <w:r>
        <w:rPr>
          <w:rFonts w:hint="eastAsia" w:ascii="仿宋_GB2312" w:hAnsi="仿宋_GB2312" w:eastAsia="仿宋_GB2312" w:cs="仿宋_GB2312"/>
          <w:color w:val="auto"/>
          <w:sz w:val="32"/>
          <w:szCs w:val="32"/>
          <w:highlight w:val="none"/>
          <w:lang w:val="en-US" w:eastAsia="zh-CN"/>
        </w:rPr>
        <w:t>是指保险机构直接持有或间接持有该并表机构的股权比例。下一级指标包括</w:t>
      </w:r>
      <w:r>
        <w:rPr>
          <w:rFonts w:hint="eastAsia" w:ascii="仿宋_GB2312" w:hAnsi="仿宋_GB2312" w:eastAsia="仿宋_GB2312" w:cs="仿宋_GB2312"/>
          <w:b/>
          <w:bCs/>
          <w:color w:val="auto"/>
          <w:sz w:val="32"/>
          <w:szCs w:val="32"/>
          <w:highlight w:val="none"/>
          <w:lang w:val="en-US" w:eastAsia="zh-CN"/>
        </w:rPr>
        <w:t>[直接持股比例]、[间接持股比例]</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[直接持股比例]</w:t>
      </w:r>
      <w:r>
        <w:rPr>
          <w:rFonts w:hint="eastAsia" w:ascii="仿宋_GB2312" w:hAnsi="仿宋_GB2312" w:eastAsia="仿宋_GB2312" w:cs="仿宋_GB2312"/>
          <w:b w:val="0"/>
          <w:bCs w:val="0"/>
          <w:color w:val="auto"/>
          <w:sz w:val="32"/>
          <w:szCs w:val="32"/>
          <w:highlight w:val="none"/>
          <w:lang w:val="en-US" w:eastAsia="zh-CN"/>
        </w:rPr>
        <w:t>是指保险机构直接持有的该并表机构的股权比例，</w:t>
      </w:r>
      <w:r>
        <w:rPr>
          <w:rFonts w:hint="eastAsia" w:ascii="仿宋_GB2312" w:hAnsi="仿宋_GB2312" w:eastAsia="仿宋_GB2312" w:cs="仿宋_GB2312"/>
          <w:b/>
          <w:bCs/>
          <w:color w:val="auto"/>
          <w:sz w:val="32"/>
          <w:szCs w:val="32"/>
          <w:highlight w:val="none"/>
          <w:lang w:val="en-US" w:eastAsia="zh-CN"/>
        </w:rPr>
        <w:t>[间接持股比例]</w:t>
      </w:r>
      <w:r>
        <w:rPr>
          <w:rFonts w:hint="eastAsia" w:ascii="仿宋_GB2312" w:hAnsi="仿宋_GB2312" w:eastAsia="仿宋_GB2312" w:cs="仿宋_GB2312"/>
          <w:b w:val="0"/>
          <w:bCs w:val="0"/>
          <w:color w:val="auto"/>
          <w:sz w:val="32"/>
          <w:szCs w:val="32"/>
          <w:highlight w:val="none"/>
          <w:lang w:val="en-US" w:eastAsia="zh-CN"/>
        </w:rPr>
        <w:t>是指保险机构下属各层</w:t>
      </w:r>
      <w:r>
        <w:rPr>
          <w:rFonts w:hint="eastAsia" w:ascii="仿宋_GB2312" w:hAnsi="仿宋_GB2312" w:eastAsia="仿宋_GB2312" w:cs="仿宋_GB2312"/>
          <w:color w:val="auto"/>
          <w:sz w:val="32"/>
          <w:szCs w:val="32"/>
          <w:highlight w:val="none"/>
        </w:rPr>
        <w:t>控股关系持股比例</w:t>
      </w:r>
      <w:r>
        <w:rPr>
          <w:rFonts w:hint="eastAsia" w:ascii="仿宋_GB2312" w:hAnsi="仿宋_GB2312" w:eastAsia="仿宋_GB2312" w:cs="仿宋_GB2312"/>
          <w:color w:val="auto"/>
          <w:sz w:val="32"/>
          <w:szCs w:val="32"/>
          <w:highlight w:val="none"/>
          <w:lang w:eastAsia="zh-CN"/>
        </w:rPr>
        <w:t>的乘积</w:t>
      </w:r>
      <w:r>
        <w:rPr>
          <w:rFonts w:hint="eastAsia" w:ascii="仿宋_GB2312" w:hAnsi="仿宋_GB2312" w:eastAsia="仿宋_GB2312" w:cs="仿宋_GB2312"/>
          <w:color w:val="auto"/>
          <w:sz w:val="32"/>
          <w:szCs w:val="32"/>
          <w:highlight w:val="none"/>
        </w:rPr>
        <w:t>。</w:t>
      </w:r>
    </w:p>
    <w:p w14:paraId="44B494D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[总资产]</w:t>
      </w:r>
      <w:r>
        <w:rPr>
          <w:rFonts w:hint="eastAsia" w:ascii="仿宋_GB2312" w:hAnsi="仿宋_GB2312" w:eastAsia="仿宋_GB2312" w:cs="仿宋_GB2312"/>
          <w:color w:val="auto"/>
          <w:sz w:val="32"/>
          <w:szCs w:val="32"/>
          <w:highlight w:val="none"/>
          <w:lang w:val="en-US" w:eastAsia="zh-CN"/>
        </w:rPr>
        <w:t>是指按照企业会计准则，在资产负债表中列明的资产科目的余额，根据反映的财务主体范围不同，二级指标包括</w:t>
      </w:r>
      <w:r>
        <w:rPr>
          <w:rFonts w:hint="eastAsia" w:ascii="仿宋_GB2312" w:hAnsi="仿宋_GB2312" w:eastAsia="仿宋_GB2312" w:cs="仿宋_GB2312"/>
          <w:b/>
          <w:bCs/>
          <w:color w:val="auto"/>
          <w:sz w:val="32"/>
          <w:szCs w:val="32"/>
          <w:highlight w:val="none"/>
          <w:lang w:val="en-US" w:eastAsia="zh-CN"/>
        </w:rPr>
        <w:t>[合并财务报表总资产]、[单体财务报表总资产]</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[合并财务报表总资产]</w:t>
      </w:r>
      <w:r>
        <w:rPr>
          <w:rFonts w:hint="eastAsia" w:ascii="仿宋_GB2312" w:hAnsi="仿宋_GB2312" w:eastAsia="仿宋_GB2312" w:cs="仿宋_GB2312"/>
          <w:b w:val="0"/>
          <w:bCs w:val="0"/>
          <w:color w:val="auto"/>
          <w:sz w:val="32"/>
          <w:szCs w:val="32"/>
          <w:highlight w:val="none"/>
          <w:lang w:val="en-US" w:eastAsia="zh-CN"/>
        </w:rPr>
        <w:t>仅适用于机构层级是</w:t>
      </w:r>
      <w:r>
        <w:rPr>
          <w:rFonts w:hint="eastAsia" w:ascii="仿宋_GB2312" w:hAnsi="仿宋_GB2312" w:eastAsia="仿宋_GB2312" w:cs="仿宋_GB2312"/>
          <w:b/>
          <w:bCs/>
          <w:color w:val="auto"/>
          <w:sz w:val="32"/>
          <w:szCs w:val="32"/>
          <w:highlight w:val="none"/>
          <w:lang w:val="en-US" w:eastAsia="zh-CN"/>
        </w:rPr>
        <w:t>[1级]、[2级]</w:t>
      </w:r>
      <w:r>
        <w:rPr>
          <w:rFonts w:hint="eastAsia" w:ascii="仿宋_GB2312" w:hAnsi="仿宋_GB2312" w:eastAsia="仿宋_GB2312" w:cs="仿宋_GB2312"/>
          <w:b w:val="0"/>
          <w:bCs w:val="0"/>
          <w:color w:val="auto"/>
          <w:sz w:val="32"/>
          <w:szCs w:val="32"/>
          <w:highlight w:val="none"/>
          <w:lang w:val="en-US" w:eastAsia="zh-CN"/>
        </w:rPr>
        <w:t>或者虽然机构层级不是</w:t>
      </w:r>
      <w:r>
        <w:rPr>
          <w:rFonts w:hint="eastAsia" w:ascii="仿宋_GB2312" w:hAnsi="仿宋_GB2312" w:eastAsia="仿宋_GB2312" w:cs="仿宋_GB2312"/>
          <w:b/>
          <w:bCs/>
          <w:color w:val="auto"/>
          <w:sz w:val="32"/>
          <w:szCs w:val="32"/>
          <w:highlight w:val="none"/>
          <w:lang w:val="en-US" w:eastAsia="zh-CN"/>
        </w:rPr>
        <w:t>[1级]、[2级]</w:t>
      </w:r>
      <w:r>
        <w:rPr>
          <w:rFonts w:hint="eastAsia" w:ascii="仿宋_GB2312" w:hAnsi="仿宋_GB2312" w:eastAsia="仿宋_GB2312" w:cs="仿宋_GB2312"/>
          <w:b w:val="0"/>
          <w:bCs w:val="0"/>
          <w:color w:val="auto"/>
          <w:sz w:val="32"/>
          <w:szCs w:val="32"/>
          <w:highlight w:val="none"/>
          <w:lang w:val="en-US" w:eastAsia="zh-CN"/>
        </w:rPr>
        <w:t>但跨境层级是</w:t>
      </w:r>
      <w:r>
        <w:rPr>
          <w:rFonts w:hint="eastAsia" w:ascii="仿宋_GB2312" w:hAnsi="仿宋_GB2312" w:eastAsia="仿宋_GB2312" w:cs="仿宋_GB2312"/>
          <w:b/>
          <w:bCs/>
          <w:color w:val="auto"/>
          <w:sz w:val="32"/>
          <w:szCs w:val="32"/>
          <w:highlight w:val="none"/>
          <w:lang w:val="en-US" w:eastAsia="zh-CN"/>
        </w:rPr>
        <w:t>[跨境1级]</w:t>
      </w:r>
      <w:r>
        <w:rPr>
          <w:rFonts w:hint="eastAsia" w:ascii="仿宋_GB2312" w:hAnsi="仿宋_GB2312" w:eastAsia="仿宋_GB2312" w:cs="仿宋_GB2312"/>
          <w:b w:val="0"/>
          <w:bCs w:val="0"/>
          <w:color w:val="auto"/>
          <w:sz w:val="32"/>
          <w:szCs w:val="32"/>
          <w:highlight w:val="none"/>
          <w:lang w:val="en-US" w:eastAsia="zh-CN"/>
        </w:rPr>
        <w:t>的机构，</w:t>
      </w:r>
      <w:r>
        <w:rPr>
          <w:rFonts w:hint="eastAsia" w:ascii="仿宋_GB2312" w:hAnsi="仿宋_GB2312" w:eastAsia="仿宋_GB2312" w:cs="仿宋_GB2312"/>
          <w:b/>
          <w:bCs/>
          <w:color w:val="auto"/>
          <w:sz w:val="32"/>
          <w:szCs w:val="32"/>
          <w:highlight w:val="none"/>
          <w:lang w:val="en-US" w:eastAsia="zh-CN"/>
        </w:rPr>
        <w:t>[合并财务报表负债]、[合并财务报表净资产]、[合并财务报表净利润]</w:t>
      </w:r>
      <w:r>
        <w:rPr>
          <w:rFonts w:hint="eastAsia" w:ascii="仿宋_GB2312" w:hAnsi="仿宋_GB2312" w:eastAsia="仿宋_GB2312" w:cs="仿宋_GB2312"/>
          <w:b w:val="0"/>
          <w:bCs w:val="0"/>
          <w:color w:val="auto"/>
          <w:sz w:val="32"/>
          <w:szCs w:val="32"/>
          <w:highlight w:val="none"/>
          <w:lang w:val="en-US" w:eastAsia="zh-CN"/>
        </w:rPr>
        <w:t>等统计指标适用范围相同。</w:t>
      </w:r>
    </w:p>
    <w:p w14:paraId="19A1E27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[负债]</w:t>
      </w:r>
      <w:r>
        <w:rPr>
          <w:rFonts w:hint="eastAsia" w:ascii="仿宋_GB2312" w:hAnsi="仿宋_GB2312" w:eastAsia="仿宋_GB2312" w:cs="仿宋_GB2312"/>
          <w:color w:val="auto"/>
          <w:sz w:val="32"/>
          <w:szCs w:val="32"/>
          <w:highlight w:val="none"/>
          <w:lang w:val="en-US" w:eastAsia="zh-CN"/>
        </w:rPr>
        <w:t>是指按照企业会计准则，在资产负债表中列明的负债科目的余额，根据反映的财务主体范围不同，二级指标分为</w:t>
      </w:r>
      <w:r>
        <w:rPr>
          <w:rFonts w:hint="eastAsia" w:ascii="仿宋_GB2312" w:hAnsi="仿宋_GB2312" w:eastAsia="仿宋_GB2312" w:cs="仿宋_GB2312"/>
          <w:b/>
          <w:bCs/>
          <w:color w:val="auto"/>
          <w:sz w:val="32"/>
          <w:szCs w:val="32"/>
          <w:highlight w:val="none"/>
          <w:lang w:val="en-US" w:eastAsia="zh-CN"/>
        </w:rPr>
        <w:t>[合并财务报表负债]、[单体财务报表负债]</w:t>
      </w:r>
      <w:r>
        <w:rPr>
          <w:rFonts w:hint="eastAsia" w:ascii="仿宋_GB2312" w:hAnsi="仿宋_GB2312" w:eastAsia="仿宋_GB2312" w:cs="仿宋_GB2312"/>
          <w:color w:val="auto"/>
          <w:sz w:val="32"/>
          <w:szCs w:val="32"/>
          <w:highlight w:val="none"/>
          <w:lang w:val="en-US" w:eastAsia="zh-CN"/>
        </w:rPr>
        <w:t>。</w:t>
      </w:r>
    </w:p>
    <w:p w14:paraId="75104CB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[净资产]</w:t>
      </w:r>
      <w:r>
        <w:rPr>
          <w:rFonts w:hint="eastAsia" w:ascii="仿宋_GB2312" w:hAnsi="仿宋_GB2312" w:eastAsia="仿宋_GB2312" w:cs="仿宋_GB2312"/>
          <w:color w:val="auto"/>
          <w:sz w:val="32"/>
          <w:szCs w:val="32"/>
          <w:highlight w:val="none"/>
          <w:lang w:val="en-US" w:eastAsia="zh-CN"/>
        </w:rPr>
        <w:t>是指按照企业会计准则，在资产负债表中列明的净资产科目的余额，根据反映的财务主体范围不同，二级指标分为</w:t>
      </w:r>
      <w:r>
        <w:rPr>
          <w:rFonts w:hint="eastAsia" w:ascii="仿宋_GB2312" w:hAnsi="仿宋_GB2312" w:eastAsia="仿宋_GB2312" w:cs="仿宋_GB2312"/>
          <w:b/>
          <w:bCs/>
          <w:color w:val="auto"/>
          <w:sz w:val="32"/>
          <w:szCs w:val="32"/>
          <w:highlight w:val="none"/>
          <w:lang w:val="en-US" w:eastAsia="zh-CN"/>
        </w:rPr>
        <w:t>[合并财务报表净资产]、[单体财务报表净资产]</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[净资产]＝[总资产]－[负债]。</w:t>
      </w:r>
    </w:p>
    <w:p w14:paraId="7B32761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[净利润]</w:t>
      </w:r>
      <w:r>
        <w:rPr>
          <w:rFonts w:hint="eastAsia" w:ascii="仿宋_GB2312" w:hAnsi="仿宋_GB2312" w:eastAsia="仿宋_GB2312" w:cs="仿宋_GB2312"/>
          <w:color w:val="auto"/>
          <w:sz w:val="32"/>
          <w:szCs w:val="32"/>
          <w:highlight w:val="none"/>
          <w:lang w:val="en-US" w:eastAsia="zh-CN"/>
        </w:rPr>
        <w:t>是指按照企业会计准则，在利润表中列明的净利润科目的余额，</w:t>
      </w:r>
      <w:r>
        <w:rPr>
          <w:rFonts w:hint="eastAsia" w:ascii="仿宋_GB2312" w:hAnsi="仿宋_GB2312" w:eastAsia="仿宋_GB2312" w:cs="仿宋_GB2312"/>
          <w:color w:val="auto"/>
          <w:sz w:val="32"/>
          <w:szCs w:val="32"/>
          <w:highlight w:val="none"/>
        </w:rPr>
        <w:t>根据反映的财务主体范围不同，二级指标分为</w:t>
      </w:r>
      <w:r>
        <w:rPr>
          <w:rFonts w:hint="eastAsia" w:ascii="仿宋_GB2312" w:hAnsi="仿宋_GB2312" w:eastAsia="仿宋_GB2312" w:cs="仿宋_GB2312"/>
          <w:b/>
          <w:bCs/>
          <w:color w:val="auto"/>
          <w:sz w:val="32"/>
          <w:szCs w:val="32"/>
          <w:highlight w:val="none"/>
        </w:rPr>
        <w:t>[合并</w:t>
      </w:r>
      <w:r>
        <w:rPr>
          <w:rFonts w:hint="eastAsia" w:ascii="仿宋_GB2312" w:hAnsi="仿宋_GB2312" w:eastAsia="仿宋_GB2312" w:cs="仿宋_GB2312"/>
          <w:b/>
          <w:bCs/>
          <w:color w:val="auto"/>
          <w:sz w:val="32"/>
          <w:szCs w:val="32"/>
          <w:highlight w:val="none"/>
          <w:lang w:val="en-US" w:eastAsia="zh-CN"/>
        </w:rPr>
        <w:t>财务</w:t>
      </w:r>
      <w:r>
        <w:rPr>
          <w:rFonts w:hint="eastAsia" w:ascii="仿宋_GB2312" w:hAnsi="仿宋_GB2312" w:eastAsia="仿宋_GB2312" w:cs="仿宋_GB2312"/>
          <w:b/>
          <w:bCs/>
          <w:color w:val="auto"/>
          <w:sz w:val="32"/>
          <w:szCs w:val="32"/>
          <w:highlight w:val="none"/>
        </w:rPr>
        <w:t>报表</w:t>
      </w:r>
      <w:r>
        <w:rPr>
          <w:rFonts w:hint="eastAsia" w:ascii="仿宋_GB2312" w:hAnsi="仿宋_GB2312" w:eastAsia="仿宋_GB2312" w:cs="仿宋_GB2312"/>
          <w:b/>
          <w:bCs/>
          <w:color w:val="auto"/>
          <w:sz w:val="32"/>
          <w:szCs w:val="32"/>
          <w:highlight w:val="none"/>
          <w:lang w:eastAsia="zh-CN"/>
        </w:rPr>
        <w:t>净利润</w:t>
      </w:r>
      <w:r>
        <w:rPr>
          <w:rFonts w:hint="eastAsia" w:ascii="仿宋_GB2312" w:hAnsi="仿宋_GB2312" w:eastAsia="仿宋_GB2312" w:cs="仿宋_GB2312"/>
          <w:b/>
          <w:bCs/>
          <w:color w:val="auto"/>
          <w:sz w:val="32"/>
          <w:szCs w:val="32"/>
          <w:highlight w:val="none"/>
        </w:rPr>
        <w:t>]、[单体</w:t>
      </w:r>
      <w:r>
        <w:rPr>
          <w:rFonts w:hint="eastAsia" w:ascii="仿宋_GB2312" w:hAnsi="仿宋_GB2312" w:eastAsia="仿宋_GB2312" w:cs="仿宋_GB2312"/>
          <w:b/>
          <w:bCs/>
          <w:color w:val="auto"/>
          <w:sz w:val="32"/>
          <w:szCs w:val="32"/>
          <w:highlight w:val="none"/>
          <w:lang w:val="en-US" w:eastAsia="zh-CN"/>
        </w:rPr>
        <w:t>财务</w:t>
      </w:r>
      <w:r>
        <w:rPr>
          <w:rFonts w:hint="eastAsia" w:ascii="仿宋_GB2312" w:hAnsi="仿宋_GB2312" w:eastAsia="仿宋_GB2312" w:cs="仿宋_GB2312"/>
          <w:b/>
          <w:bCs/>
          <w:color w:val="auto"/>
          <w:sz w:val="32"/>
          <w:szCs w:val="32"/>
          <w:highlight w:val="none"/>
        </w:rPr>
        <w:t>报表</w:t>
      </w:r>
      <w:r>
        <w:rPr>
          <w:rFonts w:hint="eastAsia" w:ascii="仿宋_GB2312" w:hAnsi="仿宋_GB2312" w:eastAsia="仿宋_GB2312" w:cs="仿宋_GB2312"/>
          <w:b/>
          <w:bCs/>
          <w:color w:val="auto"/>
          <w:sz w:val="32"/>
          <w:szCs w:val="32"/>
          <w:highlight w:val="none"/>
          <w:lang w:eastAsia="zh-CN"/>
        </w:rPr>
        <w:t>净利润</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p>
    <w:p w14:paraId="29802CA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[营业收入]</w:t>
      </w:r>
      <w:r>
        <w:rPr>
          <w:rFonts w:hint="eastAsia" w:ascii="仿宋_GB2312" w:hAnsi="仿宋_GB2312" w:eastAsia="仿宋_GB2312" w:cs="仿宋_GB2312"/>
          <w:color w:val="auto"/>
          <w:sz w:val="32"/>
          <w:szCs w:val="32"/>
          <w:highlight w:val="none"/>
          <w:lang w:val="en-US" w:eastAsia="zh-CN"/>
        </w:rPr>
        <w:t>是指按照企业会计准则，在单体报表的利润表中列明的营业收入科目的余额。</w:t>
      </w:r>
    </w:p>
    <w:p w14:paraId="4FD5F4F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[营业支出]</w:t>
      </w:r>
      <w:r>
        <w:rPr>
          <w:rFonts w:hint="eastAsia" w:ascii="仿宋_GB2312" w:hAnsi="仿宋_GB2312" w:eastAsia="仿宋_GB2312" w:cs="仿宋_GB2312"/>
          <w:color w:val="auto"/>
          <w:sz w:val="32"/>
          <w:szCs w:val="32"/>
          <w:highlight w:val="none"/>
          <w:lang w:val="en-US" w:eastAsia="zh-CN"/>
        </w:rPr>
        <w:t>是指按照企业会计准则，在单体报表的利润表中列明的营业支出科目的余额。</w:t>
      </w:r>
    </w:p>
    <w:p w14:paraId="6E432AE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[经营活动净现金流]</w:t>
      </w:r>
      <w:r>
        <w:rPr>
          <w:rFonts w:hint="eastAsia" w:ascii="仿宋_GB2312" w:hAnsi="仿宋_GB2312" w:eastAsia="仿宋_GB2312" w:cs="仿宋_GB2312"/>
          <w:b w:val="0"/>
          <w:bCs w:val="0"/>
          <w:color w:val="auto"/>
          <w:sz w:val="32"/>
          <w:szCs w:val="32"/>
          <w:highlight w:val="none"/>
          <w:lang w:val="en-US" w:eastAsia="zh-CN"/>
        </w:rPr>
        <w:t>是指按照企业会计准则，在单体报表的现金流量表中列明的现金流净额科目的余额。</w:t>
      </w:r>
    </w:p>
    <w:p w14:paraId="443C925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[本级及下辖各级机构</w:t>
      </w:r>
      <w:r>
        <w:rPr>
          <w:rFonts w:hint="eastAsia" w:ascii="仿宋_GB2312" w:hAnsi="仿宋_GB2312" w:eastAsia="仿宋_GB2312" w:cs="仿宋_GB2312"/>
          <w:b/>
          <w:bCs/>
          <w:color w:val="auto"/>
          <w:sz w:val="32"/>
          <w:szCs w:val="32"/>
          <w:highlight w:val="none"/>
        </w:rPr>
        <w:t>员工</w:t>
      </w:r>
      <w:r>
        <w:rPr>
          <w:rFonts w:hint="eastAsia" w:ascii="仿宋_GB2312" w:hAnsi="仿宋_GB2312" w:eastAsia="仿宋_GB2312" w:cs="仿宋_GB2312"/>
          <w:b/>
          <w:bCs/>
          <w:color w:val="auto"/>
          <w:sz w:val="32"/>
          <w:szCs w:val="32"/>
          <w:highlight w:val="none"/>
          <w:lang w:eastAsia="zh-CN"/>
        </w:rPr>
        <w:t>总人数</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是指与保险机构的并表机构本级及其下辖各级机构</w:t>
      </w:r>
      <w:r>
        <w:rPr>
          <w:rFonts w:hint="eastAsia" w:ascii="仿宋_GB2312" w:hAnsi="仿宋_GB2312" w:eastAsia="仿宋_GB2312" w:cs="仿宋_GB2312"/>
          <w:color w:val="auto"/>
          <w:sz w:val="32"/>
          <w:szCs w:val="32"/>
          <w:highlight w:val="none"/>
        </w:rPr>
        <w:t>签订</w:t>
      </w:r>
      <w:r>
        <w:rPr>
          <w:rFonts w:hint="eastAsia" w:ascii="仿宋_GB2312" w:hAnsi="仿宋_GB2312" w:eastAsia="仿宋_GB2312" w:cs="仿宋_GB2312"/>
          <w:color w:val="auto"/>
          <w:sz w:val="32"/>
          <w:szCs w:val="32"/>
          <w:highlight w:val="none"/>
          <w:lang w:eastAsia="zh-CN"/>
        </w:rPr>
        <w:t>劳动合同的职工、</w:t>
      </w:r>
      <w:r>
        <w:rPr>
          <w:rFonts w:hint="eastAsia" w:ascii="仿宋_GB2312" w:hAnsi="仿宋_GB2312" w:eastAsia="仿宋_GB2312" w:cs="仿宋_GB2312"/>
          <w:color w:val="auto"/>
          <w:sz w:val="32"/>
          <w:szCs w:val="32"/>
          <w:highlight w:val="none"/>
        </w:rPr>
        <w:t>雇佣或就业协议的工作人员</w:t>
      </w:r>
      <w:r>
        <w:rPr>
          <w:rFonts w:hint="eastAsia" w:ascii="仿宋_GB2312" w:hAnsi="仿宋_GB2312" w:eastAsia="仿宋_GB2312" w:cs="仿宋_GB2312"/>
          <w:color w:val="auto"/>
          <w:sz w:val="32"/>
          <w:szCs w:val="32"/>
          <w:highlight w:val="none"/>
          <w:lang w:eastAsia="zh-CN"/>
        </w:rPr>
        <w:t>的人数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并表机构是境外机构的，包括中方外派的员工。</w:t>
      </w:r>
      <w:r>
        <w:rPr>
          <w:rFonts w:hint="eastAsia" w:ascii="仿宋_GB2312" w:hAnsi="仿宋_GB2312" w:eastAsia="仿宋_GB2312" w:cs="仿宋_GB2312"/>
          <w:b w:val="0"/>
          <w:bCs w:val="0"/>
          <w:color w:val="auto"/>
          <w:sz w:val="32"/>
          <w:szCs w:val="32"/>
          <w:highlight w:val="none"/>
          <w:lang w:val="en-US" w:eastAsia="zh-CN"/>
        </w:rPr>
        <w:t>仅适用于机构层级是</w:t>
      </w:r>
      <w:r>
        <w:rPr>
          <w:rFonts w:hint="eastAsia" w:ascii="仿宋_GB2312" w:hAnsi="仿宋_GB2312" w:eastAsia="仿宋_GB2312" w:cs="仿宋_GB2312"/>
          <w:b/>
          <w:bCs/>
          <w:color w:val="auto"/>
          <w:sz w:val="32"/>
          <w:szCs w:val="32"/>
          <w:highlight w:val="none"/>
          <w:lang w:val="en-US" w:eastAsia="zh-CN"/>
        </w:rPr>
        <w:t>[1级（不含项目公司）]、[2级（不含项目公司）]</w:t>
      </w:r>
      <w:r>
        <w:rPr>
          <w:rFonts w:hint="eastAsia" w:ascii="仿宋_GB2312" w:hAnsi="仿宋_GB2312" w:eastAsia="仿宋_GB2312" w:cs="仿宋_GB2312"/>
          <w:b w:val="0"/>
          <w:bCs w:val="0"/>
          <w:color w:val="auto"/>
          <w:sz w:val="32"/>
          <w:szCs w:val="32"/>
          <w:highlight w:val="none"/>
          <w:lang w:val="en-US" w:eastAsia="zh-CN"/>
        </w:rPr>
        <w:t>或者虽然机构层级不是</w:t>
      </w:r>
      <w:r>
        <w:rPr>
          <w:rFonts w:hint="eastAsia" w:ascii="仿宋_GB2312" w:hAnsi="仿宋_GB2312" w:eastAsia="仿宋_GB2312" w:cs="仿宋_GB2312"/>
          <w:b/>
          <w:bCs/>
          <w:color w:val="auto"/>
          <w:sz w:val="32"/>
          <w:szCs w:val="32"/>
          <w:highlight w:val="none"/>
          <w:lang w:val="en-US" w:eastAsia="zh-CN"/>
        </w:rPr>
        <w:t>[1级（不含项目公司）]、[2级（不含项目公司）]</w:t>
      </w:r>
      <w:r>
        <w:rPr>
          <w:rFonts w:hint="eastAsia" w:ascii="仿宋_GB2312" w:hAnsi="仿宋_GB2312" w:eastAsia="仿宋_GB2312" w:cs="仿宋_GB2312"/>
          <w:b w:val="0"/>
          <w:bCs w:val="0"/>
          <w:color w:val="auto"/>
          <w:sz w:val="32"/>
          <w:szCs w:val="32"/>
          <w:highlight w:val="none"/>
          <w:lang w:val="en-US" w:eastAsia="zh-CN"/>
        </w:rPr>
        <w:t>但跨境层级是</w:t>
      </w:r>
      <w:r>
        <w:rPr>
          <w:rFonts w:hint="eastAsia" w:ascii="仿宋_GB2312" w:hAnsi="仿宋_GB2312" w:eastAsia="仿宋_GB2312" w:cs="仿宋_GB2312"/>
          <w:b/>
          <w:bCs/>
          <w:color w:val="auto"/>
          <w:sz w:val="32"/>
          <w:szCs w:val="32"/>
          <w:highlight w:val="none"/>
          <w:lang w:val="en-US" w:eastAsia="zh-CN"/>
        </w:rPr>
        <w:t>[跨境1级]</w:t>
      </w:r>
      <w:r>
        <w:rPr>
          <w:rFonts w:hint="eastAsia" w:ascii="仿宋_GB2312" w:hAnsi="仿宋_GB2312" w:eastAsia="仿宋_GB2312" w:cs="仿宋_GB2312"/>
          <w:b w:val="0"/>
          <w:bCs w:val="0"/>
          <w:color w:val="auto"/>
          <w:sz w:val="32"/>
          <w:szCs w:val="32"/>
          <w:highlight w:val="none"/>
          <w:lang w:val="en-US" w:eastAsia="zh-CN"/>
        </w:rPr>
        <w:t>的机构。</w:t>
      </w:r>
    </w:p>
    <w:p w14:paraId="5DA93396">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[本级机构</w:t>
      </w:r>
      <w:r>
        <w:rPr>
          <w:rFonts w:hint="eastAsia" w:ascii="仿宋_GB2312" w:hAnsi="仿宋_GB2312" w:eastAsia="仿宋_GB2312" w:cs="仿宋_GB2312"/>
          <w:b/>
          <w:bCs/>
          <w:color w:val="auto"/>
          <w:sz w:val="32"/>
          <w:szCs w:val="32"/>
          <w:highlight w:val="none"/>
        </w:rPr>
        <w:t>员工</w:t>
      </w:r>
      <w:r>
        <w:rPr>
          <w:rFonts w:hint="eastAsia" w:ascii="仿宋_GB2312" w:hAnsi="仿宋_GB2312" w:eastAsia="仿宋_GB2312" w:cs="仿宋_GB2312"/>
          <w:b/>
          <w:bCs/>
          <w:color w:val="auto"/>
          <w:sz w:val="32"/>
          <w:szCs w:val="32"/>
          <w:highlight w:val="none"/>
          <w:lang w:eastAsia="zh-CN"/>
        </w:rPr>
        <w:t>总人数</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是指与保险机构并表机构本级签订劳动合同的职工、雇佣或就业协议的工作人员的人数。下级机构是境外机构的，包括中方外派的员工。</w:t>
      </w:r>
    </w:p>
    <w:p w14:paraId="121ED48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[本级及下辖各级机构</w:t>
      </w:r>
      <w:r>
        <w:rPr>
          <w:rFonts w:hint="eastAsia" w:ascii="仿宋_GB2312" w:hAnsi="仿宋_GB2312" w:eastAsia="仿宋_GB2312" w:cs="仿宋_GB2312"/>
          <w:b/>
          <w:bCs/>
          <w:color w:val="auto"/>
          <w:sz w:val="32"/>
          <w:szCs w:val="32"/>
          <w:highlight w:val="none"/>
        </w:rPr>
        <w:t>中方员工</w:t>
      </w:r>
      <w:r>
        <w:rPr>
          <w:rFonts w:hint="eastAsia" w:ascii="仿宋_GB2312" w:hAnsi="仿宋_GB2312" w:eastAsia="仿宋_GB2312" w:cs="仿宋_GB2312"/>
          <w:b/>
          <w:bCs/>
          <w:color w:val="auto"/>
          <w:sz w:val="32"/>
          <w:szCs w:val="32"/>
          <w:highlight w:val="none"/>
          <w:lang w:eastAsia="zh-CN"/>
        </w:rPr>
        <w:t>总人数</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b/>
          <w:bCs/>
          <w:color w:val="auto"/>
          <w:sz w:val="32"/>
          <w:szCs w:val="32"/>
          <w:highlight w:val="none"/>
          <w:lang w:val="en-US" w:eastAsia="zh-CN"/>
        </w:rPr>
        <w:t>[本级及下辖各级机构</w:t>
      </w:r>
      <w:r>
        <w:rPr>
          <w:rFonts w:hint="eastAsia" w:ascii="仿宋_GB2312" w:hAnsi="仿宋_GB2312" w:eastAsia="仿宋_GB2312" w:cs="仿宋_GB2312"/>
          <w:b/>
          <w:bCs/>
          <w:color w:val="auto"/>
          <w:sz w:val="32"/>
          <w:szCs w:val="32"/>
          <w:highlight w:val="none"/>
        </w:rPr>
        <w:t>员工</w:t>
      </w:r>
      <w:r>
        <w:rPr>
          <w:rFonts w:hint="eastAsia" w:ascii="仿宋_GB2312" w:hAnsi="仿宋_GB2312" w:eastAsia="仿宋_GB2312" w:cs="仿宋_GB2312"/>
          <w:b/>
          <w:bCs/>
          <w:color w:val="auto"/>
          <w:sz w:val="32"/>
          <w:szCs w:val="32"/>
          <w:highlight w:val="none"/>
          <w:lang w:eastAsia="zh-CN"/>
        </w:rPr>
        <w:t>总人数</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的下一级统计指标，是</w:t>
      </w:r>
      <w:r>
        <w:rPr>
          <w:rFonts w:hint="eastAsia" w:ascii="仿宋_GB2312" w:hAnsi="仿宋_GB2312" w:eastAsia="仿宋_GB2312" w:cs="仿宋_GB2312"/>
          <w:color w:val="auto"/>
          <w:sz w:val="32"/>
          <w:szCs w:val="32"/>
          <w:highlight w:val="none"/>
          <w:lang w:eastAsia="zh-CN"/>
        </w:rPr>
        <w:t>指跨境层级是</w:t>
      </w:r>
      <w:r>
        <w:rPr>
          <w:rFonts w:hint="eastAsia" w:ascii="仿宋_GB2312" w:hAnsi="仿宋_GB2312" w:eastAsia="仿宋_GB2312" w:cs="仿宋_GB2312"/>
          <w:b/>
          <w:bCs/>
          <w:color w:val="auto"/>
          <w:sz w:val="32"/>
          <w:szCs w:val="32"/>
          <w:highlight w:val="none"/>
          <w:lang w:val="en-US" w:eastAsia="zh-CN"/>
        </w:rPr>
        <w:t>[跨境1级]</w:t>
      </w:r>
      <w:r>
        <w:rPr>
          <w:rFonts w:hint="eastAsia" w:ascii="仿宋_GB2312" w:hAnsi="仿宋_GB2312" w:eastAsia="仿宋_GB2312" w:cs="仿宋_GB2312"/>
          <w:color w:val="auto"/>
          <w:sz w:val="32"/>
          <w:szCs w:val="32"/>
          <w:highlight w:val="none"/>
          <w:lang w:eastAsia="zh-CN"/>
        </w:rPr>
        <w:t>的境外机构中，</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该机构的</w:t>
      </w:r>
      <w:r>
        <w:rPr>
          <w:rFonts w:hint="eastAsia" w:ascii="仿宋_GB2312" w:hAnsi="仿宋_GB2312" w:eastAsia="仿宋_GB2312" w:cs="仿宋_GB2312"/>
          <w:color w:val="auto"/>
          <w:sz w:val="32"/>
          <w:szCs w:val="32"/>
          <w:highlight w:val="none"/>
        </w:rPr>
        <w:t>中国内地母公司或关联企业签署劳动合同，并向该机构</w:t>
      </w:r>
      <w:r>
        <w:rPr>
          <w:rFonts w:hint="eastAsia" w:ascii="仿宋_GB2312" w:hAnsi="仿宋_GB2312" w:eastAsia="仿宋_GB2312" w:cs="仿宋_GB2312"/>
          <w:color w:val="auto"/>
          <w:sz w:val="32"/>
          <w:szCs w:val="32"/>
          <w:highlight w:val="none"/>
          <w:lang w:eastAsia="zh-CN"/>
        </w:rPr>
        <w:t>及其下属机构</w:t>
      </w:r>
      <w:r>
        <w:rPr>
          <w:rFonts w:hint="eastAsia" w:ascii="仿宋_GB2312" w:hAnsi="仿宋_GB2312" w:eastAsia="仿宋_GB2312" w:cs="仿宋_GB2312"/>
          <w:color w:val="auto"/>
          <w:sz w:val="32"/>
          <w:szCs w:val="32"/>
          <w:highlight w:val="none"/>
        </w:rPr>
        <w:t>派驻的员工</w:t>
      </w:r>
      <w:r>
        <w:rPr>
          <w:rFonts w:hint="eastAsia" w:ascii="仿宋_GB2312" w:hAnsi="仿宋_GB2312" w:eastAsia="仿宋_GB2312" w:cs="仿宋_GB2312"/>
          <w:color w:val="auto"/>
          <w:sz w:val="32"/>
          <w:szCs w:val="32"/>
          <w:highlight w:val="none"/>
          <w:lang w:eastAsia="zh-CN"/>
        </w:rPr>
        <w:t>人数</w:t>
      </w:r>
      <w:r>
        <w:rPr>
          <w:rFonts w:hint="eastAsia" w:ascii="仿宋_GB2312" w:hAnsi="仿宋_GB2312" w:eastAsia="仿宋_GB2312" w:cs="仿宋_GB2312"/>
          <w:color w:val="auto"/>
          <w:sz w:val="32"/>
          <w:szCs w:val="32"/>
          <w:highlight w:val="none"/>
        </w:rPr>
        <w:t>。</w:t>
      </w:r>
    </w:p>
    <w:p w14:paraId="0D16CCB7">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（三）保险机构主要监管指标和监测指标</w:t>
      </w:r>
    </w:p>
    <w:p w14:paraId="50052C9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本部分所称监管指标，是指根据金融监管总局有关规定，明确的各类监管指标。本部分所称统计监测指标，是指根据日常非现场监管工作需要，由统计指标加工计算得到的监测指标。</w:t>
      </w:r>
    </w:p>
    <w:p w14:paraId="20797A1A">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[净资产收益率]＝[净利润]÷统计期初、期末平均[净资产]</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100%</w:t>
      </w:r>
    </w:p>
    <w:p w14:paraId="1AECE106">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[总资产收益率]＝[净利润]÷统计期初、期末平均[总资产]</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100%</w:t>
      </w:r>
    </w:p>
    <w:p w14:paraId="5F9B69C0">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股权质押率</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已被质押的股权数量</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股权总数</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×100%</w:t>
      </w:r>
    </w:p>
    <w:p w14:paraId="7543D7DB">
      <w:pPr>
        <w:keepNext w:val="0"/>
        <w:keepLines w:val="0"/>
        <w:pageBreakBefore w:val="0"/>
        <w:kinsoku/>
        <w:wordWrap/>
        <w:overflowPunct/>
        <w:topLinePunct w:val="0"/>
        <w:bidi w:val="0"/>
        <w:spacing w:after="0" w:line="600" w:lineRule="exact"/>
        <w:ind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核心偿付能力充足率</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是指根据保险公司偿付能力监管规则确定的</w:t>
      </w:r>
      <w:r>
        <w:rPr>
          <w:rFonts w:hint="eastAsia" w:ascii="仿宋_GB2312" w:hAnsi="仿宋_GB2312" w:eastAsia="仿宋_GB2312" w:cs="仿宋_GB2312"/>
          <w:color w:val="auto"/>
          <w:sz w:val="32"/>
          <w:szCs w:val="32"/>
          <w:lang w:eastAsia="zh-CN"/>
        </w:rPr>
        <w:t>监管指标</w:t>
      </w:r>
      <w:r>
        <w:rPr>
          <w:rFonts w:hint="eastAsia" w:ascii="仿宋_GB2312" w:hAnsi="仿宋_GB2312" w:eastAsia="仿宋_GB2312" w:cs="仿宋_GB2312"/>
          <w:color w:val="auto"/>
          <w:sz w:val="32"/>
          <w:szCs w:val="32"/>
          <w:lang w:val="en-US" w:eastAsia="zh-CN"/>
        </w:rPr>
        <w:t>。</w:t>
      </w:r>
    </w:p>
    <w:p w14:paraId="0476DB68">
      <w:pPr>
        <w:keepNext w:val="0"/>
        <w:keepLines w:val="0"/>
        <w:pageBreakBefore w:val="0"/>
        <w:kinsoku/>
        <w:wordWrap/>
        <w:overflowPunct/>
        <w:topLinePunct w:val="0"/>
        <w:bidi w:val="0"/>
        <w:spacing w:after="0" w:line="600" w:lineRule="exact"/>
        <w:ind w:firstLine="643"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综合偿付能力充足率</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是指根据保险公司偿付能力监管规则确定的</w:t>
      </w:r>
      <w:r>
        <w:rPr>
          <w:rFonts w:hint="eastAsia" w:ascii="仿宋_GB2312" w:hAnsi="仿宋_GB2312" w:eastAsia="仿宋_GB2312" w:cs="仿宋_GB2312"/>
          <w:color w:val="auto"/>
          <w:sz w:val="32"/>
          <w:szCs w:val="32"/>
          <w:lang w:eastAsia="zh-CN"/>
        </w:rPr>
        <w:t>监管指标。</w:t>
      </w:r>
    </w:p>
    <w:p w14:paraId="65790AD9">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杠杆率</w:t>
      </w:r>
      <w:r>
        <w:rPr>
          <w:rFonts w:hint="eastAsia" w:ascii="仿宋_GB2312" w:hAnsi="仿宋_GB2312" w:eastAsia="仿宋_GB2312" w:cs="仿宋_GB2312"/>
          <w:b/>
          <w:bCs/>
          <w:color w:val="auto"/>
          <w:sz w:val="32"/>
          <w:szCs w:val="32"/>
          <w:lang w:val="en-US" w:eastAsia="zh-CN"/>
        </w:rPr>
        <w:t>]＝[核心资本]÷[总资产]</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100%</w:t>
      </w:r>
    </w:p>
    <w:p w14:paraId="5D6D1DE1">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剔除财务再保险之后的综合偿付能力充足率</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是指根据保险公司偿付能力监管规则要求，同时剔除财务再保险对实际资本和最低资本影响后的综合偿付能力充足率。</w:t>
      </w:r>
    </w:p>
    <w:p w14:paraId="2E6F6C43">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[利率风险最低资本占比]＝[利率风险最低资本]÷[考虑分散效应前的最低资本]×100%</w:t>
      </w:r>
    </w:p>
    <w:p w14:paraId="4BD527BB">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基本情景下的</w:t>
      </w:r>
      <w:r>
        <w:rPr>
          <w:rFonts w:hint="eastAsia" w:ascii="仿宋_GB2312" w:hAnsi="仿宋_GB2312" w:eastAsia="仿宋_GB2312" w:cs="仿宋_GB2312"/>
          <w:b/>
          <w:bCs/>
          <w:color w:val="auto"/>
          <w:sz w:val="32"/>
          <w:szCs w:val="32"/>
          <w:lang w:eastAsia="zh-CN"/>
        </w:rPr>
        <w:t>未来一年的</w:t>
      </w:r>
      <w:r>
        <w:rPr>
          <w:rFonts w:hint="eastAsia" w:ascii="仿宋_GB2312" w:hAnsi="仿宋_GB2312" w:eastAsia="仿宋_GB2312" w:cs="仿宋_GB2312"/>
          <w:b/>
          <w:bCs/>
          <w:color w:val="auto"/>
          <w:sz w:val="32"/>
          <w:szCs w:val="32"/>
        </w:rPr>
        <w:t>流动性覆盖率</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是指根据保险公司偿付能力监管规则确定的</w:t>
      </w:r>
      <w:r>
        <w:rPr>
          <w:rFonts w:hint="eastAsia" w:ascii="仿宋_GB2312" w:hAnsi="仿宋_GB2312" w:eastAsia="仿宋_GB2312" w:cs="仿宋_GB2312"/>
          <w:b w:val="0"/>
          <w:bCs w:val="0"/>
          <w:color w:val="auto"/>
          <w:sz w:val="32"/>
          <w:szCs w:val="32"/>
          <w:lang w:eastAsia="zh-CN"/>
        </w:rPr>
        <w:t>监管指标。</w:t>
      </w:r>
    </w:p>
    <w:p w14:paraId="27300656">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压力</w:t>
      </w:r>
      <w:r>
        <w:rPr>
          <w:rFonts w:hint="eastAsia" w:ascii="仿宋_GB2312" w:hAnsi="仿宋_GB2312" w:eastAsia="仿宋_GB2312" w:cs="仿宋_GB2312"/>
          <w:b/>
          <w:bCs/>
          <w:color w:val="auto"/>
          <w:sz w:val="32"/>
          <w:szCs w:val="32"/>
        </w:rPr>
        <w:t>情景下的</w:t>
      </w:r>
      <w:r>
        <w:rPr>
          <w:rFonts w:hint="eastAsia" w:ascii="仿宋_GB2312" w:hAnsi="仿宋_GB2312" w:eastAsia="仿宋_GB2312" w:cs="仿宋_GB2312"/>
          <w:b/>
          <w:bCs/>
          <w:color w:val="auto"/>
          <w:sz w:val="32"/>
          <w:szCs w:val="32"/>
          <w:lang w:eastAsia="zh-CN"/>
        </w:rPr>
        <w:t>未来一年的</w:t>
      </w:r>
      <w:r>
        <w:rPr>
          <w:rFonts w:hint="eastAsia" w:ascii="仿宋_GB2312" w:hAnsi="仿宋_GB2312" w:eastAsia="仿宋_GB2312" w:cs="仿宋_GB2312"/>
          <w:b/>
          <w:bCs/>
          <w:color w:val="auto"/>
          <w:sz w:val="32"/>
          <w:szCs w:val="32"/>
        </w:rPr>
        <w:t>流动性覆盖率</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是指根据保险公司偿付能力监管规则确定的</w:t>
      </w:r>
      <w:r>
        <w:rPr>
          <w:rFonts w:hint="eastAsia" w:ascii="仿宋_GB2312" w:hAnsi="仿宋_GB2312" w:eastAsia="仿宋_GB2312" w:cs="仿宋_GB2312"/>
          <w:b w:val="0"/>
          <w:bCs w:val="0"/>
          <w:color w:val="auto"/>
          <w:sz w:val="32"/>
          <w:szCs w:val="32"/>
          <w:lang w:eastAsia="zh-CN"/>
        </w:rPr>
        <w:t>监管指标。</w:t>
      </w:r>
    </w:p>
    <w:p w14:paraId="20C6156C">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[百元保费净现金流]＝统计期末[经营活动净现金流]×100÷统计期内[保费]</w:t>
      </w:r>
    </w:p>
    <w:p w14:paraId="2ED2F446">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US" w:eastAsia="zh-CN"/>
        </w:rPr>
        <w:t>寿险业务负债资金成本率</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是指依据保险公司资产负债管理有关规则确定的监管指标。</w:t>
      </w:r>
    </w:p>
    <w:p w14:paraId="731B51BD">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[固定费用率]＝[业务及管理费]÷[保费]×100%</w:t>
      </w:r>
    </w:p>
    <w:p w14:paraId="5D28DB02">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[变动费用率]＝[手续费及佣金]÷[保费]×100%</w:t>
      </w:r>
    </w:p>
    <w:p w14:paraId="05270D3F">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综合</w:t>
      </w:r>
      <w:r>
        <w:rPr>
          <w:rFonts w:hint="eastAsia" w:ascii="仿宋_GB2312" w:hAnsi="仿宋_GB2312" w:eastAsia="仿宋_GB2312" w:cs="仿宋_GB2312"/>
          <w:b/>
          <w:bCs/>
          <w:color w:val="auto"/>
          <w:sz w:val="32"/>
          <w:szCs w:val="32"/>
          <w:lang w:eastAsia="zh-CN"/>
        </w:rPr>
        <w:t>赔付</w:t>
      </w:r>
      <w:r>
        <w:rPr>
          <w:rFonts w:hint="eastAsia" w:ascii="仿宋_GB2312" w:hAnsi="仿宋_GB2312" w:eastAsia="仿宋_GB2312" w:cs="仿宋_GB2312"/>
          <w:b/>
          <w:bCs/>
          <w:color w:val="auto"/>
          <w:sz w:val="32"/>
          <w:szCs w:val="32"/>
        </w:rPr>
        <w:t>率</w:t>
      </w:r>
      <w:r>
        <w:rPr>
          <w:rFonts w:hint="eastAsia" w:ascii="仿宋_GB2312" w:hAnsi="仿宋_GB2312" w:eastAsia="仿宋_GB2312" w:cs="仿宋_GB2312"/>
          <w:b/>
          <w:bCs/>
          <w:color w:val="auto"/>
          <w:sz w:val="32"/>
          <w:szCs w:val="32"/>
          <w:lang w:val="en-US" w:eastAsia="zh-CN"/>
        </w:rPr>
        <w:t>]＝[综合赔付]÷[已赚保费]。其中，[综合赔付]＝[赔付金额]＋（[分保赔款]－[摊回分保赔款]）＋（[提取未决赔款准备金]－[摊回未决赔款准备金]）＋[提取保费准备金]，[已赚保费]＝[保费]＋（[分入保费]－[分出保费]）－[提取未到期责任准备金]。</w:t>
      </w:r>
    </w:p>
    <w:p w14:paraId="7D8DF17C">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综合</w:t>
      </w:r>
      <w:r>
        <w:rPr>
          <w:rFonts w:hint="eastAsia" w:ascii="仿宋_GB2312" w:hAnsi="仿宋_GB2312" w:eastAsia="仿宋_GB2312" w:cs="仿宋_GB2312"/>
          <w:b/>
          <w:bCs/>
          <w:color w:val="auto"/>
          <w:sz w:val="32"/>
          <w:szCs w:val="32"/>
          <w:lang w:eastAsia="zh-CN"/>
        </w:rPr>
        <w:t>费用</w:t>
      </w:r>
      <w:r>
        <w:rPr>
          <w:rFonts w:hint="eastAsia" w:ascii="仿宋_GB2312" w:hAnsi="仿宋_GB2312" w:eastAsia="仿宋_GB2312" w:cs="仿宋_GB2312"/>
          <w:b/>
          <w:bCs/>
          <w:color w:val="auto"/>
          <w:sz w:val="32"/>
          <w:szCs w:val="32"/>
        </w:rPr>
        <w:t>率</w:t>
      </w:r>
      <w:r>
        <w:rPr>
          <w:rFonts w:hint="eastAsia" w:ascii="仿宋_GB2312" w:hAnsi="仿宋_GB2312" w:eastAsia="仿宋_GB2312" w:cs="仿宋_GB2312"/>
          <w:b/>
          <w:bCs/>
          <w:color w:val="auto"/>
          <w:sz w:val="32"/>
          <w:szCs w:val="32"/>
          <w:lang w:val="en-US" w:eastAsia="zh-CN"/>
        </w:rPr>
        <w:t>]＝[综合费用]÷[已赚保费]。其中，[综合费用]＝[手续费及佣金]＋（[分保费用]－[摊回分保费用]）＋[税金及附加]＋[业务及管理费]＋[资产减值损失]。</w:t>
      </w:r>
    </w:p>
    <w:p w14:paraId="3AF18BF3">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综合成本率</w:t>
      </w:r>
      <w:r>
        <w:rPr>
          <w:rFonts w:hint="eastAsia" w:ascii="仿宋_GB2312" w:hAnsi="仿宋_GB2312" w:eastAsia="仿宋_GB2312" w:cs="仿宋_GB2312"/>
          <w:b/>
          <w:bCs/>
          <w:color w:val="auto"/>
          <w:sz w:val="32"/>
          <w:szCs w:val="32"/>
          <w:lang w:val="en-US" w:eastAsia="zh-CN"/>
        </w:rPr>
        <w:t>]＝([综合赔付]＋[综合费用]）÷[已赚保费]＝[综合赔付率]＋[综合费用率]</w:t>
      </w:r>
    </w:p>
    <w:p w14:paraId="4A01DB52">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应收保费率</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应收保费</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总资产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×100%</w:t>
      </w:r>
      <w:r>
        <w:rPr>
          <w:rFonts w:hint="eastAsia" w:ascii="仿宋_GB2312" w:hAnsi="仿宋_GB2312" w:eastAsia="仿宋_GB2312" w:cs="仿宋_GB2312"/>
          <w:b/>
          <w:bCs/>
          <w:color w:val="auto"/>
          <w:sz w:val="32"/>
          <w:szCs w:val="32"/>
          <w:lang w:eastAsia="zh-CN"/>
        </w:rPr>
        <w:t>。</w:t>
      </w:r>
    </w:p>
    <w:p w14:paraId="30AD253C">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退保率</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highlight w:val="none"/>
          <w:lang w:val="en-US" w:eastAsia="zh-CN"/>
        </w:rPr>
        <w:t>统计期内[退保金]÷（长期险的[责任准备金]＋[新单保费]）</w:t>
      </w:r>
    </w:p>
    <w:p w14:paraId="7EA456C2">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财务投资收益率</w:t>
      </w:r>
      <w:r>
        <w:rPr>
          <w:rFonts w:hint="eastAsia" w:ascii="仿宋_GB2312" w:hAnsi="仿宋_GB2312" w:eastAsia="仿宋_GB2312" w:cs="仿宋_GB2312"/>
          <w:b/>
          <w:bCs/>
          <w:color w:val="auto"/>
          <w:sz w:val="32"/>
          <w:szCs w:val="32"/>
          <w:lang w:val="en-US" w:eastAsia="zh-CN"/>
        </w:rPr>
        <w:t>]＝[财务收益]÷[平均资金运用余额]×100%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[平均资金运用余额]</w:t>
      </w:r>
      <w:r>
        <w:rPr>
          <w:rFonts w:hint="eastAsia" w:ascii="仿宋_GB2312" w:hAnsi="仿宋_GB2312" w:eastAsia="仿宋_GB2312" w:cs="仿宋_GB2312"/>
          <w:color w:val="auto"/>
          <w:sz w:val="32"/>
          <w:szCs w:val="32"/>
          <w:lang w:val="en-US" w:eastAsia="zh-CN"/>
        </w:rPr>
        <w:t>是指统计期内月度资金运用余额的平均值。</w:t>
      </w:r>
    </w:p>
    <w:p w14:paraId="1529D6AF">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综合投资收益率</w:t>
      </w:r>
      <w:r>
        <w:rPr>
          <w:rFonts w:hint="eastAsia" w:ascii="仿宋_GB2312" w:hAnsi="仿宋_GB2312" w:eastAsia="仿宋_GB2312" w:cs="仿宋_GB2312"/>
          <w:b/>
          <w:bCs/>
          <w:color w:val="auto"/>
          <w:sz w:val="32"/>
          <w:szCs w:val="32"/>
          <w:lang w:val="en-US" w:eastAsia="zh-CN"/>
        </w:rPr>
        <w:t>]＝[综合收益]÷[平均资金运用余额]×100%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[平均资金运用余额]</w:t>
      </w:r>
      <w:r>
        <w:rPr>
          <w:rFonts w:hint="eastAsia" w:ascii="仿宋_GB2312" w:hAnsi="仿宋_GB2312" w:eastAsia="仿宋_GB2312" w:cs="仿宋_GB2312"/>
          <w:color w:val="auto"/>
          <w:sz w:val="32"/>
          <w:szCs w:val="32"/>
          <w:lang w:val="en-US" w:eastAsia="zh-CN"/>
        </w:rPr>
        <w:t>是指统计期内月度资金运用余额的平均值。</w:t>
      </w:r>
    </w:p>
    <w:p w14:paraId="3ABC6E5A">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[不良资产占比]＝五级分类为</w:t>
      </w:r>
      <w:r>
        <w:rPr>
          <w:rFonts w:hint="eastAsia" w:ascii="仿宋_GB2312" w:hAnsi="仿宋_GB2312" w:eastAsia="仿宋_GB2312" w:cs="仿宋_GB2312"/>
          <w:b/>
          <w:bCs/>
          <w:color w:val="auto"/>
          <w:sz w:val="32"/>
          <w:szCs w:val="32"/>
          <w:lang w:eastAsia="zh-CN"/>
        </w:rPr>
        <w:t>次级类、可疑类和损失类资产的</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账面价值</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总资产</w:t>
      </w:r>
      <w:r>
        <w:rPr>
          <w:rFonts w:hint="eastAsia" w:ascii="仿宋_GB2312" w:hAnsi="仿宋_GB2312" w:eastAsia="仿宋_GB2312" w:cs="仿宋_GB2312"/>
          <w:b/>
          <w:bCs/>
          <w:color w:val="auto"/>
          <w:sz w:val="32"/>
          <w:szCs w:val="32"/>
          <w:lang w:val="en-US" w:eastAsia="zh-CN"/>
        </w:rPr>
        <w:t>]</w:t>
      </w:r>
    </w:p>
    <w:p w14:paraId="75CDA3A1">
      <w:pPr>
        <w:pStyle w:val="56"/>
        <w:keepNext w:val="0"/>
        <w:keepLines w:val="0"/>
        <w:pageBreakBefore w:val="0"/>
        <w:numPr>
          <w:ilvl w:val="0"/>
          <w:numId w:val="0"/>
        </w:numPr>
        <w:kinsoku/>
        <w:wordWrap/>
        <w:overflowPunct/>
        <w:topLinePunct w:val="0"/>
        <w:bidi w:val="0"/>
        <w:spacing w:after="0" w:line="600" w:lineRule="exact"/>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二、统计维度及分类标准</w:t>
      </w:r>
    </w:p>
    <w:p w14:paraId="3FCB9EC9">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（一）保险机构</w:t>
      </w:r>
    </w:p>
    <w:p w14:paraId="452008C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1.保险机构名称。</w:t>
      </w:r>
      <w:r>
        <w:rPr>
          <w:rFonts w:hint="eastAsia" w:ascii="仿宋_GB2312" w:hAnsi="仿宋_GB2312" w:eastAsia="仿宋_GB2312" w:cs="仿宋_GB2312"/>
          <w:b w:val="0"/>
          <w:bCs w:val="0"/>
          <w:color w:val="auto"/>
          <w:sz w:val="32"/>
          <w:szCs w:val="32"/>
          <w:highlight w:val="none"/>
          <w:lang w:val="en-US" w:eastAsia="zh-CN"/>
        </w:rPr>
        <w:t>是指在保险许可证上载明的保险机构名称</w:t>
      </w:r>
      <w:r>
        <w:rPr>
          <w:rFonts w:hint="eastAsia" w:ascii="仿宋_GB2312" w:hAnsi="仿宋_GB2312" w:eastAsia="仿宋_GB2312" w:cs="仿宋_GB2312"/>
          <w:b w:val="0"/>
          <w:bCs w:val="0"/>
          <w:i w:val="0"/>
          <w:iCs w:val="0"/>
          <w:color w:val="auto"/>
          <w:sz w:val="32"/>
          <w:szCs w:val="32"/>
          <w:highlight w:val="none"/>
          <w:lang w:val="en-US" w:eastAsia="zh-CN"/>
        </w:rPr>
        <w:t>全称</w:t>
      </w:r>
      <w:r>
        <w:rPr>
          <w:rFonts w:hint="eastAsia" w:ascii="仿宋_GB2312" w:hAnsi="仿宋_GB2312" w:eastAsia="仿宋_GB2312" w:cs="仿宋_GB2312"/>
          <w:b w:val="0"/>
          <w:bCs w:val="0"/>
          <w:color w:val="auto"/>
          <w:sz w:val="32"/>
          <w:szCs w:val="32"/>
          <w:highlight w:val="none"/>
          <w:lang w:val="en-US" w:eastAsia="zh-CN"/>
        </w:rPr>
        <w:t>。</w:t>
      </w:r>
    </w:p>
    <w:p w14:paraId="27F2CEE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2.机构类型。</w:t>
      </w:r>
      <w:r>
        <w:rPr>
          <w:rFonts w:hint="eastAsia" w:ascii="仿宋_GB2312" w:hAnsi="仿宋_GB2312" w:eastAsia="仿宋_GB2312" w:cs="仿宋_GB2312"/>
          <w:b w:val="0"/>
          <w:bCs w:val="0"/>
          <w:color w:val="auto"/>
          <w:sz w:val="32"/>
          <w:szCs w:val="32"/>
          <w:highlight w:val="none"/>
          <w:lang w:val="en-US" w:eastAsia="zh-CN"/>
        </w:rPr>
        <w:t>是指在保险许可证上载明的机构类型，包括保险集团（控股）公司、财产保险公司、人身保险公司、再保险公司、政策性保险公司、资产管理公司、相互保险组织。</w:t>
      </w:r>
    </w:p>
    <w:p w14:paraId="66AA82E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3.业务范围</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是指保险机构在保险许可证上载明的业务范围。</w:t>
      </w:r>
    </w:p>
    <w:p w14:paraId="7128820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4.统一社会信用代码</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是指在工商营业执照载明的机构统一社会信用代码。</w:t>
      </w:r>
    </w:p>
    <w:p w14:paraId="0EB6A86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5.保险许可证机构编码</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是指保险许可证上载明的机构编码。</w:t>
      </w:r>
    </w:p>
    <w:p w14:paraId="657B6A7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6.监管批复开业日期</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是指在保险许可证上载明的批准开业日期。</w:t>
      </w:r>
    </w:p>
    <w:p w14:paraId="7D221D2D">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7.监管主体。</w:t>
      </w:r>
      <w:r>
        <w:rPr>
          <w:rFonts w:hint="eastAsia" w:ascii="仿宋_GB2312" w:hAnsi="仿宋_GB2312" w:eastAsia="仿宋_GB2312" w:cs="仿宋_GB2312"/>
          <w:b w:val="0"/>
          <w:bCs w:val="0"/>
          <w:color w:val="auto"/>
          <w:sz w:val="32"/>
          <w:szCs w:val="32"/>
          <w:highlight w:val="none"/>
          <w:lang w:val="en-US" w:eastAsia="zh-CN"/>
        </w:rPr>
        <w:t>是指保险机构所属的监管责任单位。</w:t>
      </w:r>
    </w:p>
    <w:p w14:paraId="301CC74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8.注册地区</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是指在工商登记上保险机构注册所在的省市县。保险机构应规范填写为“省（直辖市等）市（地区等）”，比如“北京市西城区”、“安徽省合肥市”等。</w:t>
      </w:r>
    </w:p>
    <w:p w14:paraId="4D5022D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9.注册资本。</w:t>
      </w:r>
      <w:r>
        <w:rPr>
          <w:rFonts w:hint="eastAsia" w:ascii="仿宋_GB2312" w:hAnsi="仿宋_GB2312" w:eastAsia="仿宋_GB2312" w:cs="仿宋_GB2312"/>
          <w:b w:val="0"/>
          <w:bCs w:val="0"/>
          <w:color w:val="auto"/>
          <w:sz w:val="32"/>
          <w:szCs w:val="32"/>
          <w:highlight w:val="none"/>
          <w:lang w:val="en-US" w:eastAsia="zh-CN"/>
        </w:rPr>
        <w:t>是指保险机构在工商登记时的注册资本金额。</w:t>
      </w:r>
    </w:p>
    <w:p w14:paraId="533FFC6F">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10.实际控制人。</w:t>
      </w:r>
      <w:r>
        <w:rPr>
          <w:rFonts w:hint="eastAsia" w:ascii="仿宋_GB2312" w:hAnsi="仿宋_GB2312" w:eastAsia="仿宋_GB2312" w:cs="仿宋_GB2312"/>
          <w:b w:val="0"/>
          <w:bCs w:val="0"/>
          <w:color w:val="auto"/>
          <w:sz w:val="32"/>
          <w:szCs w:val="32"/>
          <w:highlight w:val="none"/>
          <w:lang w:val="en-US" w:eastAsia="zh-CN"/>
        </w:rPr>
        <w:t>是指按照《中华人民共和国公司法》第265条规定，指通过投资关系、协议或者其他安排，能够实际支配公司行为的人。</w:t>
      </w:r>
    </w:p>
    <w:p w14:paraId="7B6DED3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11.法定代表人</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是指保险机构在工商登记时的法定代表人。</w:t>
      </w:r>
    </w:p>
    <w:p w14:paraId="5D35675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12.股东名称。</w:t>
      </w:r>
      <w:r>
        <w:rPr>
          <w:rFonts w:hint="eastAsia" w:ascii="仿宋_GB2312" w:hAnsi="仿宋_GB2312" w:eastAsia="仿宋_GB2312" w:cs="仿宋_GB2312"/>
          <w:b w:val="0"/>
          <w:bCs w:val="0"/>
          <w:color w:val="auto"/>
          <w:sz w:val="32"/>
          <w:szCs w:val="32"/>
          <w:highlight w:val="none"/>
          <w:lang w:val="en-US" w:eastAsia="zh-CN"/>
        </w:rPr>
        <w:t>是指保险机构的股东名称。</w:t>
      </w:r>
    </w:p>
    <w:p w14:paraId="0CCE3E2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13.股东类型。</w:t>
      </w:r>
      <w:r>
        <w:rPr>
          <w:rFonts w:hint="eastAsia" w:ascii="仿宋_GB2312" w:hAnsi="仿宋_GB2312" w:eastAsia="仿宋_GB2312" w:cs="仿宋_GB2312"/>
          <w:b w:val="0"/>
          <w:bCs w:val="0"/>
          <w:color w:val="auto"/>
          <w:sz w:val="32"/>
          <w:szCs w:val="32"/>
          <w:highlight w:val="none"/>
          <w:lang w:val="en-US" w:eastAsia="zh-CN"/>
        </w:rPr>
        <w:t>是指保险机构的股东类型，</w:t>
      </w:r>
      <w:r>
        <w:rPr>
          <w:rFonts w:hint="eastAsia" w:ascii="仿宋_GB2312" w:hAnsi="仿宋_GB2312" w:eastAsia="仿宋_GB2312" w:cs="仿宋_GB2312"/>
          <w:b/>
          <w:bCs/>
          <w:color w:val="auto"/>
          <w:sz w:val="32"/>
          <w:szCs w:val="32"/>
          <w:highlight w:val="none"/>
          <w:lang w:val="en-US" w:eastAsia="zh-CN"/>
        </w:rPr>
        <w:t>包括[民营股东]、[国有股东]、[外资股东]。</w:t>
      </w:r>
    </w:p>
    <w:p w14:paraId="643E7CB7">
      <w:pPr>
        <w:pStyle w:val="57"/>
        <w:keepNext w:val="0"/>
        <w:keepLines w:val="0"/>
        <w:pageBreakBefore w:val="0"/>
        <w:numPr>
          <w:ilvl w:val="0"/>
          <w:numId w:val="0"/>
        </w:numPr>
        <w:kinsoku/>
        <w:wordWrap/>
        <w:overflowPunct/>
        <w:topLinePunct w:val="0"/>
        <w:bidi w:val="0"/>
        <w:spacing w:line="60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14.入股时间。</w:t>
      </w:r>
      <w:r>
        <w:rPr>
          <w:rFonts w:hint="eastAsia" w:ascii="仿宋_GB2312" w:hAnsi="仿宋_GB2312" w:eastAsia="仿宋_GB2312" w:cs="仿宋_GB2312"/>
          <w:color w:val="auto"/>
          <w:sz w:val="32"/>
          <w:szCs w:val="32"/>
          <w:highlight w:val="none"/>
          <w:lang w:val="en-US" w:eastAsia="zh-CN"/>
        </w:rPr>
        <w:t>是指保险机构的股东首次出资或投资入股该保险机构并取得股东资格的时间，</w:t>
      </w:r>
      <w:r>
        <w:rPr>
          <w:rFonts w:hint="eastAsia" w:ascii="仿宋_GB2312" w:hAnsi="仿宋_GB2312" w:eastAsia="仿宋_GB2312" w:cs="仿宋_GB2312"/>
          <w:color w:val="auto"/>
          <w:sz w:val="32"/>
          <w:szCs w:val="32"/>
          <w:highlight w:val="none"/>
        </w:rPr>
        <w:t>以工商登记或证券登记完成时间为准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按照</w:t>
      </w:r>
      <w:r>
        <w:rPr>
          <w:rFonts w:hint="eastAsia" w:ascii="仿宋_GB2312" w:hAnsi="仿宋_GB2312" w:eastAsia="仿宋_GB2312" w:cs="仿宋_GB2312"/>
          <w:color w:val="auto"/>
          <w:sz w:val="32"/>
          <w:szCs w:val="32"/>
          <w:highlight w:val="none"/>
        </w:rPr>
        <w:t>“年月日”的形式</w:t>
      </w:r>
      <w:r>
        <w:rPr>
          <w:rFonts w:hint="eastAsia" w:ascii="仿宋_GB2312" w:hAnsi="仿宋_GB2312" w:eastAsia="仿宋_GB2312" w:cs="仿宋_GB2312"/>
          <w:color w:val="auto"/>
          <w:sz w:val="32"/>
          <w:szCs w:val="32"/>
          <w:highlight w:val="none"/>
          <w:lang w:eastAsia="zh-CN"/>
        </w:rPr>
        <w:t>规范填报</w:t>
      </w:r>
      <w:r>
        <w:rPr>
          <w:rFonts w:hint="eastAsia" w:ascii="仿宋_GB2312" w:hAnsi="仿宋_GB2312" w:eastAsia="仿宋_GB2312" w:cs="仿宋_GB2312"/>
          <w:color w:val="auto"/>
          <w:sz w:val="32"/>
          <w:szCs w:val="32"/>
          <w:highlight w:val="none"/>
        </w:rPr>
        <w:t>，例如“20250802”。</w:t>
      </w:r>
    </w:p>
    <w:p w14:paraId="3971A88C">
      <w:pPr>
        <w:pStyle w:val="57"/>
        <w:keepNext w:val="0"/>
        <w:keepLines w:val="0"/>
        <w:pageBreakBefore w:val="0"/>
        <w:numPr>
          <w:ilvl w:val="0"/>
          <w:numId w:val="0"/>
        </w:numPr>
        <w:kinsoku/>
        <w:wordWrap/>
        <w:overflowPunct/>
        <w:topLinePunct w:val="0"/>
        <w:bidi w:val="0"/>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15.上市情况</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是指保险机构是否在证券交易所上市的公司，包括</w:t>
      </w:r>
      <w:r>
        <w:rPr>
          <w:rFonts w:hint="eastAsia" w:ascii="仿宋_GB2312" w:hAnsi="仿宋_GB2312" w:eastAsia="仿宋_GB2312" w:cs="仿宋_GB2312"/>
          <w:b/>
          <w:bCs/>
          <w:color w:val="auto"/>
          <w:sz w:val="32"/>
          <w:szCs w:val="32"/>
          <w:highlight w:val="none"/>
          <w:lang w:val="en-US" w:eastAsia="zh-CN"/>
        </w:rPr>
        <w:t>[非上市公司]、[上交所上市公司]、[深交所上市公司]、[港交所上市公司]、[境外上市公司]。</w:t>
      </w:r>
      <w:r>
        <w:rPr>
          <w:rFonts w:hint="eastAsia" w:ascii="仿宋_GB2312" w:hAnsi="仿宋_GB2312" w:eastAsia="仿宋_GB2312" w:cs="仿宋_GB2312"/>
          <w:b w:val="0"/>
          <w:bCs w:val="0"/>
          <w:color w:val="auto"/>
          <w:sz w:val="32"/>
          <w:szCs w:val="32"/>
          <w:highlight w:val="none"/>
          <w:lang w:val="en-US" w:eastAsia="zh-CN"/>
        </w:rPr>
        <w:t>同时在多个证券交易所上市的，可同时填报，比如</w:t>
      </w:r>
      <w:r>
        <w:rPr>
          <w:rFonts w:hint="eastAsia" w:ascii="仿宋_GB2312" w:hAnsi="仿宋_GB2312" w:eastAsia="仿宋_GB2312" w:cs="仿宋_GB2312"/>
          <w:b/>
          <w:bCs/>
          <w:color w:val="auto"/>
          <w:sz w:val="32"/>
          <w:szCs w:val="32"/>
          <w:highlight w:val="none"/>
          <w:lang w:val="en-US" w:eastAsia="zh-CN"/>
        </w:rPr>
        <w:t>[上交所上市公司、港交所上市公司]。</w:t>
      </w:r>
    </w:p>
    <w:p w14:paraId="0F174841">
      <w:pPr>
        <w:pStyle w:val="57"/>
        <w:keepNext w:val="0"/>
        <w:keepLines w:val="0"/>
        <w:pageBreakBefore w:val="0"/>
        <w:kinsoku/>
        <w:wordWrap/>
        <w:overflowPunct/>
        <w:topLinePunct w:val="0"/>
        <w:bidi w:val="0"/>
        <w:spacing w:after="0" w:line="600" w:lineRule="exact"/>
        <w:ind w:firstLine="64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（二）保险机构</w:t>
      </w:r>
      <w:r>
        <w:rPr>
          <w:rFonts w:hint="eastAsia" w:ascii="楷体_GB2312" w:hAnsi="楷体_GB2312" w:eastAsia="楷体_GB2312" w:cs="楷体_GB2312"/>
          <w:color w:val="auto"/>
          <w:sz w:val="32"/>
          <w:szCs w:val="32"/>
          <w:highlight w:val="none"/>
          <w:lang w:val="en-US" w:eastAsia="zh-CN"/>
        </w:rPr>
        <w:t>并表</w:t>
      </w:r>
      <w:r>
        <w:rPr>
          <w:rFonts w:hint="eastAsia" w:ascii="楷体_GB2312" w:hAnsi="楷体_GB2312" w:eastAsia="楷体_GB2312" w:cs="楷体_GB2312"/>
          <w:color w:val="auto"/>
          <w:sz w:val="32"/>
          <w:szCs w:val="32"/>
          <w:highlight w:val="none"/>
          <w:lang w:eastAsia="zh-CN"/>
        </w:rPr>
        <w:t>机构及境外分支机构</w:t>
      </w:r>
    </w:p>
    <w:p w14:paraId="54DE90D2">
      <w:pPr>
        <w:pStyle w:val="57"/>
        <w:keepNext w:val="0"/>
        <w:keepLines w:val="0"/>
        <w:pageBreakBefore w:val="0"/>
        <w:kinsoku/>
        <w:wordWrap/>
        <w:overflowPunct/>
        <w:topLinePunct w:val="0"/>
        <w:bidi w:val="0"/>
        <w:spacing w:after="0" w:line="60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1.机构名称。</w:t>
      </w:r>
      <w:r>
        <w:rPr>
          <w:rFonts w:hint="eastAsia" w:ascii="仿宋_GB2312" w:hAnsi="仿宋_GB2312" w:eastAsia="仿宋_GB2312" w:cs="仿宋_GB2312"/>
          <w:color w:val="auto"/>
          <w:sz w:val="32"/>
          <w:szCs w:val="32"/>
          <w:highlight w:val="none"/>
          <w:lang w:val="en-US" w:eastAsia="zh-CN"/>
        </w:rPr>
        <w:t>是指保险机构并表机构营业执照上列明的机构名称。</w:t>
      </w:r>
    </w:p>
    <w:p w14:paraId="7261F97D">
      <w:pPr>
        <w:pStyle w:val="57"/>
        <w:keepNext w:val="0"/>
        <w:keepLines w:val="0"/>
        <w:pageBreakBefore w:val="0"/>
        <w:kinsoku/>
        <w:wordWrap/>
        <w:overflowPunct/>
        <w:topLinePunct w:val="0"/>
        <w:bidi w:val="0"/>
        <w:spacing w:after="0" w:line="60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机构类型</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是指</w:t>
      </w:r>
      <w:r>
        <w:rPr>
          <w:rFonts w:hint="eastAsia" w:ascii="仿宋_GB2312" w:hAnsi="仿宋_GB2312" w:eastAsia="仿宋_GB2312" w:cs="仿宋_GB2312"/>
          <w:color w:val="auto"/>
          <w:sz w:val="32"/>
          <w:szCs w:val="32"/>
          <w:highlight w:val="none"/>
          <w:lang w:val="en-US" w:eastAsia="zh-CN"/>
        </w:rPr>
        <w:t>保险机构并表机构的机构类型，包括</w:t>
      </w:r>
      <w:r>
        <w:rPr>
          <w:rFonts w:hint="eastAsia" w:ascii="仿宋_GB2312" w:hAnsi="仿宋_GB2312" w:eastAsia="仿宋_GB2312" w:cs="仿宋_GB2312"/>
          <w:b/>
          <w:bCs/>
          <w:color w:val="auto"/>
          <w:sz w:val="32"/>
          <w:szCs w:val="32"/>
          <w:highlight w:val="none"/>
          <w:lang w:val="en-US" w:eastAsia="zh-CN"/>
        </w:rPr>
        <w:t>[境内</w:t>
      </w:r>
      <w:r>
        <w:rPr>
          <w:rFonts w:hint="eastAsia" w:ascii="仿宋_GB2312" w:hAnsi="仿宋_GB2312" w:eastAsia="仿宋_GB2312" w:cs="仿宋_GB2312"/>
          <w:b/>
          <w:bCs/>
          <w:color w:val="auto"/>
          <w:sz w:val="32"/>
          <w:szCs w:val="32"/>
          <w:highlight w:val="none"/>
        </w:rPr>
        <w:t>法人机构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[境外</w:t>
      </w:r>
      <w:r>
        <w:rPr>
          <w:rFonts w:hint="eastAsia" w:ascii="仿宋_GB2312" w:hAnsi="仿宋_GB2312" w:eastAsia="仿宋_GB2312" w:cs="仿宋_GB2312"/>
          <w:b/>
          <w:bCs/>
          <w:color w:val="auto"/>
          <w:sz w:val="32"/>
          <w:szCs w:val="32"/>
          <w:highlight w:val="none"/>
        </w:rPr>
        <w:t>法人机构</w:t>
      </w:r>
      <w:r>
        <w:rPr>
          <w:rFonts w:hint="eastAsia" w:ascii="仿宋_GB2312" w:hAnsi="仿宋_GB2312" w:eastAsia="仿宋_GB2312" w:cs="仿宋_GB2312"/>
          <w:b/>
          <w:bCs/>
          <w:color w:val="auto"/>
          <w:sz w:val="32"/>
          <w:szCs w:val="32"/>
          <w:highlight w:val="none"/>
          <w:lang w:val="en-US" w:eastAsia="zh-CN"/>
        </w:rPr>
        <w:t>]、[境外</w:t>
      </w:r>
      <w:r>
        <w:rPr>
          <w:rFonts w:hint="eastAsia" w:ascii="仿宋_GB2312" w:hAnsi="仿宋_GB2312" w:eastAsia="仿宋_GB2312" w:cs="仿宋_GB2312"/>
          <w:b/>
          <w:bCs/>
          <w:color w:val="auto"/>
          <w:sz w:val="32"/>
          <w:szCs w:val="32"/>
          <w:highlight w:val="none"/>
        </w:rPr>
        <w:t>分支机构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[境外</w:t>
      </w:r>
      <w:r>
        <w:rPr>
          <w:rFonts w:hint="eastAsia" w:ascii="仿宋_GB2312" w:hAnsi="仿宋_GB2312" w:eastAsia="仿宋_GB2312" w:cs="仿宋_GB2312"/>
          <w:b/>
          <w:bCs/>
          <w:color w:val="auto"/>
          <w:sz w:val="32"/>
          <w:szCs w:val="32"/>
          <w:highlight w:val="none"/>
        </w:rPr>
        <w:t>代表处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p>
    <w:p w14:paraId="4D732E16">
      <w:pPr>
        <w:pStyle w:val="57"/>
        <w:keepNext w:val="0"/>
        <w:keepLines w:val="0"/>
        <w:pageBreakBefore w:val="0"/>
        <w:numPr>
          <w:ilvl w:val="0"/>
          <w:numId w:val="0"/>
        </w:numPr>
        <w:kinsoku/>
        <w:wordWrap/>
        <w:overflowPunct/>
        <w:topLinePunct w:val="0"/>
        <w:bidi w:val="0"/>
        <w:spacing w:after="0" w:line="600" w:lineRule="exact"/>
        <w:ind w:firstLine="640" w:firstLineChars="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3.业务性质。</w:t>
      </w:r>
      <w:r>
        <w:rPr>
          <w:rFonts w:hint="eastAsia" w:ascii="仿宋_GB2312" w:hAnsi="仿宋_GB2312" w:eastAsia="仿宋_GB2312" w:cs="仿宋_GB2312"/>
          <w:b w:val="0"/>
          <w:bCs w:val="0"/>
          <w:color w:val="auto"/>
          <w:sz w:val="32"/>
          <w:szCs w:val="32"/>
          <w:highlight w:val="none"/>
          <w:lang w:val="en-US" w:eastAsia="zh-CN"/>
        </w:rPr>
        <w:t>根据保险机构并表机构是否属于国家金融监督管理总局监管的对象，包括</w:t>
      </w:r>
      <w:r>
        <w:rPr>
          <w:rFonts w:hint="eastAsia" w:ascii="仿宋_GB2312" w:hAnsi="仿宋_GB2312" w:eastAsia="仿宋_GB2312" w:cs="仿宋_GB2312"/>
          <w:b/>
          <w:bCs/>
          <w:color w:val="auto"/>
          <w:sz w:val="32"/>
          <w:szCs w:val="32"/>
          <w:highlight w:val="none"/>
          <w:lang w:val="en-US" w:eastAsia="zh-CN"/>
        </w:rPr>
        <w:t>[保险业]、[非保险金融业]、[非金融业]</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[保险业]、[非保险金融业]</w:t>
      </w:r>
      <w:r>
        <w:rPr>
          <w:rFonts w:hint="eastAsia" w:ascii="仿宋_GB2312" w:hAnsi="仿宋_GB2312" w:eastAsia="仿宋_GB2312" w:cs="仿宋_GB2312"/>
          <w:b w:val="0"/>
          <w:bCs w:val="0"/>
          <w:color w:val="auto"/>
          <w:sz w:val="32"/>
          <w:szCs w:val="32"/>
          <w:highlight w:val="none"/>
          <w:lang w:val="en-US" w:eastAsia="zh-CN"/>
        </w:rPr>
        <w:t>以中国人民银行、中国证券监督管理委员会、国家金融监督管理总局、地方金融局等颁发的牌照为准，具体名单参考国家金融监督管理总局官网披露的最近一期银行业金融机构法人、保险机构法人、保险专业中介机构法人名单确定。</w:t>
      </w:r>
      <w:r>
        <w:rPr>
          <w:rFonts w:hint="eastAsia" w:ascii="仿宋_GB2312" w:hAnsi="仿宋_GB2312" w:eastAsia="仿宋_GB2312" w:cs="仿宋_GB2312"/>
          <w:b/>
          <w:bCs/>
          <w:color w:val="auto"/>
          <w:sz w:val="32"/>
          <w:szCs w:val="32"/>
          <w:highlight w:val="none"/>
          <w:lang w:val="en-US" w:eastAsia="zh-CN"/>
        </w:rPr>
        <w:t>[境外分支机构]、[境外代表处]</w:t>
      </w:r>
      <w:r>
        <w:rPr>
          <w:rFonts w:hint="eastAsia" w:ascii="仿宋_GB2312" w:hAnsi="仿宋_GB2312" w:eastAsia="仿宋_GB2312" w:cs="仿宋_GB2312"/>
          <w:b w:val="0"/>
          <w:bCs w:val="0"/>
          <w:color w:val="auto"/>
          <w:sz w:val="32"/>
          <w:szCs w:val="32"/>
          <w:highlight w:val="none"/>
          <w:lang w:val="en-US" w:eastAsia="zh-CN"/>
        </w:rPr>
        <w:t>不适用</w:t>
      </w:r>
      <w:r>
        <w:rPr>
          <w:rFonts w:hint="eastAsia" w:ascii="仿宋_GB2312" w:hAnsi="仿宋_GB2312" w:eastAsia="仿宋_GB2312" w:cs="仿宋_GB2312"/>
          <w:b/>
          <w:bCs/>
          <w:color w:val="auto"/>
          <w:sz w:val="32"/>
          <w:szCs w:val="32"/>
          <w:highlight w:val="none"/>
          <w:lang w:val="en-US" w:eastAsia="zh-CN"/>
        </w:rPr>
        <w:t>。</w:t>
      </w:r>
    </w:p>
    <w:p w14:paraId="5E42FD70">
      <w:pPr>
        <w:pStyle w:val="57"/>
        <w:keepNext w:val="0"/>
        <w:keepLines w:val="0"/>
        <w:pageBreakBefore w:val="0"/>
        <w:kinsoku/>
        <w:wordWrap/>
        <w:overflowPunct/>
        <w:topLinePunct w:val="0"/>
        <w:bidi w:val="0"/>
        <w:spacing w:after="0" w:line="600" w:lineRule="exact"/>
        <w:ind w:firstLine="640"/>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4.所在</w:t>
      </w:r>
      <w:r>
        <w:rPr>
          <w:rFonts w:hint="eastAsia" w:ascii="仿宋_GB2312" w:hAnsi="仿宋_GB2312" w:eastAsia="仿宋_GB2312" w:cs="仿宋_GB2312"/>
          <w:b/>
          <w:bCs/>
          <w:color w:val="auto"/>
          <w:sz w:val="32"/>
          <w:szCs w:val="32"/>
          <w:highlight w:val="none"/>
        </w:rPr>
        <w:t>地区</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保险机构并表机构应当明确注册</w:t>
      </w:r>
      <w:r>
        <w:rPr>
          <w:rFonts w:hint="eastAsia" w:ascii="仿宋_GB2312" w:hAnsi="仿宋_GB2312" w:eastAsia="仿宋_GB2312" w:cs="仿宋_GB2312"/>
          <w:color w:val="auto"/>
          <w:sz w:val="32"/>
          <w:szCs w:val="32"/>
          <w:highlight w:val="none"/>
          <w:lang w:eastAsia="zh-CN"/>
        </w:rPr>
        <w:t>地区。对于</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境内法人机构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，所在</w:t>
      </w:r>
      <w:r>
        <w:rPr>
          <w:rFonts w:hint="eastAsia" w:ascii="仿宋_GB2312" w:hAnsi="仿宋_GB2312" w:eastAsia="仿宋_GB2312" w:cs="仿宋_GB2312"/>
          <w:color w:val="auto"/>
          <w:sz w:val="32"/>
          <w:szCs w:val="32"/>
          <w:highlight w:val="none"/>
        </w:rPr>
        <w:t>地区维度具体到省级行政区和计划单列市，包括</w:t>
      </w:r>
      <w:r>
        <w:rPr>
          <w:rFonts w:hint="eastAsia" w:ascii="仿宋_GB2312" w:hAnsi="仿宋_GB2312" w:eastAsia="仿宋_GB2312" w:cs="仿宋_GB2312"/>
          <w:b/>
          <w:bCs/>
          <w:color w:val="auto"/>
          <w:sz w:val="32"/>
          <w:szCs w:val="32"/>
          <w:highlight w:val="none"/>
        </w:rPr>
        <w:t>[安徽省]</w:t>
      </w:r>
      <w:r>
        <w:rPr>
          <w:rFonts w:hint="eastAsia" w:ascii="仿宋_GB2312" w:hAnsi="仿宋_GB2312" w:eastAsia="仿宋_GB2312" w:cs="仿宋_GB2312"/>
          <w:color w:val="auto"/>
          <w:sz w:val="32"/>
          <w:szCs w:val="32"/>
          <w:highlight w:val="none"/>
        </w:rPr>
        <w:t>等22个省、</w:t>
      </w:r>
      <w:r>
        <w:rPr>
          <w:rFonts w:hint="eastAsia" w:ascii="仿宋_GB2312" w:hAnsi="仿宋_GB2312" w:eastAsia="仿宋_GB2312" w:cs="仿宋_GB2312"/>
          <w:b/>
          <w:bCs/>
          <w:color w:val="auto"/>
          <w:sz w:val="32"/>
          <w:szCs w:val="32"/>
          <w:highlight w:val="none"/>
        </w:rPr>
        <w:t>[北京市]</w:t>
      </w:r>
      <w:r>
        <w:rPr>
          <w:rFonts w:hint="eastAsia" w:ascii="仿宋_GB2312" w:hAnsi="仿宋_GB2312" w:eastAsia="仿宋_GB2312" w:cs="仿宋_GB2312"/>
          <w:color w:val="auto"/>
          <w:sz w:val="32"/>
          <w:szCs w:val="32"/>
          <w:highlight w:val="none"/>
        </w:rPr>
        <w:t>等4个直辖市、</w:t>
      </w:r>
      <w:r>
        <w:rPr>
          <w:rFonts w:hint="eastAsia" w:ascii="仿宋_GB2312" w:hAnsi="仿宋_GB2312" w:eastAsia="仿宋_GB2312" w:cs="仿宋_GB2312"/>
          <w:b/>
          <w:bCs/>
          <w:color w:val="auto"/>
          <w:sz w:val="32"/>
          <w:szCs w:val="32"/>
          <w:highlight w:val="none"/>
        </w:rPr>
        <w:t>[内蒙古自治区]</w:t>
      </w:r>
      <w:r>
        <w:rPr>
          <w:rFonts w:hint="eastAsia" w:ascii="仿宋_GB2312" w:hAnsi="仿宋_GB2312" w:eastAsia="仿宋_GB2312" w:cs="仿宋_GB2312"/>
          <w:color w:val="auto"/>
          <w:sz w:val="32"/>
          <w:szCs w:val="32"/>
          <w:highlight w:val="none"/>
        </w:rPr>
        <w:t>等5个自治区，以及</w:t>
      </w:r>
      <w:r>
        <w:rPr>
          <w:rFonts w:hint="eastAsia" w:ascii="仿宋_GB2312" w:hAnsi="仿宋_GB2312" w:eastAsia="仿宋_GB2312" w:cs="仿宋_GB2312"/>
          <w:b/>
          <w:bCs/>
          <w:color w:val="auto"/>
          <w:sz w:val="32"/>
          <w:szCs w:val="32"/>
          <w:highlight w:val="none"/>
        </w:rPr>
        <w:t>[辽宁省大连市]、[山东省青岛市]、[广东省深圳市]、[福建省厦门市]、[浙江省宁波市]</w:t>
      </w:r>
      <w:r>
        <w:rPr>
          <w:rFonts w:hint="eastAsia" w:ascii="仿宋_GB2312" w:hAnsi="仿宋_GB2312" w:eastAsia="仿宋_GB2312" w:cs="仿宋_GB2312"/>
          <w:color w:val="auto"/>
          <w:sz w:val="32"/>
          <w:szCs w:val="32"/>
          <w:highlight w:val="none"/>
        </w:rPr>
        <w:t>等5个计划单列市，其中，计入计划单列市的</w:t>
      </w:r>
      <w:r>
        <w:rPr>
          <w:rFonts w:hint="eastAsia" w:ascii="仿宋_GB2312" w:hAnsi="仿宋_GB2312" w:eastAsia="仿宋_GB2312" w:cs="仿宋_GB2312"/>
          <w:color w:val="auto"/>
          <w:sz w:val="32"/>
          <w:szCs w:val="32"/>
          <w:highlight w:val="none"/>
          <w:lang w:eastAsia="zh-CN"/>
        </w:rPr>
        <w:t>数据</w:t>
      </w:r>
      <w:r>
        <w:rPr>
          <w:rFonts w:hint="eastAsia" w:ascii="仿宋_GB2312" w:hAnsi="仿宋_GB2312" w:eastAsia="仿宋_GB2312" w:cs="仿宋_GB2312"/>
          <w:color w:val="auto"/>
          <w:sz w:val="32"/>
          <w:szCs w:val="32"/>
          <w:highlight w:val="none"/>
        </w:rPr>
        <w:t>，不再重复计入计划单列市所属省级行政区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b/>
          <w:bCs/>
          <w:color w:val="auto"/>
          <w:sz w:val="32"/>
          <w:szCs w:val="32"/>
          <w:highlight w:val="none"/>
        </w:rPr>
        <w:t>[中国香港]、[中国澳门]、[中国台湾]</w:t>
      </w:r>
      <w:r>
        <w:rPr>
          <w:rFonts w:hint="eastAsia" w:ascii="仿宋_GB2312" w:hAnsi="仿宋_GB2312" w:eastAsia="仿宋_GB2312" w:cs="仿宋_GB2312"/>
          <w:color w:val="auto"/>
          <w:sz w:val="32"/>
          <w:szCs w:val="32"/>
          <w:highlight w:val="none"/>
        </w:rPr>
        <w:t>等地区的</w:t>
      </w:r>
      <w:r>
        <w:rPr>
          <w:rFonts w:hint="eastAsia" w:ascii="仿宋_GB2312" w:hAnsi="仿宋_GB2312" w:eastAsia="仿宋_GB2312" w:cs="仿宋_GB2312"/>
          <w:color w:val="auto"/>
          <w:sz w:val="32"/>
          <w:szCs w:val="32"/>
          <w:highlight w:val="none"/>
          <w:lang w:eastAsia="zh-CN"/>
        </w:rPr>
        <w:t>机构</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eastAsia="zh-CN"/>
        </w:rPr>
        <w:t>境外机构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对于</w:t>
      </w:r>
      <w:r>
        <w:rPr>
          <w:rFonts w:hint="eastAsia" w:ascii="仿宋_GB2312" w:hAnsi="仿宋_GB2312" w:eastAsia="仿宋_GB2312" w:cs="仿宋_GB2312"/>
          <w:b/>
          <w:bCs/>
          <w:color w:val="auto"/>
          <w:sz w:val="32"/>
          <w:szCs w:val="32"/>
          <w:highlight w:val="none"/>
        </w:rPr>
        <w:t>[境外法人机构]、[境外分支机构]、[境外代表处]</w:t>
      </w:r>
      <w:r>
        <w:rPr>
          <w:rFonts w:hint="eastAsia" w:ascii="仿宋_GB2312" w:hAnsi="仿宋_GB2312" w:eastAsia="仿宋_GB2312" w:cs="仿宋_GB2312"/>
          <w:color w:val="auto"/>
          <w:sz w:val="32"/>
          <w:szCs w:val="32"/>
          <w:highlight w:val="none"/>
          <w:lang w:eastAsia="zh-CN"/>
        </w:rPr>
        <w:t>，所在</w:t>
      </w:r>
      <w:r>
        <w:rPr>
          <w:rFonts w:hint="eastAsia" w:ascii="仿宋_GB2312" w:hAnsi="仿宋_GB2312" w:eastAsia="仿宋_GB2312" w:cs="仿宋_GB2312"/>
          <w:color w:val="auto"/>
          <w:sz w:val="32"/>
          <w:szCs w:val="32"/>
          <w:highlight w:val="none"/>
        </w:rPr>
        <w:t>地区维度具体到国家（地区），包括</w:t>
      </w:r>
      <w:r>
        <w:rPr>
          <w:rFonts w:hint="eastAsia" w:ascii="仿宋_GB2312" w:hAnsi="仿宋_GB2312" w:eastAsia="仿宋_GB2312" w:cs="仿宋_GB2312"/>
          <w:b/>
          <w:bCs/>
          <w:color w:val="auto"/>
          <w:sz w:val="32"/>
          <w:szCs w:val="32"/>
          <w:highlight w:val="none"/>
        </w:rPr>
        <w:t>[中国香港]、[中国澳门]、[中国台湾]</w:t>
      </w:r>
      <w:r>
        <w:rPr>
          <w:rFonts w:hint="eastAsia" w:ascii="仿宋_GB2312" w:hAnsi="仿宋_GB2312" w:eastAsia="仿宋_GB2312" w:cs="仿宋_GB2312"/>
          <w:color w:val="auto"/>
          <w:sz w:val="32"/>
          <w:szCs w:val="32"/>
          <w:highlight w:val="none"/>
        </w:rPr>
        <w:t>等地区，以及</w:t>
      </w:r>
      <w:r>
        <w:rPr>
          <w:rFonts w:hint="eastAsia" w:ascii="仿宋_GB2312" w:hAnsi="仿宋_GB2312" w:eastAsia="仿宋_GB2312" w:cs="仿宋_GB2312"/>
          <w:b/>
          <w:bCs/>
          <w:color w:val="auto"/>
          <w:sz w:val="32"/>
          <w:szCs w:val="32"/>
          <w:highlight w:val="none"/>
        </w:rPr>
        <w:t>[美国]、[英国（不含英属海外领地）]、[英属海外领地]、[德国]、[法国]、[卢森堡]、[瑞士]、[日本]、[韩国]、[新加坡]、[澳大利亚]、[加拿大]、[新西兰]、[俄罗斯]</w:t>
      </w:r>
      <w:r>
        <w:rPr>
          <w:rFonts w:hint="eastAsia" w:ascii="仿宋_GB2312" w:hAnsi="仿宋_GB2312" w:eastAsia="仿宋_GB2312" w:cs="仿宋_GB2312"/>
          <w:color w:val="auto"/>
          <w:sz w:val="32"/>
          <w:szCs w:val="32"/>
          <w:highlight w:val="none"/>
        </w:rPr>
        <w:t>等国家（地区）。</w:t>
      </w:r>
    </w:p>
    <w:p w14:paraId="6C66CF5E">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5.上市情况</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是指保险机构并表机构是否是在证券交易所上市的公司，分类及分类标准与“</w:t>
      </w:r>
      <w:r>
        <w:rPr>
          <w:rFonts w:hint="eastAsia" w:ascii="仿宋_GB2312" w:hAnsi="仿宋_GB2312" w:eastAsia="仿宋_GB2312" w:cs="仿宋_GB2312"/>
          <w:color w:val="auto"/>
          <w:sz w:val="32"/>
          <w:szCs w:val="32"/>
          <w:highlight w:val="none"/>
        </w:rPr>
        <w:t>（一）保险机构</w:t>
      </w:r>
      <w:r>
        <w:rPr>
          <w:rFonts w:hint="eastAsia" w:ascii="仿宋_GB2312" w:hAnsi="仿宋_GB2312" w:eastAsia="仿宋_GB2312" w:cs="仿宋_GB2312"/>
          <w:color w:val="auto"/>
          <w:sz w:val="32"/>
          <w:szCs w:val="32"/>
          <w:highlight w:val="none"/>
          <w:lang w:eastAsia="zh-CN"/>
        </w:rPr>
        <w:t>”中的“上市情况”一致</w:t>
      </w:r>
      <w:r>
        <w:rPr>
          <w:rFonts w:hint="eastAsia" w:ascii="仿宋_GB2312" w:hAnsi="仿宋_GB2312" w:eastAsia="仿宋_GB2312" w:cs="仿宋_GB2312"/>
          <w:b/>
          <w:bCs/>
          <w:color w:val="auto"/>
          <w:sz w:val="32"/>
          <w:szCs w:val="32"/>
          <w:highlight w:val="none"/>
          <w:lang w:val="en-US" w:eastAsia="zh-CN"/>
        </w:rPr>
        <w:t>。[境外分支机构]、[境外代表处]</w:t>
      </w:r>
      <w:r>
        <w:rPr>
          <w:rFonts w:hint="eastAsia" w:ascii="仿宋_GB2312" w:hAnsi="仿宋_GB2312" w:eastAsia="仿宋_GB2312" w:cs="仿宋_GB2312"/>
          <w:b w:val="0"/>
          <w:bCs w:val="0"/>
          <w:color w:val="auto"/>
          <w:sz w:val="32"/>
          <w:szCs w:val="32"/>
          <w:highlight w:val="none"/>
          <w:lang w:val="en-US" w:eastAsia="zh-CN"/>
        </w:rPr>
        <w:t>不适用。</w:t>
      </w:r>
    </w:p>
    <w:p w14:paraId="74F51BAC">
      <w:pPr>
        <w:pStyle w:val="57"/>
        <w:keepNext w:val="0"/>
        <w:keepLines w:val="0"/>
        <w:pageBreakBefore w:val="0"/>
        <w:kinsoku/>
        <w:wordWrap/>
        <w:overflowPunct/>
        <w:topLinePunct w:val="0"/>
        <w:bidi w:val="0"/>
        <w:spacing w:after="0" w:line="60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6.并表时间。</w:t>
      </w:r>
      <w:r>
        <w:rPr>
          <w:rFonts w:hint="eastAsia" w:ascii="仿宋_GB2312" w:hAnsi="仿宋_GB2312" w:eastAsia="仿宋_GB2312" w:cs="仿宋_GB2312"/>
          <w:color w:val="auto"/>
          <w:sz w:val="32"/>
          <w:szCs w:val="32"/>
          <w:highlight w:val="none"/>
          <w:lang w:val="en-US" w:eastAsia="zh-CN"/>
        </w:rPr>
        <w:t>是指保险公司出资设立或投资该并表机构，并将其纳入财务并表的时间，按照“年月日”的形式规范填报，例如“20250802”。</w:t>
      </w:r>
    </w:p>
    <w:p w14:paraId="646B906E">
      <w:pPr>
        <w:pStyle w:val="57"/>
        <w:keepNext w:val="0"/>
        <w:keepLines w:val="0"/>
        <w:pageBreakBefore w:val="0"/>
        <w:kinsoku/>
        <w:wordWrap/>
        <w:overflowPunct/>
        <w:topLinePunct w:val="0"/>
        <w:bidi w:val="0"/>
        <w:spacing w:after="0" w:line="600" w:lineRule="exact"/>
        <w:ind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主营业务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eastAsia="zh-CN"/>
        </w:rPr>
        <w:t>保险机构并表机构</w:t>
      </w:r>
      <w:r>
        <w:rPr>
          <w:rFonts w:hint="eastAsia" w:ascii="仿宋_GB2312" w:hAnsi="仿宋_GB2312" w:eastAsia="仿宋_GB2312" w:cs="仿宋_GB2312"/>
          <w:color w:val="auto"/>
          <w:sz w:val="32"/>
          <w:szCs w:val="32"/>
          <w:highlight w:val="none"/>
        </w:rPr>
        <w:t>为完成其经营目标而从事的核心业务活动，一般根据营业执照等文件所载明的信息确定主营业务范围。</w:t>
      </w:r>
      <w:r>
        <w:rPr>
          <w:rFonts w:hint="eastAsia" w:ascii="仿宋_GB2312" w:hAnsi="仿宋_GB2312" w:eastAsia="仿宋_GB2312" w:cs="仿宋_GB2312"/>
          <w:b/>
          <w:bCs/>
          <w:color w:val="auto"/>
          <w:sz w:val="32"/>
          <w:szCs w:val="32"/>
          <w:highlight w:val="none"/>
          <w:lang w:val="en-US" w:eastAsia="zh-CN"/>
        </w:rPr>
        <w:t>[境外</w:t>
      </w:r>
      <w:r>
        <w:rPr>
          <w:rFonts w:hint="eastAsia" w:ascii="仿宋_GB2312" w:hAnsi="仿宋_GB2312" w:eastAsia="仿宋_GB2312" w:cs="仿宋_GB2312"/>
          <w:b/>
          <w:bCs/>
          <w:color w:val="auto"/>
          <w:sz w:val="32"/>
          <w:szCs w:val="32"/>
          <w:highlight w:val="none"/>
        </w:rPr>
        <w:t>分支机构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、[境外代表处]</w:t>
      </w:r>
      <w:r>
        <w:rPr>
          <w:rFonts w:hint="eastAsia" w:ascii="仿宋_GB2312" w:hAnsi="仿宋_GB2312" w:eastAsia="仿宋_GB2312" w:cs="仿宋_GB2312"/>
          <w:color w:val="auto"/>
          <w:sz w:val="32"/>
          <w:szCs w:val="32"/>
          <w:highlight w:val="none"/>
          <w:lang w:val="en-US" w:eastAsia="zh-CN"/>
        </w:rPr>
        <w:t>不适用</w:t>
      </w:r>
      <w:r>
        <w:rPr>
          <w:rFonts w:hint="eastAsia" w:ascii="仿宋_GB2312" w:hAnsi="仿宋_GB2312" w:eastAsia="仿宋_GB2312" w:cs="仿宋_GB2312"/>
          <w:color w:val="auto"/>
          <w:sz w:val="32"/>
          <w:szCs w:val="32"/>
          <w:highlight w:val="none"/>
          <w:lang w:eastAsia="zh-CN"/>
        </w:rPr>
        <w:t>。</w:t>
      </w:r>
    </w:p>
    <w:p w14:paraId="31D939CC">
      <w:pPr>
        <w:pStyle w:val="57"/>
        <w:keepNext w:val="0"/>
        <w:keepLines w:val="0"/>
        <w:pageBreakBefore w:val="0"/>
        <w:kinsoku/>
        <w:wordWrap/>
        <w:overflowPunct/>
        <w:topLinePunct w:val="0"/>
        <w:bidi w:val="0"/>
        <w:spacing w:after="0" w:line="600" w:lineRule="exact"/>
        <w:ind w:firstLine="64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资本受监管要求</w:t>
      </w:r>
      <w:r>
        <w:rPr>
          <w:rFonts w:hint="eastAsia" w:ascii="仿宋_GB2312" w:hAnsi="仿宋_GB2312" w:eastAsia="仿宋_GB2312" w:cs="仿宋_GB2312"/>
          <w:b/>
          <w:bCs/>
          <w:color w:val="auto"/>
          <w:sz w:val="32"/>
          <w:szCs w:val="32"/>
          <w:highlight w:val="none"/>
          <w:lang w:eastAsia="zh-CN"/>
        </w:rPr>
        <w:t>情况。</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color w:val="auto"/>
          <w:sz w:val="32"/>
          <w:szCs w:val="32"/>
          <w:highlight w:val="none"/>
        </w:rPr>
        <w:t>指在</w:t>
      </w:r>
      <w:r>
        <w:rPr>
          <w:rFonts w:hint="eastAsia" w:ascii="仿宋_GB2312" w:hAnsi="仿宋_GB2312" w:eastAsia="仿宋_GB2312" w:cs="仿宋_GB2312"/>
          <w:color w:val="auto"/>
          <w:sz w:val="32"/>
          <w:szCs w:val="32"/>
          <w:highlight w:val="none"/>
          <w:lang w:eastAsia="zh-CN"/>
        </w:rPr>
        <w:t>中国</w:t>
      </w:r>
      <w:r>
        <w:rPr>
          <w:rFonts w:hint="eastAsia" w:ascii="仿宋_GB2312" w:hAnsi="仿宋_GB2312" w:eastAsia="仿宋_GB2312" w:cs="仿宋_GB2312"/>
          <w:color w:val="auto"/>
          <w:sz w:val="32"/>
          <w:szCs w:val="32"/>
          <w:highlight w:val="none"/>
        </w:rPr>
        <w:t>偿付能力监管要求中，监管部门对</w:t>
      </w:r>
      <w:r>
        <w:rPr>
          <w:rFonts w:hint="eastAsia" w:ascii="仿宋_GB2312" w:hAnsi="仿宋_GB2312" w:eastAsia="仿宋_GB2312" w:cs="仿宋_GB2312"/>
          <w:color w:val="auto"/>
          <w:sz w:val="32"/>
          <w:szCs w:val="32"/>
          <w:highlight w:val="none"/>
          <w:lang w:eastAsia="zh-CN"/>
        </w:rPr>
        <w:t>保险机构</w:t>
      </w:r>
      <w:r>
        <w:rPr>
          <w:rFonts w:hint="eastAsia" w:ascii="仿宋_GB2312" w:hAnsi="仿宋_GB2312" w:eastAsia="仿宋_GB2312" w:cs="仿宋_GB2312"/>
          <w:color w:val="auto"/>
          <w:sz w:val="32"/>
          <w:szCs w:val="32"/>
          <w:highlight w:val="none"/>
        </w:rPr>
        <w:t>该</w:t>
      </w:r>
      <w:r>
        <w:rPr>
          <w:rFonts w:hint="eastAsia" w:ascii="仿宋_GB2312" w:hAnsi="仿宋_GB2312" w:eastAsia="仿宋_GB2312" w:cs="仿宋_GB2312"/>
          <w:color w:val="auto"/>
          <w:sz w:val="32"/>
          <w:szCs w:val="32"/>
          <w:highlight w:val="none"/>
          <w:lang w:eastAsia="zh-CN"/>
        </w:rPr>
        <w:t>并表</w:t>
      </w:r>
      <w:r>
        <w:rPr>
          <w:rFonts w:hint="eastAsia" w:ascii="仿宋_GB2312" w:hAnsi="仿宋_GB2312" w:eastAsia="仿宋_GB2312" w:cs="仿宋_GB2312"/>
          <w:color w:val="auto"/>
          <w:sz w:val="32"/>
          <w:szCs w:val="32"/>
          <w:highlight w:val="none"/>
        </w:rPr>
        <w:t>机构是否有最低资本要求。</w:t>
      </w:r>
      <w:r>
        <w:rPr>
          <w:rFonts w:hint="eastAsia" w:ascii="仿宋_GB2312" w:hAnsi="仿宋_GB2312" w:eastAsia="仿宋_GB2312" w:cs="仿宋_GB2312"/>
          <w:color w:val="auto"/>
          <w:sz w:val="32"/>
          <w:szCs w:val="32"/>
          <w:highlight w:val="none"/>
          <w:lang w:eastAsia="zh-CN"/>
        </w:rPr>
        <w:t>包括</w:t>
      </w:r>
      <w:r>
        <w:rPr>
          <w:rFonts w:hint="eastAsia" w:ascii="仿宋_GB2312" w:hAnsi="仿宋_GB2312" w:eastAsia="仿宋_GB2312" w:cs="仿宋_GB2312"/>
          <w:b/>
          <w:bCs/>
          <w:color w:val="auto"/>
          <w:sz w:val="32"/>
          <w:szCs w:val="32"/>
          <w:highlight w:val="none"/>
          <w:lang w:val="en-US" w:eastAsia="zh-CN"/>
        </w:rPr>
        <w:t>[受偿付能力最低资本要求]、[不适用]。</w:t>
      </w:r>
    </w:p>
    <w:p w14:paraId="09F2AA17">
      <w:pPr>
        <w:pStyle w:val="57"/>
        <w:keepNext w:val="0"/>
        <w:keepLines w:val="0"/>
        <w:pageBreakBefore w:val="0"/>
        <w:kinsoku/>
        <w:wordWrap/>
        <w:overflowPunct/>
        <w:topLinePunct w:val="0"/>
        <w:bidi w:val="0"/>
        <w:spacing w:line="600" w:lineRule="exact"/>
        <w:ind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lang w:eastAsia="zh-CN"/>
        </w:rPr>
        <w:t>并表类型。</w:t>
      </w:r>
      <w:r>
        <w:rPr>
          <w:rFonts w:hint="eastAsia" w:ascii="仿宋_GB2312" w:hAnsi="仿宋_GB2312" w:eastAsia="仿宋_GB2312" w:cs="仿宋_GB2312"/>
          <w:b w:val="0"/>
          <w:bCs w:val="0"/>
          <w:color w:val="auto"/>
          <w:sz w:val="32"/>
          <w:szCs w:val="32"/>
          <w:highlight w:val="none"/>
          <w:lang w:eastAsia="zh-CN"/>
        </w:rPr>
        <w:t>是指保险机构并表机构纳入该保险机构并表范围的原因。</w:t>
      </w:r>
      <w:r>
        <w:rPr>
          <w:rFonts w:hint="eastAsia" w:ascii="仿宋_GB2312" w:hAnsi="仿宋_GB2312" w:eastAsia="仿宋_GB2312" w:cs="仿宋_GB2312"/>
          <w:color w:val="auto"/>
          <w:sz w:val="32"/>
          <w:szCs w:val="32"/>
          <w:highlight w:val="none"/>
          <w:lang w:eastAsia="zh-CN"/>
        </w:rPr>
        <w:t>包括</w:t>
      </w:r>
      <w:r>
        <w:rPr>
          <w:rFonts w:hint="eastAsia" w:ascii="仿宋_GB2312" w:hAnsi="仿宋_GB2312" w:eastAsia="仿宋_GB2312" w:cs="仿宋_GB2312"/>
          <w:b/>
          <w:bCs/>
          <w:color w:val="auto"/>
          <w:sz w:val="32"/>
          <w:szCs w:val="32"/>
          <w:highlight w:val="none"/>
          <w:lang w:eastAsia="zh-CN"/>
        </w:rPr>
        <w:t>[财务并表]、[风险并表]、[特殊机构并表]</w:t>
      </w:r>
      <w:r>
        <w:rPr>
          <w:rFonts w:hint="eastAsia" w:ascii="仿宋_GB2312" w:hAnsi="仿宋_GB2312" w:eastAsia="仿宋_GB2312" w:cs="仿宋_GB2312"/>
          <w:color w:val="auto"/>
          <w:sz w:val="32"/>
          <w:szCs w:val="32"/>
          <w:highlight w:val="none"/>
          <w:lang w:eastAsia="zh-CN"/>
        </w:rPr>
        <w:t>三类。</w:t>
      </w:r>
      <w:r>
        <w:rPr>
          <w:rFonts w:hint="eastAsia" w:ascii="仿宋_GB2312" w:hAnsi="仿宋_GB2312" w:eastAsia="仿宋_GB2312" w:cs="仿宋_GB2312"/>
          <w:b/>
          <w:bCs/>
          <w:color w:val="auto"/>
          <w:sz w:val="32"/>
          <w:szCs w:val="32"/>
          <w:highlight w:val="none"/>
          <w:lang w:eastAsia="zh-CN"/>
        </w:rPr>
        <w:t>[财务并表]</w:t>
      </w:r>
      <w:r>
        <w:rPr>
          <w:rFonts w:hint="eastAsia" w:ascii="仿宋_GB2312" w:hAnsi="仿宋_GB2312" w:eastAsia="仿宋_GB2312" w:cs="仿宋_GB2312"/>
          <w:color w:val="auto"/>
          <w:sz w:val="32"/>
          <w:szCs w:val="32"/>
          <w:highlight w:val="none"/>
          <w:lang w:eastAsia="zh-CN"/>
        </w:rPr>
        <w:t>是指基于《企业会计准则第33号——合并财务报表》要求，以控制为基础予以确定。</w:t>
      </w:r>
      <w:r>
        <w:rPr>
          <w:rFonts w:hint="eastAsia" w:ascii="仿宋_GB2312" w:hAnsi="仿宋_GB2312" w:eastAsia="仿宋_GB2312" w:cs="仿宋_GB2312"/>
          <w:b/>
          <w:bCs/>
          <w:color w:val="auto"/>
          <w:sz w:val="32"/>
          <w:szCs w:val="32"/>
          <w:highlight w:val="none"/>
          <w:lang w:eastAsia="zh-CN"/>
        </w:rPr>
        <w:t>[风险并表]</w:t>
      </w:r>
      <w:r>
        <w:rPr>
          <w:rFonts w:hint="eastAsia" w:ascii="仿宋_GB2312" w:hAnsi="仿宋_GB2312" w:eastAsia="仿宋_GB2312" w:cs="仿宋_GB2312"/>
          <w:color w:val="auto"/>
          <w:sz w:val="32"/>
          <w:szCs w:val="32"/>
          <w:highlight w:val="none"/>
          <w:lang w:eastAsia="zh-CN"/>
        </w:rPr>
        <w:t>是指被投资机构所产生的风险或造成的损失足以对保险集团的财务状况及风险水平造成重大影响的。保险集团（控股）公司为被投资机构第一大股东且提名人选担任董事长、总经理或行长等职务的，或在名称总受权使用保险集团商标的被投资机构，原则上应当认定为上述情形。</w:t>
      </w:r>
      <w:r>
        <w:rPr>
          <w:rFonts w:hint="eastAsia" w:ascii="仿宋_GB2312" w:hAnsi="仿宋_GB2312" w:eastAsia="仿宋_GB2312" w:cs="仿宋_GB2312"/>
          <w:b/>
          <w:bCs/>
          <w:color w:val="auto"/>
          <w:sz w:val="32"/>
          <w:szCs w:val="32"/>
          <w:highlight w:val="none"/>
          <w:lang w:eastAsia="zh-CN"/>
        </w:rPr>
        <w:t>[特殊机构并表]</w:t>
      </w:r>
      <w:r>
        <w:rPr>
          <w:rFonts w:hint="eastAsia" w:ascii="仿宋_GB2312" w:hAnsi="仿宋_GB2312" w:eastAsia="仿宋_GB2312" w:cs="仿宋_GB2312"/>
          <w:color w:val="auto"/>
          <w:sz w:val="32"/>
          <w:szCs w:val="32"/>
          <w:highlight w:val="none"/>
          <w:lang w:eastAsia="zh-CN"/>
        </w:rPr>
        <w:t>指通过境内外附属机构、空壳公司等复杂股权设计成立的，保险集团（控股）公司实际控制或对该机构的经营管理存在重大影响的其他被投资机构。</w:t>
      </w:r>
      <w:r>
        <w:rPr>
          <w:rFonts w:hint="eastAsia" w:ascii="仿宋_GB2312" w:hAnsi="仿宋_GB2312" w:eastAsia="仿宋_GB2312" w:cs="仿宋_GB2312"/>
          <w:b/>
          <w:bCs/>
          <w:color w:val="auto"/>
          <w:sz w:val="32"/>
          <w:szCs w:val="32"/>
          <w:highlight w:val="none"/>
          <w:lang w:val="en-US" w:eastAsia="zh-CN"/>
        </w:rPr>
        <w:t>[风险并表]、</w:t>
      </w:r>
      <w:r>
        <w:rPr>
          <w:rFonts w:hint="eastAsia" w:ascii="仿宋_GB2312" w:hAnsi="仿宋_GB2312" w:eastAsia="仿宋_GB2312" w:cs="仿宋_GB2312"/>
          <w:b/>
          <w:bCs/>
          <w:color w:val="auto"/>
          <w:sz w:val="32"/>
          <w:szCs w:val="32"/>
          <w:highlight w:val="none"/>
          <w:lang w:eastAsia="zh-CN"/>
        </w:rPr>
        <w:t>[特殊机构并表]</w:t>
      </w:r>
      <w:r>
        <w:rPr>
          <w:rFonts w:hint="eastAsia" w:ascii="仿宋_GB2312" w:hAnsi="仿宋_GB2312" w:eastAsia="仿宋_GB2312" w:cs="仿宋_GB2312"/>
          <w:b w:val="0"/>
          <w:bCs w:val="0"/>
          <w:color w:val="auto"/>
          <w:sz w:val="32"/>
          <w:szCs w:val="32"/>
          <w:highlight w:val="none"/>
          <w:lang w:eastAsia="zh-CN"/>
        </w:rPr>
        <w:t>原则上</w:t>
      </w:r>
      <w:r>
        <w:rPr>
          <w:rFonts w:hint="eastAsia" w:ascii="仿宋_GB2312" w:hAnsi="仿宋_GB2312" w:eastAsia="仿宋_GB2312" w:cs="仿宋_GB2312"/>
          <w:color w:val="auto"/>
          <w:sz w:val="32"/>
          <w:szCs w:val="32"/>
          <w:highlight w:val="none"/>
          <w:lang w:eastAsia="zh-CN"/>
        </w:rPr>
        <w:t>仅适用于保险集团（控股）公司。</w:t>
      </w:r>
    </w:p>
    <w:p w14:paraId="0298DDA5">
      <w:pPr>
        <w:pStyle w:val="57"/>
        <w:keepNext w:val="0"/>
        <w:keepLines w:val="0"/>
        <w:pageBreakBefore w:val="0"/>
        <w:kinsoku/>
        <w:wordWrap/>
        <w:overflowPunct/>
        <w:topLinePunct w:val="0"/>
        <w:bidi w:val="0"/>
        <w:spacing w:after="0" w:line="60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机构层级</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是指保险机构并表机构的机构层级，其中，</w:t>
      </w:r>
      <w:r>
        <w:rPr>
          <w:rFonts w:hint="eastAsia" w:ascii="仿宋_GB2312" w:hAnsi="仿宋_GB2312" w:eastAsia="仿宋_GB2312" w:cs="仿宋_GB2312"/>
          <w:color w:val="auto"/>
          <w:sz w:val="32"/>
          <w:szCs w:val="32"/>
          <w:highlight w:val="none"/>
          <w:lang w:val="en-US" w:eastAsia="zh-CN"/>
        </w:rPr>
        <w:t>保险集团（控股）公司按照</w:t>
      </w:r>
      <w:r>
        <w:rPr>
          <w:rFonts w:hint="eastAsia" w:ascii="仿宋_GB2312" w:hAnsi="仿宋_GB2312" w:eastAsia="仿宋_GB2312" w:cs="仿宋_GB2312"/>
          <w:color w:val="auto"/>
          <w:sz w:val="32"/>
          <w:szCs w:val="32"/>
          <w:highlight w:val="none"/>
        </w:rPr>
        <w:t>《保险集团公司监督管理办法》</w:t>
      </w:r>
      <w:r>
        <w:rPr>
          <w:rFonts w:hint="eastAsia" w:ascii="仿宋_GB2312" w:hAnsi="仿宋_GB2312" w:eastAsia="仿宋_GB2312" w:cs="仿宋_GB2312"/>
          <w:color w:val="auto"/>
          <w:sz w:val="32"/>
          <w:szCs w:val="32"/>
          <w:highlight w:val="none"/>
          <w:lang w:eastAsia="zh-CN"/>
        </w:rPr>
        <w:t>有关要求计算机构层级，其他类型保险机构参照计算。保险机构本身为</w:t>
      </w:r>
      <w:r>
        <w:rPr>
          <w:rFonts w:hint="eastAsia" w:ascii="仿宋_GB2312" w:hAnsi="仿宋_GB2312" w:eastAsia="仿宋_GB2312" w:cs="仿宋_GB2312"/>
          <w:b w:val="0"/>
          <w:bCs w:val="0"/>
          <w:color w:val="auto"/>
          <w:sz w:val="32"/>
          <w:szCs w:val="32"/>
          <w:highlight w:val="none"/>
          <w:lang w:val="en-US" w:eastAsia="zh-CN"/>
        </w:rPr>
        <w:t>1级</w:t>
      </w:r>
      <w:r>
        <w:rPr>
          <w:rFonts w:hint="eastAsia" w:ascii="仿宋_GB2312" w:hAnsi="仿宋_GB2312" w:eastAsia="仿宋_GB2312" w:cs="仿宋_GB2312"/>
          <w:color w:val="auto"/>
          <w:sz w:val="32"/>
          <w:szCs w:val="32"/>
          <w:highlight w:val="none"/>
          <w:lang w:val="en-US" w:eastAsia="zh-CN"/>
        </w:rPr>
        <w:t>机构；直接股东为该保险机构的为2级机构，不考虑其SPV或项目公司层数，依次类推，包括</w:t>
      </w:r>
      <w:r>
        <w:rPr>
          <w:rFonts w:hint="eastAsia" w:ascii="仿宋_GB2312" w:hAnsi="仿宋_GB2312" w:eastAsia="仿宋_GB2312" w:cs="仿宋_GB2312"/>
          <w:b/>
          <w:bCs/>
          <w:color w:val="auto"/>
          <w:sz w:val="32"/>
          <w:szCs w:val="32"/>
          <w:highlight w:val="none"/>
          <w:lang w:val="en-US" w:eastAsia="zh-CN"/>
        </w:rPr>
        <w:t>[1级（不含项目公司）]、[2级（不含项目公司）]、[3级（不含项目公司）]……</w:t>
      </w:r>
      <w:r>
        <w:rPr>
          <w:rFonts w:hint="eastAsia" w:ascii="仿宋_GB2312" w:hAnsi="仿宋_GB2312" w:eastAsia="仿宋_GB2312" w:cs="仿宋_GB2312"/>
          <w:color w:val="auto"/>
          <w:sz w:val="32"/>
          <w:szCs w:val="32"/>
          <w:highlight w:val="none"/>
          <w:lang w:val="en-US" w:eastAsia="zh-CN"/>
        </w:rPr>
        <w:t>。</w:t>
      </w:r>
    </w:p>
    <w:p w14:paraId="1097E850">
      <w:pPr>
        <w:pStyle w:val="57"/>
        <w:keepNext w:val="0"/>
        <w:keepLines w:val="0"/>
        <w:pageBreakBefore w:val="0"/>
        <w:kinsoku/>
        <w:wordWrap/>
        <w:overflowPunct/>
        <w:topLinePunct w:val="0"/>
        <w:bidi w:val="0"/>
        <w:spacing w:after="0" w:line="600" w:lineRule="exact"/>
        <w:ind w:firstLine="64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11.考虑SPV或项目公司的机构层级。</w:t>
      </w:r>
      <w:r>
        <w:rPr>
          <w:rFonts w:hint="eastAsia" w:ascii="仿宋_GB2312" w:hAnsi="仿宋_GB2312" w:eastAsia="仿宋_GB2312" w:cs="仿宋_GB2312"/>
          <w:color w:val="auto"/>
          <w:sz w:val="32"/>
          <w:szCs w:val="32"/>
          <w:highlight w:val="none"/>
          <w:lang w:val="en-US" w:eastAsia="zh-CN"/>
        </w:rPr>
        <w:t>保险机构在设立或投资该下级机构时，是否使用了SPV或项目公司形式，若使用需填写其层数。包括</w:t>
      </w:r>
      <w:r>
        <w:rPr>
          <w:rFonts w:hint="eastAsia" w:ascii="仿宋_GB2312" w:hAnsi="仿宋_GB2312" w:eastAsia="仿宋_GB2312" w:cs="仿宋_GB2312"/>
          <w:b/>
          <w:bCs/>
          <w:color w:val="auto"/>
          <w:sz w:val="32"/>
          <w:szCs w:val="32"/>
          <w:highlight w:val="none"/>
          <w:lang w:val="en-US" w:eastAsia="zh-CN"/>
        </w:rPr>
        <w:t>[1级]、[2级]、[3级]……</w:t>
      </w:r>
      <w:r>
        <w:rPr>
          <w:rFonts w:hint="eastAsia" w:ascii="仿宋_GB2312" w:hAnsi="仿宋_GB2312" w:eastAsia="仿宋_GB2312" w:cs="仿宋_GB2312"/>
          <w:color w:val="auto"/>
          <w:sz w:val="32"/>
          <w:szCs w:val="32"/>
          <w:highlight w:val="none"/>
          <w:lang w:val="en-US" w:eastAsia="zh-CN"/>
        </w:rPr>
        <w:t>。</w:t>
      </w:r>
    </w:p>
    <w:p w14:paraId="08ED2793">
      <w:pPr>
        <w:pStyle w:val="57"/>
        <w:keepNext w:val="0"/>
        <w:keepLines w:val="0"/>
        <w:pageBreakBefore w:val="0"/>
        <w:kinsoku/>
        <w:wordWrap/>
        <w:overflowPunct/>
        <w:topLinePunct w:val="0"/>
        <w:bidi w:val="0"/>
        <w:spacing w:after="0" w:line="60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12.跨境层级。</w:t>
      </w:r>
      <w:r>
        <w:rPr>
          <w:rFonts w:hint="eastAsia" w:ascii="仿宋_GB2312" w:hAnsi="仿宋_GB2312" w:eastAsia="仿宋_GB2312" w:cs="仿宋_GB2312"/>
          <w:b w:val="0"/>
          <w:bCs w:val="0"/>
          <w:color w:val="auto"/>
          <w:sz w:val="32"/>
          <w:szCs w:val="32"/>
          <w:highlight w:val="none"/>
          <w:lang w:val="en-US" w:eastAsia="zh-CN"/>
        </w:rPr>
        <w:t>是指</w:t>
      </w:r>
      <w:r>
        <w:rPr>
          <w:rFonts w:hint="eastAsia" w:ascii="仿宋_GB2312" w:hAnsi="仿宋_GB2312" w:eastAsia="仿宋_GB2312" w:cs="仿宋_GB2312"/>
          <w:b/>
          <w:bCs/>
          <w:color w:val="auto"/>
          <w:sz w:val="32"/>
          <w:szCs w:val="32"/>
          <w:highlight w:val="none"/>
          <w:lang w:val="en-US" w:eastAsia="zh-CN"/>
        </w:rPr>
        <w:t>[境外</w:t>
      </w:r>
      <w:r>
        <w:rPr>
          <w:rFonts w:hint="eastAsia" w:ascii="仿宋_GB2312" w:hAnsi="仿宋_GB2312" w:eastAsia="仿宋_GB2312" w:cs="仿宋_GB2312"/>
          <w:b/>
          <w:bCs/>
          <w:color w:val="auto"/>
          <w:sz w:val="32"/>
          <w:szCs w:val="32"/>
          <w:highlight w:val="none"/>
        </w:rPr>
        <w:t>法人机构</w:t>
      </w:r>
      <w:r>
        <w:rPr>
          <w:rFonts w:hint="eastAsia" w:ascii="仿宋_GB2312" w:hAnsi="仿宋_GB2312" w:eastAsia="仿宋_GB2312" w:cs="仿宋_GB2312"/>
          <w:b/>
          <w:bCs/>
          <w:color w:val="auto"/>
          <w:sz w:val="32"/>
          <w:szCs w:val="32"/>
          <w:highlight w:val="none"/>
          <w:lang w:val="en-US" w:eastAsia="zh-CN"/>
        </w:rPr>
        <w:t>]、[境外</w:t>
      </w:r>
      <w:r>
        <w:rPr>
          <w:rFonts w:hint="eastAsia" w:ascii="仿宋_GB2312" w:hAnsi="仿宋_GB2312" w:eastAsia="仿宋_GB2312" w:cs="仿宋_GB2312"/>
          <w:b/>
          <w:bCs/>
          <w:color w:val="auto"/>
          <w:sz w:val="32"/>
          <w:szCs w:val="32"/>
          <w:highlight w:val="none"/>
        </w:rPr>
        <w:t>分支机构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[境外</w:t>
      </w:r>
      <w:r>
        <w:rPr>
          <w:rFonts w:hint="eastAsia" w:ascii="仿宋_GB2312" w:hAnsi="仿宋_GB2312" w:eastAsia="仿宋_GB2312" w:cs="仿宋_GB2312"/>
          <w:b/>
          <w:bCs/>
          <w:color w:val="auto"/>
          <w:sz w:val="32"/>
          <w:szCs w:val="32"/>
          <w:highlight w:val="none"/>
        </w:rPr>
        <w:t>代表处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等境外机构的跨境层级，</w:t>
      </w:r>
      <w:r>
        <w:rPr>
          <w:rFonts w:hint="eastAsia" w:ascii="仿宋_GB2312" w:hAnsi="仿宋_GB2312" w:eastAsia="仿宋_GB2312" w:cs="仿宋_GB2312"/>
          <w:b/>
          <w:bCs/>
          <w:color w:val="auto"/>
          <w:sz w:val="32"/>
          <w:szCs w:val="32"/>
          <w:highlight w:val="none"/>
          <w:lang w:val="en-US" w:eastAsia="zh-CN"/>
        </w:rPr>
        <w:t>[跨境</w:t>
      </w:r>
      <w:r>
        <w:rPr>
          <w:rFonts w:hint="eastAsia" w:ascii="仿宋_GB2312" w:hAnsi="仿宋_GB2312" w:eastAsia="仿宋_GB2312" w:cs="仿宋_GB2312"/>
          <w:b/>
          <w:bCs/>
          <w:color w:val="auto"/>
          <w:sz w:val="32"/>
          <w:szCs w:val="32"/>
          <w:highlight w:val="none"/>
        </w:rPr>
        <w:t>1级</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color w:val="auto"/>
          <w:sz w:val="32"/>
          <w:szCs w:val="32"/>
          <w:highlight w:val="none"/>
        </w:rPr>
        <w:t>跨境</w:t>
      </w:r>
      <w:r>
        <w:rPr>
          <w:rFonts w:hint="eastAsia" w:ascii="仿宋_GB2312" w:hAnsi="仿宋_GB2312" w:eastAsia="仿宋_GB2312" w:cs="仿宋_GB2312"/>
          <w:color w:val="auto"/>
          <w:sz w:val="32"/>
          <w:szCs w:val="32"/>
          <w:highlight w:val="none"/>
          <w:lang w:eastAsia="zh-CN"/>
        </w:rPr>
        <w:t>的首个层级，</w:t>
      </w:r>
      <w:r>
        <w:rPr>
          <w:rFonts w:hint="eastAsia" w:ascii="仿宋_GB2312" w:hAnsi="仿宋_GB2312" w:eastAsia="仿宋_GB2312" w:cs="仿宋_GB2312"/>
          <w:b w:val="0"/>
          <w:bCs w:val="0"/>
          <w:color w:val="auto"/>
          <w:sz w:val="32"/>
          <w:szCs w:val="32"/>
          <w:highlight w:val="none"/>
          <w:lang w:val="en-US" w:eastAsia="zh-CN"/>
        </w:rPr>
        <w:t>不考虑该并表机构上一层级机构在境内的层级，</w:t>
      </w:r>
      <w:r>
        <w:rPr>
          <w:rFonts w:hint="eastAsia" w:ascii="仿宋_GB2312" w:hAnsi="仿宋_GB2312" w:eastAsia="仿宋_GB2312" w:cs="仿宋_GB2312"/>
          <w:color w:val="auto"/>
          <w:sz w:val="32"/>
          <w:szCs w:val="32"/>
          <w:highlight w:val="none"/>
          <w:lang w:eastAsia="zh-CN"/>
        </w:rPr>
        <w:t>依次</w:t>
      </w:r>
      <w:r>
        <w:rPr>
          <w:rFonts w:hint="eastAsia" w:ascii="仿宋_GB2312" w:hAnsi="仿宋_GB2312" w:eastAsia="仿宋_GB2312" w:cs="仿宋_GB2312"/>
          <w:color w:val="auto"/>
          <w:sz w:val="32"/>
          <w:szCs w:val="32"/>
          <w:highlight w:val="none"/>
        </w:rPr>
        <w:t>类推，</w:t>
      </w:r>
      <w:r>
        <w:rPr>
          <w:rFonts w:hint="eastAsia" w:ascii="仿宋_GB2312" w:hAnsi="仿宋_GB2312" w:eastAsia="仿宋_GB2312" w:cs="仿宋_GB2312"/>
          <w:color w:val="auto"/>
          <w:sz w:val="32"/>
          <w:szCs w:val="32"/>
          <w:highlight w:val="none"/>
          <w:lang w:eastAsia="zh-CN"/>
        </w:rPr>
        <w:t>包括</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跨境</w:t>
      </w:r>
      <w:r>
        <w:rPr>
          <w:rFonts w:hint="eastAsia" w:ascii="仿宋_GB2312" w:hAnsi="仿宋_GB2312" w:eastAsia="仿宋_GB2312" w:cs="仿宋_GB2312"/>
          <w:b/>
          <w:bCs/>
          <w:color w:val="auto"/>
          <w:sz w:val="32"/>
          <w:szCs w:val="32"/>
          <w:highlight w:val="none"/>
        </w:rPr>
        <w:t>1级]、[</w:t>
      </w:r>
      <w:r>
        <w:rPr>
          <w:rFonts w:hint="eastAsia" w:ascii="仿宋_GB2312" w:hAnsi="仿宋_GB2312" w:eastAsia="仿宋_GB2312" w:cs="仿宋_GB2312"/>
          <w:b/>
          <w:bCs/>
          <w:color w:val="auto"/>
          <w:sz w:val="32"/>
          <w:szCs w:val="32"/>
          <w:highlight w:val="none"/>
          <w:lang w:eastAsia="zh-CN"/>
        </w:rPr>
        <w:t>跨境</w:t>
      </w:r>
      <w:r>
        <w:rPr>
          <w:rFonts w:hint="eastAsia" w:ascii="仿宋_GB2312" w:hAnsi="仿宋_GB2312" w:eastAsia="仿宋_GB2312" w:cs="仿宋_GB2312"/>
          <w:b/>
          <w:bCs/>
          <w:color w:val="auto"/>
          <w:sz w:val="32"/>
          <w:szCs w:val="32"/>
          <w:highlight w:val="none"/>
        </w:rPr>
        <w:t>2级]、[</w:t>
      </w:r>
      <w:r>
        <w:rPr>
          <w:rFonts w:hint="eastAsia" w:ascii="仿宋_GB2312" w:hAnsi="仿宋_GB2312" w:eastAsia="仿宋_GB2312" w:cs="仿宋_GB2312"/>
          <w:b/>
          <w:bCs/>
          <w:color w:val="auto"/>
          <w:sz w:val="32"/>
          <w:szCs w:val="32"/>
          <w:highlight w:val="none"/>
          <w:lang w:eastAsia="zh-CN"/>
        </w:rPr>
        <w:t>跨境</w:t>
      </w:r>
      <w:r>
        <w:rPr>
          <w:rFonts w:hint="eastAsia" w:ascii="仿宋_GB2312" w:hAnsi="仿宋_GB2312" w:eastAsia="仿宋_GB2312" w:cs="仿宋_GB2312"/>
          <w:b/>
          <w:bCs/>
          <w:color w:val="auto"/>
          <w:sz w:val="32"/>
          <w:szCs w:val="32"/>
          <w:highlight w:val="none"/>
        </w:rPr>
        <w:t>3级]</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69CBC372">
      <w:pPr>
        <w:pStyle w:val="57"/>
        <w:keepNext w:val="0"/>
        <w:keepLines w:val="0"/>
        <w:pageBreakBefore w:val="0"/>
        <w:kinsoku/>
        <w:wordWrap/>
        <w:overflowPunct/>
        <w:topLinePunct w:val="0"/>
        <w:bidi w:val="0"/>
        <w:spacing w:after="0" w:line="600" w:lineRule="exact"/>
        <w:ind w:firstLine="64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13.所属上一级机构名称。</w:t>
      </w:r>
      <w:r>
        <w:rPr>
          <w:rFonts w:hint="eastAsia" w:ascii="仿宋_GB2312" w:hAnsi="仿宋_GB2312" w:eastAsia="仿宋_GB2312" w:cs="仿宋_GB2312"/>
          <w:color w:val="auto"/>
          <w:sz w:val="32"/>
          <w:szCs w:val="32"/>
          <w:highlight w:val="none"/>
          <w:lang w:val="en-US" w:eastAsia="zh-CN"/>
        </w:rPr>
        <w:t>是指保险机构并表机构所归属的上一级机构营业执照上列明的机构名称，机构层级是</w:t>
      </w:r>
      <w:r>
        <w:rPr>
          <w:rFonts w:hint="eastAsia" w:ascii="仿宋_GB2312" w:hAnsi="仿宋_GB2312" w:eastAsia="仿宋_GB2312" w:cs="仿宋_GB2312"/>
          <w:b/>
          <w:bCs/>
          <w:color w:val="auto"/>
          <w:sz w:val="32"/>
          <w:szCs w:val="32"/>
          <w:highlight w:val="none"/>
          <w:lang w:val="en-US" w:eastAsia="zh-CN"/>
        </w:rPr>
        <w:t>[1级（不含项目公司）]</w:t>
      </w:r>
      <w:r>
        <w:rPr>
          <w:rFonts w:hint="eastAsia" w:ascii="仿宋_GB2312" w:hAnsi="仿宋_GB2312" w:eastAsia="仿宋_GB2312" w:cs="仿宋_GB2312"/>
          <w:color w:val="auto"/>
          <w:sz w:val="32"/>
          <w:szCs w:val="32"/>
          <w:highlight w:val="none"/>
          <w:lang w:val="en-US" w:eastAsia="zh-CN"/>
        </w:rPr>
        <w:t>的机构所属上一级机构为保险机构本身。</w:t>
      </w:r>
    </w:p>
    <w:p w14:paraId="1B6BB5D3">
      <w:pPr>
        <w:pStyle w:val="57"/>
        <w:keepNext w:val="0"/>
        <w:keepLines w:val="0"/>
        <w:pageBreakBefore w:val="0"/>
        <w:kinsoku/>
        <w:wordWrap/>
        <w:overflowPunct/>
        <w:topLinePunct w:val="0"/>
        <w:bidi w:val="0"/>
        <w:spacing w:after="0" w:line="60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14.</w:t>
      </w:r>
      <w:r>
        <w:rPr>
          <w:rFonts w:hint="eastAsia" w:ascii="仿宋_GB2312" w:hAnsi="仿宋_GB2312" w:eastAsia="仿宋_GB2312" w:cs="仿宋_GB2312"/>
          <w:b/>
          <w:bCs/>
          <w:color w:val="auto"/>
          <w:sz w:val="32"/>
          <w:szCs w:val="32"/>
          <w:highlight w:val="none"/>
        </w:rPr>
        <w:t>所属受金融监管的</w:t>
      </w:r>
      <w:r>
        <w:rPr>
          <w:rFonts w:hint="eastAsia" w:ascii="仿宋_GB2312" w:hAnsi="仿宋_GB2312" w:eastAsia="仿宋_GB2312" w:cs="仿宋_GB2312"/>
          <w:b/>
          <w:bCs/>
          <w:color w:val="auto"/>
          <w:sz w:val="32"/>
          <w:szCs w:val="32"/>
          <w:highlight w:val="none"/>
          <w:lang w:eastAsia="zh-CN"/>
        </w:rPr>
        <w:t>最</w:t>
      </w:r>
      <w:r>
        <w:rPr>
          <w:rFonts w:hint="eastAsia" w:ascii="仿宋_GB2312" w:hAnsi="仿宋_GB2312" w:eastAsia="仿宋_GB2312" w:cs="仿宋_GB2312"/>
          <w:b/>
          <w:bCs/>
          <w:color w:val="auto"/>
          <w:sz w:val="32"/>
          <w:szCs w:val="32"/>
          <w:highlight w:val="none"/>
        </w:rPr>
        <w:t>直接股东</w:t>
      </w:r>
      <w:r>
        <w:rPr>
          <w:rFonts w:hint="eastAsia" w:ascii="仿宋_GB2312" w:hAnsi="仿宋_GB2312" w:eastAsia="仿宋_GB2312" w:cs="仿宋_GB2312"/>
          <w:b/>
          <w:bCs/>
          <w:color w:val="auto"/>
          <w:sz w:val="32"/>
          <w:szCs w:val="32"/>
          <w:highlight w:val="none"/>
          <w:lang w:eastAsia="zh-CN"/>
        </w:rPr>
        <w:t>名称。</w:t>
      </w:r>
      <w:r>
        <w:rPr>
          <w:rFonts w:hint="eastAsia" w:ascii="仿宋_GB2312" w:hAnsi="仿宋_GB2312" w:eastAsia="仿宋_GB2312" w:cs="仿宋_GB2312"/>
          <w:color w:val="auto"/>
          <w:sz w:val="32"/>
          <w:szCs w:val="32"/>
          <w:highlight w:val="none"/>
          <w:lang w:eastAsia="zh-CN"/>
        </w:rPr>
        <w:t>是指保险机构并表机构所有直接和间接股东中，最直接</w:t>
      </w:r>
      <w:r>
        <w:rPr>
          <w:rFonts w:hint="eastAsia" w:ascii="仿宋_GB2312" w:hAnsi="仿宋_GB2312" w:eastAsia="仿宋_GB2312" w:cs="仿宋_GB2312"/>
          <w:b w:val="0"/>
          <w:bCs w:val="0"/>
          <w:color w:val="auto"/>
          <w:sz w:val="32"/>
          <w:szCs w:val="32"/>
          <w:highlight w:val="none"/>
        </w:rPr>
        <w:t>受金融</w:t>
      </w:r>
      <w:r>
        <w:rPr>
          <w:rFonts w:hint="eastAsia" w:ascii="仿宋_GB2312" w:hAnsi="仿宋_GB2312" w:eastAsia="仿宋_GB2312" w:cs="仿宋_GB2312"/>
          <w:b w:val="0"/>
          <w:bCs w:val="0"/>
          <w:color w:val="auto"/>
          <w:sz w:val="32"/>
          <w:szCs w:val="32"/>
          <w:highlight w:val="none"/>
          <w:lang w:eastAsia="zh-CN"/>
        </w:rPr>
        <w:t>监管总局</w:t>
      </w:r>
      <w:r>
        <w:rPr>
          <w:rFonts w:hint="eastAsia" w:ascii="仿宋_GB2312" w:hAnsi="仿宋_GB2312" w:eastAsia="仿宋_GB2312" w:cs="仿宋_GB2312"/>
          <w:b w:val="0"/>
          <w:bCs w:val="0"/>
          <w:color w:val="auto"/>
          <w:sz w:val="32"/>
          <w:szCs w:val="32"/>
          <w:highlight w:val="none"/>
        </w:rPr>
        <w:t>监管的</w:t>
      </w:r>
      <w:r>
        <w:rPr>
          <w:rFonts w:hint="eastAsia" w:ascii="仿宋_GB2312" w:hAnsi="仿宋_GB2312" w:eastAsia="仿宋_GB2312" w:cs="仿宋_GB2312"/>
          <w:b w:val="0"/>
          <w:bCs w:val="0"/>
          <w:color w:val="auto"/>
          <w:sz w:val="32"/>
          <w:szCs w:val="32"/>
          <w:highlight w:val="none"/>
          <w:lang w:eastAsia="zh-CN"/>
        </w:rPr>
        <w:t>金融机构</w:t>
      </w:r>
      <w:r>
        <w:rPr>
          <w:rFonts w:hint="eastAsia" w:ascii="仿宋_GB2312" w:hAnsi="仿宋_GB2312" w:eastAsia="仿宋_GB2312" w:cs="仿宋_GB2312"/>
          <w:b w:val="0"/>
          <w:bCs w:val="0"/>
          <w:color w:val="auto"/>
          <w:sz w:val="32"/>
          <w:szCs w:val="32"/>
          <w:highlight w:val="none"/>
        </w:rPr>
        <w:t>股东</w:t>
      </w:r>
      <w:r>
        <w:rPr>
          <w:rFonts w:hint="eastAsia" w:ascii="仿宋_GB2312" w:hAnsi="仿宋_GB2312" w:eastAsia="仿宋_GB2312" w:cs="仿宋_GB2312"/>
          <w:b w:val="0"/>
          <w:bCs w:val="0"/>
          <w:color w:val="auto"/>
          <w:sz w:val="32"/>
          <w:szCs w:val="32"/>
          <w:highlight w:val="none"/>
          <w:lang w:eastAsia="zh-CN"/>
        </w:rPr>
        <w:t>名称。例如，保险机构某</w:t>
      </w:r>
      <w:r>
        <w:rPr>
          <w:rFonts w:hint="eastAsia" w:ascii="仿宋_GB2312" w:hAnsi="仿宋_GB2312" w:eastAsia="仿宋_GB2312" w:cs="仿宋_GB2312"/>
          <w:b/>
          <w:bCs/>
          <w:color w:val="auto"/>
          <w:sz w:val="32"/>
          <w:szCs w:val="32"/>
          <w:highlight w:val="none"/>
          <w:lang w:val="en-US" w:eastAsia="zh-CN"/>
        </w:rPr>
        <w:t>[4级（不含项目公司）]</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bCs/>
          <w:color w:val="auto"/>
          <w:sz w:val="32"/>
          <w:szCs w:val="32"/>
          <w:highlight w:val="none"/>
          <w:lang w:val="en-US" w:eastAsia="zh-CN"/>
        </w:rPr>
        <w:t>[境内法人机构]</w:t>
      </w:r>
      <w:r>
        <w:rPr>
          <w:rFonts w:hint="eastAsia" w:ascii="仿宋_GB2312" w:hAnsi="仿宋_GB2312" w:eastAsia="仿宋_GB2312" w:cs="仿宋_GB2312"/>
          <w:b w:val="0"/>
          <w:bCs w:val="0"/>
          <w:color w:val="auto"/>
          <w:sz w:val="32"/>
          <w:szCs w:val="32"/>
          <w:highlight w:val="none"/>
          <w:lang w:val="en-US" w:eastAsia="zh-CN"/>
        </w:rPr>
        <w:t>，其直接股东不是金融机构，但该直接股东的股东是受金融监管总局监管的金融机构，则填报该金融机构名称。</w:t>
      </w:r>
      <w:r>
        <w:rPr>
          <w:rFonts w:hint="eastAsia" w:ascii="仿宋_GB2312" w:hAnsi="仿宋_GB2312" w:eastAsia="仿宋_GB2312" w:cs="仿宋_GB2312"/>
          <w:b/>
          <w:bCs/>
          <w:color w:val="auto"/>
          <w:sz w:val="32"/>
          <w:szCs w:val="32"/>
          <w:highlight w:val="none"/>
          <w:lang w:val="en-US" w:eastAsia="zh-CN"/>
        </w:rPr>
        <w:t>[境外</w:t>
      </w:r>
      <w:r>
        <w:rPr>
          <w:rFonts w:hint="eastAsia" w:ascii="仿宋_GB2312" w:hAnsi="仿宋_GB2312" w:eastAsia="仿宋_GB2312" w:cs="仿宋_GB2312"/>
          <w:b/>
          <w:bCs/>
          <w:color w:val="auto"/>
          <w:sz w:val="32"/>
          <w:szCs w:val="32"/>
          <w:highlight w:val="none"/>
        </w:rPr>
        <w:t>分支机构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、[境外代表处]</w:t>
      </w:r>
      <w:r>
        <w:rPr>
          <w:rFonts w:hint="eastAsia" w:ascii="仿宋_GB2312" w:hAnsi="仿宋_GB2312" w:eastAsia="仿宋_GB2312" w:cs="仿宋_GB2312"/>
          <w:color w:val="auto"/>
          <w:sz w:val="32"/>
          <w:szCs w:val="32"/>
          <w:highlight w:val="none"/>
          <w:lang w:val="en-US" w:eastAsia="zh-CN"/>
        </w:rPr>
        <w:t>不适用</w:t>
      </w:r>
      <w:r>
        <w:rPr>
          <w:rFonts w:hint="eastAsia" w:ascii="仿宋_GB2312" w:hAnsi="仿宋_GB2312" w:eastAsia="仿宋_GB2312" w:cs="仿宋_GB2312"/>
          <w:color w:val="auto"/>
          <w:sz w:val="32"/>
          <w:szCs w:val="32"/>
          <w:highlight w:val="none"/>
          <w:lang w:eastAsia="zh-CN"/>
        </w:rPr>
        <w:t>。</w:t>
      </w:r>
    </w:p>
    <w:p w14:paraId="138966EA">
      <w:pPr>
        <w:pStyle w:val="57"/>
        <w:keepNext w:val="0"/>
        <w:keepLines w:val="0"/>
        <w:pageBreakBefore w:val="0"/>
        <w:numPr>
          <w:ilvl w:val="0"/>
          <w:numId w:val="0"/>
        </w:numPr>
        <w:kinsoku/>
        <w:wordWrap/>
        <w:overflowPunct/>
        <w:topLinePunct w:val="0"/>
        <w:bidi w:val="0"/>
        <w:spacing w:after="0" w:line="600" w:lineRule="exact"/>
        <w:ind w:left="0" w:leftChars="0" w:firstLine="64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15.</w:t>
      </w:r>
      <w:r>
        <w:rPr>
          <w:rFonts w:hint="eastAsia" w:ascii="仿宋_GB2312" w:hAnsi="仿宋_GB2312" w:eastAsia="仿宋_GB2312" w:cs="仿宋_GB2312"/>
          <w:b/>
          <w:bCs/>
          <w:color w:val="auto"/>
          <w:kern w:val="2"/>
          <w:sz w:val="32"/>
          <w:szCs w:val="32"/>
          <w:highlight w:val="none"/>
          <w:lang w:val="en-US" w:eastAsia="zh-CN" w:bidi="ar-SA"/>
        </w:rPr>
        <w:t>并表公司变动类型。</w:t>
      </w:r>
      <w:r>
        <w:rPr>
          <w:rFonts w:hint="eastAsia" w:ascii="仿宋_GB2312" w:hAnsi="仿宋_GB2312" w:eastAsia="仿宋_GB2312" w:cs="仿宋_GB2312"/>
          <w:b w:val="0"/>
          <w:bCs w:val="0"/>
          <w:color w:val="auto"/>
          <w:kern w:val="2"/>
          <w:sz w:val="32"/>
          <w:szCs w:val="32"/>
          <w:highlight w:val="none"/>
          <w:lang w:val="en-US" w:eastAsia="zh-CN" w:bidi="ar-SA"/>
        </w:rPr>
        <w:t>在统计期末，并表成员公司发生变动的，应当明确其变动类型。</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b/>
          <w:bCs/>
          <w:color w:val="auto"/>
          <w:kern w:val="2"/>
          <w:sz w:val="32"/>
          <w:szCs w:val="32"/>
          <w:highlight w:val="none"/>
          <w:lang w:val="en-US" w:eastAsia="zh-CN" w:bidi="ar-SA"/>
        </w:rPr>
        <w:t>[新设]、[新收购]、[新纳入]、[出表]</w:t>
      </w:r>
      <w:r>
        <w:rPr>
          <w:rFonts w:hint="eastAsia" w:ascii="仿宋_GB2312" w:hAnsi="仿宋_GB2312" w:eastAsia="仿宋_GB2312" w:cs="仿宋_GB2312"/>
          <w:b w:val="0"/>
          <w:bCs/>
          <w:color w:val="auto"/>
          <w:sz w:val="32"/>
          <w:szCs w:val="32"/>
          <w:highlight w:val="none"/>
          <w:lang w:val="en-US" w:eastAsia="zh-CN"/>
        </w:rPr>
        <w:t>四</w:t>
      </w:r>
      <w:r>
        <w:rPr>
          <w:rFonts w:hint="eastAsia" w:ascii="仿宋_GB2312" w:hAnsi="仿宋_GB2312" w:eastAsia="仿宋_GB2312" w:cs="仿宋_GB2312"/>
          <w:b w:val="0"/>
          <w:bCs/>
          <w:color w:val="auto"/>
          <w:sz w:val="32"/>
          <w:szCs w:val="32"/>
          <w:highlight w:val="none"/>
        </w:rPr>
        <w:t>类</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kern w:val="2"/>
          <w:sz w:val="32"/>
          <w:szCs w:val="32"/>
          <w:highlight w:val="none"/>
          <w:lang w:val="en-US" w:eastAsia="zh-CN" w:bidi="ar-SA"/>
        </w:rPr>
        <w:t>[新设]</w:t>
      </w:r>
      <w:r>
        <w:rPr>
          <w:rFonts w:hint="eastAsia" w:ascii="仿宋_GB2312" w:hAnsi="仿宋_GB2312" w:eastAsia="仿宋_GB2312" w:cs="仿宋_GB2312"/>
          <w:color w:val="auto"/>
          <w:sz w:val="32"/>
          <w:szCs w:val="32"/>
          <w:highlight w:val="none"/>
        </w:rPr>
        <w:t>指依照法定程序和条件，由发起人通过出资或其他方式新设立且达到并表成员公司标准的公司。</w:t>
      </w:r>
      <w:r>
        <w:rPr>
          <w:rFonts w:hint="eastAsia" w:ascii="仿宋_GB2312" w:hAnsi="仿宋_GB2312" w:eastAsia="仿宋_GB2312" w:cs="仿宋_GB2312"/>
          <w:b/>
          <w:bCs/>
          <w:color w:val="auto"/>
          <w:kern w:val="2"/>
          <w:sz w:val="32"/>
          <w:szCs w:val="32"/>
          <w:highlight w:val="none"/>
          <w:lang w:val="en-US" w:eastAsia="zh-CN" w:bidi="ar-SA"/>
        </w:rPr>
        <w:t>[新收购]</w:t>
      </w:r>
      <w:r>
        <w:rPr>
          <w:rFonts w:hint="eastAsia" w:ascii="仿宋_GB2312" w:hAnsi="仿宋_GB2312" w:eastAsia="仿宋_GB2312" w:cs="仿宋_GB2312"/>
          <w:color w:val="auto"/>
          <w:sz w:val="32"/>
          <w:szCs w:val="32"/>
          <w:highlight w:val="none"/>
        </w:rPr>
        <w:t>指通过股权收购等方式达到并表成员公司标准的公司。</w:t>
      </w:r>
      <w:r>
        <w:rPr>
          <w:rFonts w:hint="eastAsia" w:ascii="仿宋_GB2312" w:hAnsi="仿宋_GB2312" w:eastAsia="仿宋_GB2312" w:cs="仿宋_GB2312"/>
          <w:b/>
          <w:bCs/>
          <w:color w:val="auto"/>
          <w:kern w:val="2"/>
          <w:sz w:val="32"/>
          <w:szCs w:val="32"/>
          <w:highlight w:val="none"/>
          <w:lang w:val="en-US" w:eastAsia="zh-CN" w:bidi="ar-SA"/>
        </w:rPr>
        <w:t>[新纳入]</w:t>
      </w:r>
      <w:r>
        <w:rPr>
          <w:rFonts w:hint="eastAsia" w:ascii="仿宋_GB2312" w:hAnsi="仿宋_GB2312" w:eastAsia="仿宋_GB2312" w:cs="仿宋_GB2312"/>
          <w:color w:val="auto"/>
          <w:sz w:val="32"/>
          <w:szCs w:val="32"/>
          <w:highlight w:val="none"/>
        </w:rPr>
        <w:t>指由于风险因素等由非并表机构转化为并表成员公司的公司。</w:t>
      </w:r>
      <w:r>
        <w:rPr>
          <w:rFonts w:hint="eastAsia" w:ascii="仿宋_GB2312" w:hAnsi="仿宋_GB2312" w:eastAsia="仿宋_GB2312" w:cs="仿宋_GB2312"/>
          <w:color w:val="auto"/>
          <w:sz w:val="32"/>
          <w:szCs w:val="32"/>
          <w:highlight w:val="none"/>
          <w:lang w:eastAsia="zh-CN"/>
        </w:rPr>
        <w:t>仅适用于保险集团（控股）公司。</w:t>
      </w:r>
    </w:p>
    <w:p w14:paraId="0829433E">
      <w:pPr>
        <w:pStyle w:val="57"/>
        <w:keepNext w:val="0"/>
        <w:keepLines w:val="0"/>
        <w:pageBreakBefore w:val="0"/>
        <w:numPr>
          <w:ilvl w:val="0"/>
          <w:numId w:val="0"/>
        </w:numPr>
        <w:kinsoku/>
        <w:wordWrap/>
        <w:overflowPunct/>
        <w:topLinePunct w:val="0"/>
        <w:bidi w:val="0"/>
        <w:spacing w:after="0" w:line="600" w:lineRule="exact"/>
        <w:ind w:left="0" w:leftChars="0" w:firstLine="64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16.并表变动原因。</w:t>
      </w:r>
      <w:r>
        <w:rPr>
          <w:rFonts w:hint="eastAsia" w:ascii="仿宋_GB2312" w:hAnsi="仿宋_GB2312" w:eastAsia="仿宋_GB2312" w:cs="仿宋_GB2312"/>
          <w:b w:val="0"/>
          <w:bCs w:val="0"/>
          <w:color w:val="auto"/>
          <w:kern w:val="2"/>
          <w:sz w:val="32"/>
          <w:szCs w:val="32"/>
          <w:highlight w:val="none"/>
          <w:lang w:val="en-US" w:eastAsia="zh-CN" w:bidi="ar-SA"/>
        </w:rPr>
        <w:t>在统计期末，并表成员公司发生变动的，应当明确其变动原因。对于</w:t>
      </w:r>
      <w:r>
        <w:rPr>
          <w:rFonts w:hint="eastAsia" w:ascii="仿宋_GB2312" w:hAnsi="仿宋_GB2312" w:eastAsia="仿宋_GB2312" w:cs="仿宋_GB2312"/>
          <w:b/>
          <w:bCs/>
          <w:color w:val="auto"/>
          <w:sz w:val="32"/>
          <w:szCs w:val="32"/>
          <w:highlight w:val="none"/>
        </w:rPr>
        <w:t>[新设]、[新收购]、[新纳入]</w:t>
      </w:r>
      <w:r>
        <w:rPr>
          <w:rFonts w:hint="eastAsia" w:ascii="仿宋_GB2312" w:hAnsi="仿宋_GB2312" w:eastAsia="仿宋_GB2312" w:cs="仿宋_GB2312"/>
          <w:b w:val="0"/>
          <w:bCs w:val="0"/>
          <w:color w:val="auto"/>
          <w:sz w:val="32"/>
          <w:szCs w:val="32"/>
          <w:highlight w:val="none"/>
          <w:lang w:eastAsia="zh-CN"/>
        </w:rPr>
        <w:t>的机构，应当明确其</w:t>
      </w:r>
      <w:r>
        <w:rPr>
          <w:rFonts w:hint="eastAsia" w:ascii="仿宋_GB2312" w:hAnsi="仿宋_GB2312" w:eastAsia="仿宋_GB2312" w:cs="仿宋_GB2312"/>
          <w:color w:val="auto"/>
          <w:sz w:val="32"/>
          <w:szCs w:val="32"/>
          <w:highlight w:val="none"/>
        </w:rPr>
        <w:t>具体设立</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收购情况、直接持股该成员公司的子公司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设立</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收购合规性说明，包括层级合规和投资方向合规；设立</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收购必要性说明。</w:t>
      </w:r>
      <w:r>
        <w:rPr>
          <w:rFonts w:hint="eastAsia" w:ascii="仿宋_GB2312" w:hAnsi="仿宋_GB2312" w:eastAsia="仿宋_GB2312" w:cs="仿宋_GB2312"/>
          <w:color w:val="auto"/>
          <w:sz w:val="32"/>
          <w:szCs w:val="32"/>
          <w:highlight w:val="none"/>
          <w:lang w:eastAsia="zh-CN"/>
        </w:rPr>
        <w:t>对于</w:t>
      </w:r>
      <w:r>
        <w:rPr>
          <w:rFonts w:hint="eastAsia" w:ascii="仿宋_GB2312" w:hAnsi="仿宋_GB2312" w:eastAsia="仿宋_GB2312" w:cs="仿宋_GB2312"/>
          <w:b/>
          <w:bCs/>
          <w:color w:val="auto"/>
          <w:sz w:val="32"/>
          <w:szCs w:val="32"/>
          <w:highlight w:val="none"/>
          <w:lang w:val="en-US" w:eastAsia="zh-CN"/>
        </w:rPr>
        <w:t>[出表]</w:t>
      </w:r>
      <w:r>
        <w:rPr>
          <w:rFonts w:hint="eastAsia" w:ascii="仿宋_GB2312" w:hAnsi="仿宋_GB2312" w:eastAsia="仿宋_GB2312" w:cs="仿宋_GB2312"/>
          <w:color w:val="auto"/>
          <w:sz w:val="32"/>
          <w:szCs w:val="32"/>
          <w:highlight w:val="none"/>
          <w:lang w:val="en-US" w:eastAsia="zh-CN"/>
        </w:rPr>
        <w:t>的机构，应当明确其属于</w:t>
      </w:r>
      <w:r>
        <w:rPr>
          <w:rFonts w:hint="eastAsia" w:ascii="仿宋_GB2312" w:hAnsi="仿宋_GB2312" w:eastAsia="仿宋_GB2312" w:cs="仿宋_GB2312"/>
          <w:b/>
          <w:bCs/>
          <w:color w:val="auto"/>
          <w:sz w:val="32"/>
          <w:szCs w:val="32"/>
          <w:highlight w:val="none"/>
          <w:lang w:val="en-US" w:eastAsia="zh-CN"/>
        </w:rPr>
        <w:t>[注销]、[股权转让]</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其中，</w:t>
      </w:r>
      <w:r>
        <w:rPr>
          <w:rFonts w:hint="eastAsia" w:ascii="仿宋_GB2312" w:hAnsi="仿宋_GB2312" w:eastAsia="仿宋_GB2312" w:cs="仿宋_GB2312"/>
          <w:b/>
          <w:bCs/>
          <w:color w:val="auto"/>
          <w:sz w:val="32"/>
          <w:szCs w:val="32"/>
          <w:highlight w:val="none"/>
          <w:lang w:val="en-US" w:eastAsia="zh-CN"/>
        </w:rPr>
        <w:t>[注销]</w:t>
      </w:r>
      <w:r>
        <w:rPr>
          <w:rFonts w:hint="eastAsia" w:ascii="仿宋_GB2312" w:hAnsi="仿宋_GB2312" w:eastAsia="仿宋_GB2312" w:cs="仿宋_GB2312"/>
          <w:color w:val="auto"/>
          <w:sz w:val="32"/>
          <w:szCs w:val="32"/>
          <w:highlight w:val="none"/>
        </w:rPr>
        <w:t>指公司因解散、被宣告破产或者其他法定事由需要终止，依法向公司登记机关申请注销登记，并已收到登记机关出具的注销完成证明。</w:t>
      </w:r>
      <w:r>
        <w:rPr>
          <w:rFonts w:hint="eastAsia" w:ascii="仿宋_GB2312" w:hAnsi="仿宋_GB2312" w:eastAsia="仿宋_GB2312" w:cs="仿宋_GB2312"/>
          <w:b/>
          <w:bCs/>
          <w:color w:val="auto"/>
          <w:sz w:val="32"/>
          <w:szCs w:val="32"/>
          <w:highlight w:val="none"/>
          <w:lang w:val="en-US" w:eastAsia="zh-CN"/>
        </w:rPr>
        <w:t>[股权转让]</w:t>
      </w:r>
      <w:r>
        <w:rPr>
          <w:rFonts w:hint="eastAsia" w:ascii="仿宋_GB2312" w:hAnsi="仿宋_GB2312" w:eastAsia="仿宋_GB2312" w:cs="仿宋_GB2312"/>
          <w:color w:val="auto"/>
          <w:sz w:val="32"/>
          <w:szCs w:val="32"/>
          <w:highlight w:val="none"/>
        </w:rPr>
        <w:t>指公司将其所持有的股份全部或部分转让给他人，已丧失控制权或重大影响。</w:t>
      </w:r>
      <w:r>
        <w:rPr>
          <w:rFonts w:hint="eastAsia" w:ascii="仿宋_GB2312" w:hAnsi="仿宋_GB2312" w:eastAsia="仿宋_GB2312" w:cs="仿宋_GB2312"/>
          <w:color w:val="auto"/>
          <w:sz w:val="32"/>
          <w:szCs w:val="32"/>
          <w:highlight w:val="none"/>
          <w:lang w:eastAsia="zh-CN"/>
        </w:rPr>
        <w:t>仅适用于保险集团（控股）公司。</w:t>
      </w:r>
    </w:p>
    <w:p w14:paraId="7313480F">
      <w:pPr>
        <w:pStyle w:val="57"/>
        <w:keepNext w:val="0"/>
        <w:keepLines w:val="0"/>
        <w:pageBreakBefore w:val="0"/>
        <w:kinsoku/>
        <w:wordWrap/>
        <w:overflowPunct/>
        <w:topLinePunct w:val="0"/>
        <w:bidi w:val="0"/>
        <w:spacing w:after="0" w:line="600" w:lineRule="exact"/>
        <w:ind w:firstLine="640"/>
        <w:jc w:val="both"/>
        <w:textAlignment w:val="auto"/>
        <w:rPr>
          <w:rFonts w:hint="eastAsia" w:ascii="仿宋_GB2312" w:hAnsi="仿宋_GB2312" w:eastAsia="仿宋_GB2312" w:cs="仿宋_GB2312"/>
          <w:color w:val="auto"/>
          <w:sz w:val="32"/>
          <w:szCs w:val="32"/>
          <w:highlight w:val="none"/>
          <w:lang w:eastAsia="zh-CN"/>
        </w:rPr>
      </w:pPr>
    </w:p>
    <w:p w14:paraId="28A4463E">
      <w:pPr>
        <w:keepNext w:val="0"/>
        <w:keepLines w:val="0"/>
        <w:pageBreakBefore w:val="0"/>
        <w:kinsoku/>
        <w:wordWrap/>
        <w:overflowPunct/>
        <w:topLinePunct w:val="0"/>
        <w:bidi w:val="0"/>
        <w:spacing w:after="0" w:line="600" w:lineRule="exact"/>
        <w:jc w:val="center"/>
        <w:textAlignment w:val="auto"/>
        <w:outlineLvl w:val="0"/>
        <w:rPr>
          <w:rStyle w:val="29"/>
          <w:color w:val="auto"/>
        </w:rPr>
      </w:pPr>
      <w:r>
        <w:rPr>
          <w:rFonts w:hint="eastAsia" w:ascii="黑体" w:hAnsi="黑体" w:eastAsia="黑体" w:cs="黑体"/>
          <w:color w:val="auto"/>
          <w:sz w:val="32"/>
          <w:szCs w:val="32"/>
          <w:lang w:val="en-US" w:eastAsia="zh-CN"/>
        </w:rPr>
        <w:br w:type="page"/>
      </w:r>
      <w:bookmarkStart w:id="10" w:name="_Toc232409825"/>
      <w:bookmarkStart w:id="11" w:name="_Toc1637782191"/>
      <w:bookmarkStart w:id="12" w:name="_Toc1454698571"/>
      <w:bookmarkStart w:id="13" w:name="_Toc312870261"/>
      <w:bookmarkStart w:id="14" w:name="_Toc47403133"/>
      <w:bookmarkStart w:id="15" w:name="_Toc878417493"/>
      <w:bookmarkStart w:id="16" w:name="_Toc1360733483"/>
      <w:bookmarkStart w:id="17" w:name="_Toc307990180"/>
      <w:r>
        <w:rPr>
          <w:rStyle w:val="29"/>
          <w:color w:val="auto"/>
        </w:rPr>
        <w:t>第二部分 财务类</w:t>
      </w:r>
      <w:bookmarkEnd w:id="10"/>
      <w:bookmarkEnd w:id="11"/>
      <w:bookmarkEnd w:id="12"/>
      <w:bookmarkEnd w:id="13"/>
      <w:bookmarkEnd w:id="14"/>
      <w:bookmarkEnd w:id="15"/>
      <w:bookmarkEnd w:id="16"/>
      <w:bookmarkEnd w:id="17"/>
    </w:p>
    <w:p w14:paraId="7CAAD39E">
      <w:pPr>
        <w:pStyle w:val="56"/>
        <w:keepNext w:val="0"/>
        <w:keepLines w:val="0"/>
        <w:pageBreakBefore w:val="0"/>
        <w:widowControl w:val="0"/>
        <w:kinsoku/>
        <w:wordWrap/>
        <w:overflowPunct/>
        <w:topLinePunct w:val="0"/>
        <w:bidi w:val="0"/>
        <w:snapToGrid/>
        <w:spacing w:after="0" w:line="60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本部分主要用于统计保险机构各类财务指标</w:t>
      </w:r>
      <w:r>
        <w:rPr>
          <w:rFonts w:hint="eastAsia" w:ascii="仿宋_GB2312" w:hAnsi="仿宋_GB2312" w:eastAsia="仿宋_GB2312" w:cs="仿宋_GB2312"/>
          <w:color w:val="auto"/>
          <w:sz w:val="32"/>
          <w:szCs w:val="32"/>
          <w:lang w:val="en-US" w:eastAsia="zh-CN"/>
        </w:rPr>
        <w:t>和纳税情况</w:t>
      </w:r>
      <w:r>
        <w:rPr>
          <w:rFonts w:hint="eastAsia" w:ascii="仿宋_GB2312" w:hAnsi="仿宋_GB2312" w:eastAsia="仿宋_GB2312" w:cs="仿宋_GB2312"/>
          <w:color w:val="auto"/>
          <w:sz w:val="32"/>
          <w:szCs w:val="32"/>
        </w:rPr>
        <w:t>。</w:t>
      </w:r>
    </w:p>
    <w:p w14:paraId="26DC39A4">
      <w:pPr>
        <w:pStyle w:val="56"/>
        <w:keepNext w:val="0"/>
        <w:keepLines w:val="0"/>
        <w:pageBreakBefore w:val="0"/>
        <w:widowControl w:val="0"/>
        <w:numPr>
          <w:ilvl w:val="0"/>
          <w:numId w:val="0"/>
        </w:numPr>
        <w:kinsoku/>
        <w:wordWrap/>
        <w:overflowPunct/>
        <w:topLinePunct w:val="0"/>
        <w:bidi w:val="0"/>
        <w:snapToGrid/>
        <w:spacing w:after="0" w:line="600" w:lineRule="exact"/>
        <w:ind w:firstLine="64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一、主要财务报表</w:t>
      </w:r>
    </w:p>
    <w:p w14:paraId="1F17EA0C">
      <w:pPr>
        <w:pStyle w:val="56"/>
        <w:keepNext w:val="0"/>
        <w:keepLines w:val="0"/>
        <w:pageBreakBefore w:val="0"/>
        <w:widowControl w:val="0"/>
        <w:numPr>
          <w:ilvl w:val="0"/>
          <w:numId w:val="0"/>
        </w:numPr>
        <w:kinsoku/>
        <w:wordWrap/>
        <w:overflowPunct/>
        <w:topLinePunct w:val="0"/>
        <w:bidi w:val="0"/>
        <w:snapToGrid/>
        <w:spacing w:after="0" w:line="60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保险机构的财务报表相关指标，是指按照企业会计准则编制的单体口径的资产负债表、利润表和现金流量表的报表项目；对于保险集团（控股）公司，还应当同时填报合并口径的资产负债表、利润表和现金流量表的报表项目。对于未执行《企业会计准则第25号——保险合同》(财会〔2020〕20号)、《企业会计准则第22号——金融工具确认和计量》(财会〔2017〕7号)的保险机构，依据《企业会计准则第25号——原保险合同》《企业会计准则第26号——再保险合同》《企业会计准则第22号——金融工具确认和计量》（财会〔2006〕3号）等准则编制的财务报表项目填报。</w:t>
      </w:r>
    </w:p>
    <w:p w14:paraId="4F9533E7">
      <w:pPr>
        <w:pStyle w:val="56"/>
        <w:keepNext w:val="0"/>
        <w:keepLines w:val="0"/>
        <w:pageBreakBefore w:val="0"/>
        <w:widowControl w:val="0"/>
        <w:numPr>
          <w:ilvl w:val="0"/>
          <w:numId w:val="0"/>
        </w:numPr>
        <w:kinsoku/>
        <w:wordWrap/>
        <w:overflowPunct/>
        <w:topLinePunct w:val="0"/>
        <w:bidi w:val="0"/>
        <w:snapToGrid/>
        <w:spacing w:after="0" w:line="600" w:lineRule="exact"/>
        <w:ind w:firstLine="640"/>
        <w:jc w:val="both"/>
        <w:textAlignment w:val="auto"/>
        <w:outlineLvl w:val="1"/>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保险机构纳税情况</w:t>
      </w:r>
    </w:p>
    <w:p w14:paraId="33C10553">
      <w:pPr>
        <w:pStyle w:val="57"/>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firstLineChars="200"/>
        <w:jc w:val="both"/>
        <w:textAlignment w:val="auto"/>
        <w:rPr>
          <w:rFonts w:hint="eastAsia" w:ascii="Times New Roman" w:hAnsi="Times New Roman" w:eastAsia="仿宋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保险机构</w:t>
      </w:r>
      <w:r>
        <w:rPr>
          <w:rFonts w:hint="eastAsia" w:ascii="Times New Roman" w:hAnsi="Times New Roman" w:eastAsia="仿宋_GB2312" w:cs="Times New Roman"/>
          <w:b w:val="0"/>
          <w:bCs/>
          <w:color w:val="auto"/>
          <w:sz w:val="32"/>
          <w:szCs w:val="32"/>
          <w:highlight w:val="none"/>
        </w:rPr>
        <w:t>按</w:t>
      </w:r>
      <w:r>
        <w:rPr>
          <w:rFonts w:hint="eastAsia" w:ascii="Times New Roman" w:hAnsi="Times New Roman" w:eastAsia="仿宋_GB2312" w:cs="Times New Roman"/>
          <w:b w:val="0"/>
          <w:bCs/>
          <w:color w:val="auto"/>
          <w:sz w:val="32"/>
          <w:szCs w:val="32"/>
          <w:highlight w:val="none"/>
          <w:lang w:val="en-US" w:eastAsia="zh-CN"/>
        </w:rPr>
        <w:t>照法人口径统计，包括总公司、分公司等分支机构税款数据，不包括下属子公司的税款数据。填报过程中，应遵循</w:t>
      </w:r>
      <w:r>
        <w:rPr>
          <w:rFonts w:hint="eastAsia" w:ascii="Times New Roman" w:hAnsi="Times New Roman" w:eastAsia="仿宋_GB2312" w:cs="Times New Roman"/>
          <w:b/>
          <w:bCs w:val="0"/>
          <w:color w:val="auto"/>
          <w:sz w:val="32"/>
          <w:szCs w:val="32"/>
          <w:highlight w:val="none"/>
          <w:lang w:val="en-US" w:eastAsia="zh-CN"/>
        </w:rPr>
        <w:t>收付实现制原则</w:t>
      </w:r>
      <w:r>
        <w:rPr>
          <w:rFonts w:hint="eastAsia" w:ascii="Times New Roman" w:hAnsi="Times New Roman" w:eastAsia="仿宋_GB2312" w:cs="Times New Roman"/>
          <w:b w:val="0"/>
          <w:bCs/>
          <w:color w:val="auto"/>
          <w:sz w:val="32"/>
          <w:szCs w:val="32"/>
          <w:highlight w:val="none"/>
          <w:lang w:val="en-US" w:eastAsia="zh-CN"/>
        </w:rPr>
        <w:t>，基于</w:t>
      </w:r>
      <w:r>
        <w:rPr>
          <w:rFonts w:hint="eastAsia" w:ascii="Times New Roman" w:hAnsi="Times New Roman" w:eastAsia="仿宋_GB2312" w:cs="Times New Roman"/>
          <w:b/>
          <w:bCs w:val="0"/>
          <w:color w:val="auto"/>
          <w:sz w:val="32"/>
          <w:szCs w:val="32"/>
          <w:highlight w:val="none"/>
          <w:lang w:val="en-US" w:eastAsia="zh-CN"/>
        </w:rPr>
        <w:t>税款缴纳所在地</w:t>
      </w:r>
      <w:r>
        <w:rPr>
          <w:rFonts w:hint="eastAsia" w:ascii="Times New Roman" w:hAnsi="Times New Roman" w:eastAsia="仿宋_GB2312" w:cs="Times New Roman"/>
          <w:b w:val="0"/>
          <w:bCs/>
          <w:color w:val="auto"/>
          <w:sz w:val="32"/>
          <w:szCs w:val="32"/>
          <w:highlight w:val="none"/>
          <w:lang w:val="en-US" w:eastAsia="zh-CN"/>
        </w:rPr>
        <w:t>填报统计期内的累计税款金额，即按照</w:t>
      </w:r>
      <w:r>
        <w:rPr>
          <w:rFonts w:hint="eastAsia" w:ascii="Times New Roman" w:hAnsi="Times New Roman" w:eastAsia="仿宋_GB2312" w:cs="Times New Roman"/>
          <w:b w:val="0"/>
          <w:bCs/>
          <w:color w:val="auto"/>
          <w:sz w:val="32"/>
          <w:szCs w:val="32"/>
          <w:highlight w:val="none"/>
        </w:rPr>
        <w:t>税款实际缴纳入库或实际收到退税款的时间所在月份</w:t>
      </w:r>
      <w:r>
        <w:rPr>
          <w:rFonts w:hint="eastAsia" w:ascii="Times New Roman" w:hAnsi="Times New Roman" w:eastAsia="仿宋_GB2312" w:cs="Times New Roman"/>
          <w:b w:val="0"/>
          <w:bCs/>
          <w:color w:val="auto"/>
          <w:sz w:val="32"/>
          <w:szCs w:val="32"/>
          <w:highlight w:val="none"/>
          <w:lang w:val="en-US" w:eastAsia="zh-CN"/>
        </w:rPr>
        <w:t>进行统计填报；对于</w:t>
      </w:r>
      <w:r>
        <w:rPr>
          <w:rFonts w:hint="eastAsia" w:ascii="Times New Roman" w:hAnsi="Times New Roman" w:eastAsia="仿宋_GB2312" w:cs="Times New Roman"/>
          <w:b w:val="0"/>
          <w:bCs/>
          <w:color w:val="auto"/>
          <w:sz w:val="32"/>
          <w:szCs w:val="32"/>
          <w:highlight w:val="none"/>
        </w:rPr>
        <w:t>自查、检查、稽查等补缴的税款</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lang w:val="en-US" w:eastAsia="zh-CN"/>
        </w:rPr>
        <w:t>在</w:t>
      </w:r>
      <w:r>
        <w:rPr>
          <w:rFonts w:hint="eastAsia" w:ascii="Times New Roman" w:hAnsi="Times New Roman" w:eastAsia="仿宋_GB2312" w:cs="Times New Roman"/>
          <w:b w:val="0"/>
          <w:bCs/>
          <w:color w:val="auto"/>
          <w:sz w:val="32"/>
          <w:szCs w:val="32"/>
          <w:highlight w:val="none"/>
        </w:rPr>
        <w:t>实际补缴入库的月份</w:t>
      </w:r>
      <w:r>
        <w:rPr>
          <w:rFonts w:hint="eastAsia" w:ascii="Times New Roman" w:hAnsi="Times New Roman" w:eastAsia="仿宋_GB2312" w:cs="Times New Roman"/>
          <w:b w:val="0"/>
          <w:bCs/>
          <w:color w:val="auto"/>
          <w:sz w:val="32"/>
          <w:szCs w:val="32"/>
          <w:highlight w:val="none"/>
          <w:lang w:val="en-US" w:eastAsia="zh-CN"/>
        </w:rPr>
        <w:t>进行统计填报；对于</w:t>
      </w:r>
      <w:r>
        <w:rPr>
          <w:rFonts w:hint="eastAsia" w:ascii="Times New Roman" w:hAnsi="Times New Roman" w:eastAsia="仿宋_GB2312" w:cs="Times New Roman"/>
          <w:b w:val="0"/>
          <w:bCs/>
          <w:color w:val="auto"/>
          <w:sz w:val="32"/>
          <w:szCs w:val="32"/>
          <w:highlight w:val="none"/>
        </w:rPr>
        <w:t>退税</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lang w:val="en-US" w:eastAsia="zh-CN"/>
        </w:rPr>
        <w:t>在</w:t>
      </w:r>
      <w:r>
        <w:rPr>
          <w:rFonts w:hint="eastAsia" w:ascii="Times New Roman" w:hAnsi="Times New Roman" w:eastAsia="仿宋_GB2312" w:cs="Times New Roman"/>
          <w:b w:val="0"/>
          <w:bCs/>
          <w:color w:val="auto"/>
          <w:sz w:val="32"/>
          <w:szCs w:val="32"/>
          <w:highlight w:val="none"/>
        </w:rPr>
        <w:t>实际收到退税款的月份</w:t>
      </w:r>
      <w:r>
        <w:rPr>
          <w:rFonts w:hint="eastAsia" w:ascii="Times New Roman" w:hAnsi="Times New Roman" w:eastAsia="仿宋_GB2312" w:cs="Times New Roman"/>
          <w:b w:val="0"/>
          <w:bCs/>
          <w:color w:val="auto"/>
          <w:sz w:val="32"/>
          <w:szCs w:val="32"/>
          <w:highlight w:val="none"/>
          <w:lang w:val="en-US" w:eastAsia="zh-CN"/>
        </w:rPr>
        <w:t>进行统计填报，从该月份税款中进行扣除，若扣除退税款后为负数，</w:t>
      </w:r>
      <w:r>
        <w:rPr>
          <w:rFonts w:hint="eastAsia" w:ascii="Times New Roman" w:hAnsi="Times New Roman" w:eastAsia="仿宋_GB2312" w:cs="Times New Roman"/>
          <w:b w:val="0"/>
          <w:bCs/>
          <w:color w:val="auto"/>
          <w:sz w:val="32"/>
          <w:szCs w:val="32"/>
          <w:highlight w:val="none"/>
        </w:rPr>
        <w:t>按负数进行</w:t>
      </w:r>
      <w:r>
        <w:rPr>
          <w:rFonts w:hint="eastAsia" w:ascii="Times New Roman" w:hAnsi="Times New Roman" w:eastAsia="仿宋_GB2312" w:cs="Times New Roman"/>
          <w:b w:val="0"/>
          <w:bCs/>
          <w:color w:val="auto"/>
          <w:sz w:val="32"/>
          <w:szCs w:val="32"/>
          <w:highlight w:val="none"/>
          <w:lang w:val="en-US" w:eastAsia="zh-CN"/>
        </w:rPr>
        <w:t>填报。</w:t>
      </w:r>
    </w:p>
    <w:p w14:paraId="03FBD1F5">
      <w:pPr>
        <w:pStyle w:val="57"/>
        <w:keepNext w:val="0"/>
        <w:keepLines w:val="0"/>
        <w:pageBreakBefore w:val="0"/>
        <w:numPr>
          <w:ilvl w:val="0"/>
          <w:numId w:val="0"/>
        </w:numPr>
        <w:kinsoku/>
        <w:wordWrap/>
        <w:overflowPunct/>
        <w:topLinePunct w:val="0"/>
        <w:autoSpaceDE w:val="0"/>
        <w:autoSpaceDN w:val="0"/>
        <w:bidi w:val="0"/>
        <w:spacing w:line="6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（一）统计指标及口径</w:t>
      </w:r>
    </w:p>
    <w:p w14:paraId="670246A2">
      <w:pPr>
        <w:pStyle w:val="57"/>
        <w:keepNext w:val="0"/>
        <w:keepLines w:val="0"/>
        <w:pageBreakBefore w:val="0"/>
        <w:numPr>
          <w:ilvl w:val="0"/>
          <w:numId w:val="0"/>
        </w:numPr>
        <w:kinsoku/>
        <w:wordWrap/>
        <w:overflowPunct/>
        <w:topLinePunct w:val="0"/>
        <w:autoSpaceDE w:val="0"/>
        <w:autoSpaceDN w:val="0"/>
        <w:bidi w:val="0"/>
        <w:spacing w:line="600" w:lineRule="exact"/>
        <w:ind w:firstLine="643" w:firstLineChars="200"/>
        <w:jc w:val="both"/>
        <w:textAlignment w:val="auto"/>
        <w:rPr>
          <w:rFonts w:hint="eastAsia" w:ascii="Times New Roman" w:hAnsi="Times New Roman" w:eastAsia="仿宋_GB2312" w:cs="Times New Roman"/>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[缴纳税款]</w:t>
      </w:r>
      <w:r>
        <w:rPr>
          <w:rFonts w:hint="eastAsia" w:ascii="仿宋_GB2312" w:hAnsi="仿宋_GB2312" w:eastAsia="仿宋_GB2312" w:cs="仿宋_GB2312"/>
          <w:b w:val="0"/>
          <w:bCs/>
          <w:color w:val="auto"/>
          <w:sz w:val="32"/>
          <w:szCs w:val="32"/>
          <w:highlight w:val="none"/>
          <w:lang w:val="en-US" w:eastAsia="zh-CN"/>
        </w:rPr>
        <w:t>是指在统计期内</w:t>
      </w:r>
      <w:r>
        <w:rPr>
          <w:rFonts w:hint="eastAsia" w:ascii="仿宋_GB2312" w:hAnsi="仿宋_GB2312" w:eastAsia="仿宋_GB2312" w:cs="仿宋_GB2312"/>
          <w:color w:val="auto"/>
          <w:sz w:val="32"/>
          <w:szCs w:val="32"/>
          <w:highlight w:val="none"/>
          <w:lang w:val="en-US" w:eastAsia="zh-CN"/>
        </w:rPr>
        <w:t>保险机构</w:t>
      </w:r>
      <w:r>
        <w:rPr>
          <w:rFonts w:hint="eastAsia" w:ascii="仿宋_GB2312" w:hAnsi="仿宋_GB2312" w:eastAsia="仿宋_GB2312" w:cs="仿宋_GB2312"/>
          <w:color w:val="auto"/>
          <w:sz w:val="32"/>
          <w:szCs w:val="32"/>
          <w:highlight w:val="none"/>
        </w:rPr>
        <w:t>作为中国境内纳税人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依照相关税收法律法规规定</w:t>
      </w:r>
      <w:r>
        <w:rPr>
          <w:rFonts w:hint="eastAsia" w:ascii="仿宋_GB2312" w:hAnsi="仿宋_GB2312" w:eastAsia="仿宋_GB2312" w:cs="仿宋_GB2312"/>
          <w:color w:val="auto"/>
          <w:sz w:val="32"/>
          <w:szCs w:val="32"/>
          <w:highlight w:val="none"/>
        </w:rPr>
        <w:t>缴纳的各项税款</w:t>
      </w:r>
      <w:r>
        <w:rPr>
          <w:rFonts w:hint="eastAsia" w:ascii="仿宋_GB2312" w:hAnsi="仿宋_GB2312" w:eastAsia="仿宋_GB2312" w:cs="仿宋_GB2312"/>
          <w:color w:val="auto"/>
          <w:sz w:val="32"/>
          <w:szCs w:val="32"/>
          <w:highlight w:val="none"/>
          <w:lang w:eastAsia="zh-CN"/>
        </w:rPr>
        <w:t>。</w:t>
      </w:r>
    </w:p>
    <w:p w14:paraId="34D02936">
      <w:pPr>
        <w:pStyle w:val="57"/>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3" w:firstLineChars="200"/>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rPr>
        <w:t>代扣（收）代缴税款</w:t>
      </w:r>
      <w:r>
        <w:rPr>
          <w:rFonts w:hint="eastAsia"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bCs/>
          <w:color w:val="auto"/>
          <w:sz w:val="32"/>
          <w:szCs w:val="32"/>
          <w:highlight w:val="none"/>
          <w:lang w:val="en-US" w:eastAsia="zh-CN"/>
        </w:rPr>
        <w:t>是指在统计期内</w:t>
      </w:r>
      <w:r>
        <w:rPr>
          <w:rFonts w:hint="eastAsia" w:ascii="仿宋_GB2312" w:hAnsi="仿宋_GB2312" w:eastAsia="仿宋_GB2312" w:cs="仿宋_GB2312"/>
          <w:bCs/>
          <w:color w:val="auto"/>
          <w:sz w:val="32"/>
          <w:szCs w:val="32"/>
          <w:highlight w:val="none"/>
        </w:rPr>
        <w:t>保险机构作为中国境内扣缴义务人，依照相关税收法律法规规定代扣代缴（预扣预缴）、代收代缴以及接受税务机关委托代征的各项税款。</w:t>
      </w:r>
    </w:p>
    <w:p w14:paraId="078CF976">
      <w:pPr>
        <w:pStyle w:val="57"/>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[本年累计缴纳和代扣代缴税款合计]＝本年累计</w:t>
      </w:r>
      <w:r>
        <w:rPr>
          <w:rFonts w:hint="eastAsia" w:ascii="仿宋_GB2312" w:hAnsi="仿宋_GB2312" w:eastAsia="仿宋_GB2312" w:cs="仿宋_GB2312"/>
          <w:b/>
          <w:bCs w:val="0"/>
          <w:color w:val="auto"/>
          <w:sz w:val="32"/>
          <w:szCs w:val="32"/>
          <w:highlight w:val="none"/>
          <w:lang w:val="en-US" w:eastAsia="zh-CN"/>
        </w:rPr>
        <w:t>[缴纳税款]＋本年累计[</w:t>
      </w:r>
      <w:r>
        <w:rPr>
          <w:rFonts w:hint="eastAsia" w:ascii="仿宋_GB2312" w:hAnsi="仿宋_GB2312" w:eastAsia="仿宋_GB2312" w:cs="仿宋_GB2312"/>
          <w:b/>
          <w:bCs w:val="0"/>
          <w:color w:val="auto"/>
          <w:sz w:val="32"/>
          <w:szCs w:val="32"/>
          <w:highlight w:val="none"/>
        </w:rPr>
        <w:t>代扣（收）代缴税款</w:t>
      </w:r>
      <w:r>
        <w:rPr>
          <w:rFonts w:hint="eastAsia" w:ascii="仿宋_GB2312" w:hAnsi="仿宋_GB2312" w:eastAsia="仿宋_GB2312" w:cs="仿宋_GB2312"/>
          <w:b/>
          <w:bCs w:val="0"/>
          <w:color w:val="auto"/>
          <w:sz w:val="32"/>
          <w:szCs w:val="32"/>
          <w:highlight w:val="none"/>
          <w:lang w:val="en-US" w:eastAsia="zh-CN"/>
        </w:rPr>
        <w:t>]</w:t>
      </w:r>
    </w:p>
    <w:p w14:paraId="4A3AE245">
      <w:pPr>
        <w:pStyle w:val="57"/>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（二）统计维度及分类标准</w:t>
      </w:r>
    </w:p>
    <w:p w14:paraId="0942B275">
      <w:pPr>
        <w:pStyle w:val="57"/>
        <w:keepNext w:val="0"/>
        <w:keepLines w:val="0"/>
        <w:pageBreakBefore w:val="0"/>
        <w:numPr>
          <w:ilvl w:val="0"/>
          <w:numId w:val="0"/>
        </w:numPr>
        <w:kinsoku/>
        <w:wordWrap/>
        <w:overflowPunct/>
        <w:topLinePunct w:val="0"/>
        <w:autoSpaceDE w:val="0"/>
        <w:autoSpaceDN w:val="0"/>
        <w:bidi w:val="0"/>
        <w:spacing w:line="600" w:lineRule="exact"/>
        <w:ind w:firstLine="642"/>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保险机构缴纳的税收滞纳金、罚款、</w:t>
      </w:r>
      <w:r>
        <w:rPr>
          <w:rFonts w:hint="eastAsia" w:ascii="仿宋_GB2312" w:hAnsi="仿宋_GB2312" w:eastAsia="仿宋_GB2312" w:cs="仿宋_GB2312"/>
          <w:b w:val="0"/>
          <w:bCs w:val="0"/>
          <w:color w:val="auto"/>
          <w:sz w:val="32"/>
          <w:szCs w:val="32"/>
          <w:highlight w:val="none"/>
        </w:rPr>
        <w:t>残疾人就业保障金、水利建设基金、文化事业建设费、工会经费、河道治理费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社保、住房公积金、企业年金等，以及因代扣代缴、代收代缴、委托代征税款，从税务机关取得的手续费（简称“三代手续费”），</w:t>
      </w:r>
      <w:r>
        <w:rPr>
          <w:rFonts w:hint="eastAsia" w:ascii="仿宋_GB2312" w:hAnsi="仿宋_GB2312" w:eastAsia="仿宋_GB2312" w:cs="仿宋_GB2312"/>
          <w:b/>
          <w:bCs/>
          <w:color w:val="auto"/>
          <w:sz w:val="32"/>
          <w:szCs w:val="32"/>
          <w:highlight w:val="none"/>
          <w:lang w:val="en-US" w:eastAsia="zh-CN"/>
        </w:rPr>
        <w:t>不属于统计范围</w:t>
      </w:r>
      <w:r>
        <w:rPr>
          <w:rFonts w:hint="eastAsia" w:ascii="仿宋_GB2312" w:hAnsi="仿宋_GB2312" w:eastAsia="仿宋_GB2312" w:cs="仿宋_GB2312"/>
          <w:b w:val="0"/>
          <w:bCs w:val="0"/>
          <w:color w:val="auto"/>
          <w:sz w:val="32"/>
          <w:szCs w:val="32"/>
          <w:highlight w:val="none"/>
          <w:lang w:val="en-US" w:eastAsia="zh-CN"/>
        </w:rPr>
        <w:t>。</w:t>
      </w:r>
    </w:p>
    <w:p w14:paraId="106CD638">
      <w:pPr>
        <w:pStyle w:val="57"/>
        <w:keepNext w:val="0"/>
        <w:keepLines w:val="0"/>
        <w:pageBreakBefore w:val="0"/>
        <w:numPr>
          <w:ilvl w:val="0"/>
          <w:numId w:val="0"/>
        </w:numPr>
        <w:kinsoku/>
        <w:wordWrap/>
        <w:overflowPunct/>
        <w:topLinePunct w:val="0"/>
        <w:autoSpaceDE w:val="0"/>
        <w:autoSpaceDN w:val="0"/>
        <w:bidi w:val="0"/>
        <w:spacing w:line="60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1.税种维度。</w:t>
      </w:r>
      <w:r>
        <w:rPr>
          <w:rFonts w:hint="eastAsia" w:ascii="仿宋_GB2312" w:hAnsi="仿宋_GB2312" w:eastAsia="仿宋_GB2312" w:cs="仿宋_GB2312"/>
          <w:b w:val="0"/>
          <w:bCs w:val="0"/>
          <w:color w:val="auto"/>
          <w:sz w:val="32"/>
          <w:szCs w:val="32"/>
          <w:highlight w:val="none"/>
          <w:lang w:val="en-US" w:eastAsia="zh-CN"/>
        </w:rPr>
        <w:t>根据税收种类以及是否代扣代缴的不同，包括</w:t>
      </w:r>
      <w:r>
        <w:rPr>
          <w:rFonts w:hint="eastAsia" w:ascii="仿宋_GB2312" w:hAnsi="仿宋_GB2312" w:eastAsia="仿宋_GB2312" w:cs="仿宋_GB2312"/>
          <w:b/>
          <w:bCs/>
          <w:color w:val="auto"/>
          <w:sz w:val="32"/>
          <w:szCs w:val="32"/>
          <w:highlight w:val="none"/>
          <w:lang w:val="en-US" w:eastAsia="zh-CN"/>
        </w:rPr>
        <w:t>[企业所得税]、[增值税及附加税费]、[其他税款]、[</w:t>
      </w:r>
      <w:r>
        <w:rPr>
          <w:rFonts w:hint="eastAsia" w:ascii="仿宋_GB2312" w:hAnsi="仿宋_GB2312" w:eastAsia="仿宋_GB2312" w:cs="仿宋_GB2312"/>
          <w:b/>
          <w:bCs/>
          <w:color w:val="auto"/>
          <w:kern w:val="2"/>
          <w:sz w:val="32"/>
          <w:szCs w:val="32"/>
          <w:highlight w:val="none"/>
          <w:lang w:val="en-US" w:eastAsia="zh-CN" w:bidi="ar-SA"/>
        </w:rPr>
        <w:t>代收代缴车船税</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kern w:val="2"/>
          <w:sz w:val="32"/>
          <w:szCs w:val="32"/>
          <w:highlight w:val="none"/>
          <w:lang w:val="en-US" w:eastAsia="zh-CN" w:bidi="ar-SA"/>
        </w:rPr>
        <w:t>代扣代缴（预扣预缴）个人所得税</w:t>
      </w:r>
      <w:r>
        <w:rPr>
          <w:rFonts w:hint="eastAsia" w:ascii="仿宋_GB2312" w:hAnsi="仿宋_GB2312" w:eastAsia="仿宋_GB2312" w:cs="仿宋_GB2312"/>
          <w:b/>
          <w:bCs/>
          <w:color w:val="auto"/>
          <w:sz w:val="32"/>
          <w:szCs w:val="32"/>
          <w:highlight w:val="none"/>
          <w:lang w:val="en-US" w:eastAsia="zh-CN"/>
        </w:rPr>
        <w:t>]、[其他代扣代缴税款]</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具体分类标准如下：</w:t>
      </w:r>
    </w:p>
    <w:p w14:paraId="0DEAC5FC">
      <w:pPr>
        <w:pStyle w:val="57"/>
        <w:keepNext w:val="0"/>
        <w:keepLines w:val="0"/>
        <w:pageBreakBefore w:val="0"/>
        <w:numPr>
          <w:ilvl w:val="0"/>
          <w:numId w:val="0"/>
        </w:numPr>
        <w:kinsoku/>
        <w:wordWrap/>
        <w:overflowPunct/>
        <w:topLinePunct w:val="0"/>
        <w:autoSpaceDE w:val="0"/>
        <w:autoSpaceDN w:val="0"/>
        <w:bidi w:val="0"/>
        <w:spacing w:line="60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[企业所得税]</w:t>
      </w:r>
      <w:r>
        <w:rPr>
          <w:rFonts w:hint="eastAsia" w:ascii="仿宋_GB2312" w:hAnsi="仿宋_GB2312" w:eastAsia="仿宋_GB2312" w:cs="仿宋_GB2312"/>
          <w:b w:val="0"/>
          <w:bCs w:val="0"/>
          <w:color w:val="auto"/>
          <w:sz w:val="32"/>
          <w:szCs w:val="32"/>
          <w:highlight w:val="none"/>
          <w:lang w:val="en-US" w:eastAsia="zh-CN"/>
        </w:rPr>
        <w:t>是指</w:t>
      </w:r>
      <w:r>
        <w:rPr>
          <w:rFonts w:hint="eastAsia" w:ascii="Times New Roman" w:hAnsi="Times New Roman" w:eastAsia="仿宋_GB2312" w:cs="Times New Roman"/>
          <w:color w:val="auto"/>
          <w:sz w:val="32"/>
          <w:szCs w:val="32"/>
          <w:highlight w:val="none"/>
          <w:lang w:val="en-US" w:eastAsia="zh-CN"/>
        </w:rPr>
        <w:t>保险机构作为企业所得税的纳税人，依照《中国人民共和国企业所得税法》及相关法规规定缴纳的</w:t>
      </w:r>
      <w:r>
        <w:rPr>
          <w:rFonts w:hint="eastAsia" w:ascii="Times New Roman" w:hAnsi="Times New Roman" w:eastAsia="仿宋_GB2312" w:cs="Times New Roman"/>
          <w:color w:val="auto"/>
          <w:sz w:val="32"/>
          <w:szCs w:val="32"/>
          <w:highlight w:val="none"/>
        </w:rPr>
        <w:t>企业所得税</w:t>
      </w:r>
      <w:r>
        <w:rPr>
          <w:rFonts w:hint="eastAsia" w:ascii="Times New Roman" w:hAnsi="Times New Roman" w:eastAsia="仿宋_GB2312" w:cs="Times New Roman"/>
          <w:color w:val="auto"/>
          <w:sz w:val="32"/>
          <w:szCs w:val="32"/>
          <w:highlight w:val="none"/>
          <w:lang w:val="en-US" w:eastAsia="zh-CN"/>
        </w:rPr>
        <w:t>税款，包括</w:t>
      </w:r>
      <w:r>
        <w:rPr>
          <w:rFonts w:hint="eastAsia" w:ascii="Times New Roman" w:hAnsi="Times New Roman" w:eastAsia="仿宋_GB2312" w:cs="Times New Roman"/>
          <w:color w:val="auto"/>
          <w:sz w:val="32"/>
          <w:szCs w:val="32"/>
          <w:highlight w:val="none"/>
        </w:rPr>
        <w:t>月（季）度</w:t>
      </w:r>
      <w:r>
        <w:rPr>
          <w:rFonts w:hint="eastAsia" w:ascii="Times New Roman" w:hAnsi="Times New Roman" w:eastAsia="仿宋_GB2312" w:cs="Times New Roman"/>
          <w:color w:val="auto"/>
          <w:sz w:val="32"/>
          <w:szCs w:val="32"/>
          <w:highlight w:val="none"/>
          <w:lang w:val="en-US" w:eastAsia="zh-CN"/>
        </w:rPr>
        <w:t>预缴税款、年度汇算清缴税款</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如年度汇算清缴为退税，需要在</w:t>
      </w:r>
      <w:r>
        <w:rPr>
          <w:rFonts w:hint="eastAsia" w:ascii="Times New Roman" w:hAnsi="Times New Roman" w:eastAsia="仿宋_GB2312" w:cs="Times New Roman"/>
          <w:b w:val="0"/>
          <w:bCs w:val="0"/>
          <w:color w:val="auto"/>
          <w:sz w:val="32"/>
          <w:szCs w:val="32"/>
          <w:highlight w:val="none"/>
          <w:lang w:val="en-US" w:eastAsia="zh-CN"/>
        </w:rPr>
        <w:t>收到退税的当期，</w:t>
      </w:r>
      <w:r>
        <w:rPr>
          <w:rFonts w:hint="eastAsia" w:ascii="Times New Roman" w:hAnsi="Times New Roman" w:eastAsia="仿宋_GB2312" w:cs="Times New Roman"/>
          <w:color w:val="auto"/>
          <w:sz w:val="32"/>
          <w:szCs w:val="32"/>
          <w:highlight w:val="none"/>
          <w:lang w:val="en-US" w:eastAsia="zh-CN"/>
        </w:rPr>
        <w:t>扣</w:t>
      </w:r>
      <w:r>
        <w:rPr>
          <w:rFonts w:hint="eastAsia" w:ascii="仿宋_GB2312" w:hAnsi="仿宋_GB2312" w:eastAsia="仿宋_GB2312" w:cs="仿宋_GB2312"/>
          <w:b w:val="0"/>
          <w:bCs w:val="0"/>
          <w:color w:val="auto"/>
          <w:sz w:val="32"/>
          <w:szCs w:val="32"/>
          <w:highlight w:val="none"/>
          <w:lang w:val="en-US" w:eastAsia="zh-CN"/>
        </w:rPr>
        <w:t>除相应税款金额。</w:t>
      </w:r>
    </w:p>
    <w:p w14:paraId="4574F960">
      <w:pPr>
        <w:pStyle w:val="57"/>
        <w:keepNext w:val="0"/>
        <w:keepLines w:val="0"/>
        <w:pageBreakBefore w:val="0"/>
        <w:numPr>
          <w:ilvl w:val="0"/>
          <w:numId w:val="0"/>
        </w:numPr>
        <w:kinsoku/>
        <w:wordWrap/>
        <w:overflowPunct/>
        <w:topLinePunct w:val="0"/>
        <w:autoSpaceDE w:val="0"/>
        <w:autoSpaceDN w:val="0"/>
        <w:bidi w:val="0"/>
        <w:spacing w:line="600" w:lineRule="exact"/>
        <w:ind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[增值税及附加税费]</w:t>
      </w:r>
      <w:r>
        <w:rPr>
          <w:rFonts w:hint="eastAsia" w:ascii="仿宋_GB2312" w:hAnsi="仿宋_GB2312" w:eastAsia="仿宋_GB2312" w:cs="仿宋_GB2312"/>
          <w:b w:val="0"/>
          <w:bCs w:val="0"/>
          <w:color w:val="auto"/>
          <w:sz w:val="32"/>
          <w:szCs w:val="32"/>
          <w:highlight w:val="none"/>
          <w:lang w:val="en-US" w:eastAsia="zh-CN"/>
        </w:rPr>
        <w:t>是指保险机构作为增值税及附加税费的纳税人，依照《中华人民共和国增值税暂行条例》、《中华人民共和国城市维护建设税法》及相关法规规定缴纳的增值税、城市维护建设税、教育费附加和地方教育附加等税款。作为资管产品管理人的保险资产管理公司、专业保险资产管理机构、养老保险公司，在运营资管产品过程中发生增值税应税交易所缴纳的增值税及附加税费，属于该项统计</w:t>
      </w:r>
      <w:r>
        <w:rPr>
          <w:rFonts w:hint="eastAsia" w:ascii="Times New Roman" w:hAnsi="Times New Roman" w:eastAsia="仿宋_GB2312" w:cs="Times New Roman"/>
          <w:color w:val="auto"/>
          <w:sz w:val="32"/>
          <w:szCs w:val="32"/>
          <w:highlight w:val="none"/>
          <w:lang w:val="en-US" w:eastAsia="zh-CN"/>
        </w:rPr>
        <w:t xml:space="preserve">范围。 </w:t>
      </w:r>
    </w:p>
    <w:p w14:paraId="7DE7ECD5">
      <w:pPr>
        <w:pStyle w:val="57"/>
        <w:keepNext w:val="0"/>
        <w:keepLines w:val="0"/>
        <w:pageBreakBefore w:val="0"/>
        <w:numPr>
          <w:ilvl w:val="0"/>
          <w:numId w:val="0"/>
        </w:numPr>
        <w:kinsoku/>
        <w:wordWrap/>
        <w:overflowPunct/>
        <w:topLinePunct w:val="0"/>
        <w:autoSpaceDE w:val="0"/>
        <w:autoSpaceDN w:val="0"/>
        <w:bidi w:val="0"/>
        <w:spacing w:line="600" w:lineRule="exact"/>
        <w:ind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其他税款</w:t>
      </w:r>
      <w:r>
        <w:rPr>
          <w:rFonts w:hint="eastAsia" w:ascii="仿宋_GB2312" w:hAnsi="仿宋_GB2312" w:eastAsia="仿宋_GB2312" w:cs="仿宋_GB2312"/>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是指保险机构作为纳税人，依照相关税收法律法规规定缴纳的除企业所得税、增值税及附加税费以外的其他税种税款，包括房产税、城镇土地使用税、印花税、车船税、车辆购置税、契税、土地增值税、耕地占用税、环境保护税、资源税（含水资源税）等税款。对于车船税，是指公司作为纳税人（非扣缴义务人）为自有车辆缴纳的车船税，包括自行申报缴纳的，以及由车险承保保险公司代收代缴的税款。</w:t>
      </w:r>
    </w:p>
    <w:p w14:paraId="0A179608">
      <w:pPr>
        <w:pStyle w:val="57"/>
        <w:keepNext w:val="0"/>
        <w:keepLines w:val="0"/>
        <w:pageBreakBefore w:val="0"/>
        <w:numPr>
          <w:ilvl w:val="0"/>
          <w:numId w:val="0"/>
        </w:numPr>
        <w:kinsoku/>
        <w:wordWrap/>
        <w:overflowPunct/>
        <w:topLinePunct w:val="0"/>
        <w:autoSpaceDE w:val="0"/>
        <w:autoSpaceDN w:val="0"/>
        <w:bidi w:val="0"/>
        <w:spacing w:line="600" w:lineRule="exact"/>
        <w:ind w:firstLine="643" w:firstLineChars="200"/>
        <w:textAlignment w:val="auto"/>
        <w:rPr>
          <w:rFonts w:hint="eastAsia" w:ascii="Times New Roman" w:hAnsi="Times New Roman" w:eastAsia="仿宋_GB2312" w:cs="Times New Roman"/>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Times New Roman" w:hAnsi="Times New Roman" w:eastAsia="仿宋_GB2312" w:cs="Times New Roman"/>
          <w:b/>
          <w:color w:val="auto"/>
          <w:kern w:val="2"/>
          <w:sz w:val="32"/>
          <w:szCs w:val="32"/>
          <w:highlight w:val="none"/>
          <w:lang w:val="en-US" w:eastAsia="zh-CN" w:bidi="ar-SA"/>
        </w:rPr>
        <w:t>代收代缴车船税</w:t>
      </w:r>
      <w:r>
        <w:rPr>
          <w:rFonts w:hint="eastAsia" w:ascii="仿宋_GB2312" w:hAnsi="仿宋_GB2312" w:eastAsia="仿宋_GB2312" w:cs="仿宋_GB2312"/>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是</w:t>
      </w:r>
      <w:r>
        <w:rPr>
          <w:rFonts w:hint="eastAsia" w:ascii="Times New Roman" w:hAnsi="Times New Roman" w:eastAsia="仿宋_GB2312" w:cs="Times New Roman"/>
          <w:b w:val="0"/>
          <w:bCs/>
          <w:color w:val="auto"/>
          <w:sz w:val="32"/>
          <w:szCs w:val="32"/>
          <w:highlight w:val="none"/>
        </w:rPr>
        <w:t>指保险公司作为</w:t>
      </w:r>
      <w:r>
        <w:rPr>
          <w:rFonts w:hint="eastAsia" w:ascii="Times New Roman" w:hAnsi="Times New Roman" w:eastAsia="仿宋_GB2312" w:cs="Times New Roman"/>
          <w:bCs/>
          <w:color w:val="auto"/>
          <w:sz w:val="32"/>
          <w:szCs w:val="32"/>
          <w:highlight w:val="none"/>
        </w:rPr>
        <w:t>车船税的扣缴义务人</w:t>
      </w:r>
      <w:r>
        <w:rPr>
          <w:rFonts w:hint="eastAsia" w:ascii="Times New Roman" w:hAnsi="Times New Roman" w:eastAsia="仿宋_GB2312" w:cs="Times New Roman"/>
          <w:b w:val="0"/>
          <w:bCs/>
          <w:color w:val="auto"/>
          <w:sz w:val="32"/>
          <w:szCs w:val="32"/>
          <w:highlight w:val="none"/>
        </w:rPr>
        <w:t>，依照《</w:t>
      </w:r>
      <w:r>
        <w:rPr>
          <w:rFonts w:hint="eastAsia" w:ascii="Times New Roman" w:hAnsi="Times New Roman" w:eastAsia="仿宋_GB2312" w:cs="Times New Roman"/>
          <w:bCs/>
          <w:color w:val="auto"/>
          <w:sz w:val="32"/>
          <w:szCs w:val="32"/>
          <w:highlight w:val="none"/>
        </w:rPr>
        <w:t>中华人民共和国车船税法</w:t>
      </w:r>
      <w:r>
        <w:rPr>
          <w:rFonts w:hint="eastAsia" w:ascii="Times New Roman" w:hAnsi="Times New Roman" w:eastAsia="仿宋_GB2312" w:cs="Times New Roman"/>
          <w:b w:val="0"/>
          <w:bCs/>
          <w:color w:val="auto"/>
          <w:sz w:val="32"/>
          <w:szCs w:val="32"/>
          <w:highlight w:val="none"/>
        </w:rPr>
        <w:t>》及相关法规规定</w:t>
      </w:r>
      <w:r>
        <w:rPr>
          <w:rFonts w:hint="eastAsia" w:ascii="Times New Roman" w:hAnsi="Times New Roman" w:eastAsia="仿宋_GB2312" w:cs="Times New Roman"/>
          <w:bCs/>
          <w:color w:val="auto"/>
          <w:sz w:val="32"/>
          <w:szCs w:val="32"/>
          <w:highlight w:val="none"/>
        </w:rPr>
        <w:t>代收代缴</w:t>
      </w:r>
      <w:r>
        <w:rPr>
          <w:rFonts w:hint="eastAsia" w:ascii="Times New Roman" w:hAnsi="Times New Roman" w:eastAsia="仿宋_GB2312" w:cs="Times New Roman"/>
          <w:b w:val="0"/>
          <w:bCs/>
          <w:color w:val="auto"/>
          <w:sz w:val="32"/>
          <w:szCs w:val="32"/>
          <w:highlight w:val="none"/>
        </w:rPr>
        <w:t>的</w:t>
      </w:r>
      <w:r>
        <w:rPr>
          <w:rFonts w:hint="eastAsia" w:ascii="Times New Roman" w:hAnsi="Times New Roman" w:eastAsia="仿宋_GB2312" w:cs="Times New Roman"/>
          <w:b w:val="0"/>
          <w:bCs/>
          <w:color w:val="auto"/>
          <w:sz w:val="32"/>
          <w:szCs w:val="32"/>
          <w:highlight w:val="none"/>
          <w:lang w:val="en-US" w:eastAsia="zh-CN"/>
        </w:rPr>
        <w:t>车船税</w:t>
      </w:r>
      <w:r>
        <w:rPr>
          <w:rFonts w:hint="eastAsia" w:ascii="Times New Roman" w:hAnsi="Times New Roman" w:eastAsia="仿宋_GB2312" w:cs="Times New Roman"/>
          <w:b w:val="0"/>
          <w:bCs/>
          <w:color w:val="auto"/>
          <w:sz w:val="32"/>
          <w:szCs w:val="32"/>
          <w:highlight w:val="none"/>
        </w:rPr>
        <w:t>税款</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lang w:val="en-US" w:eastAsia="zh-CN"/>
        </w:rPr>
        <w:t>保险公司自有车辆在本单位投保时，由本单位代收代缴的车船税</w:t>
      </w:r>
      <w:r>
        <w:rPr>
          <w:rFonts w:hint="eastAsia" w:ascii="Times New Roman" w:hAnsi="Times New Roman" w:eastAsia="仿宋_GB2312" w:cs="Times New Roman"/>
          <w:bCs/>
          <w:color w:val="auto"/>
          <w:sz w:val="32"/>
          <w:szCs w:val="32"/>
          <w:highlight w:val="none"/>
        </w:rPr>
        <w:t>，属于该项统计范围</w:t>
      </w:r>
      <w:r>
        <w:rPr>
          <w:rFonts w:hint="eastAsia" w:ascii="Times New Roman" w:hAnsi="Times New Roman" w:eastAsia="仿宋_GB2312" w:cs="Times New Roman"/>
          <w:bCs/>
          <w:color w:val="auto"/>
          <w:sz w:val="32"/>
          <w:szCs w:val="32"/>
          <w:highlight w:val="none"/>
          <w:lang w:eastAsia="zh-CN"/>
        </w:rPr>
        <w:t>。</w:t>
      </w:r>
    </w:p>
    <w:p w14:paraId="342CAA99">
      <w:pPr>
        <w:pStyle w:val="57"/>
        <w:keepNext w:val="0"/>
        <w:keepLines w:val="0"/>
        <w:pageBreakBefore w:val="0"/>
        <w:numPr>
          <w:ilvl w:val="0"/>
          <w:numId w:val="0"/>
        </w:numPr>
        <w:kinsoku/>
        <w:wordWrap/>
        <w:overflowPunct/>
        <w:topLinePunct w:val="0"/>
        <w:autoSpaceDE w:val="0"/>
        <w:autoSpaceDN w:val="0"/>
        <w:bidi w:val="0"/>
        <w:spacing w:line="600" w:lineRule="exact"/>
        <w:ind w:firstLine="643" w:firstLineChars="200"/>
        <w:textAlignment w:val="auto"/>
        <w:rPr>
          <w:rFonts w:hint="eastAsia" w:ascii="Times New Roman" w:hAnsi="Times New Roman" w:eastAsia="仿宋_GB2312" w:cs="Times New Roman"/>
          <w:b w:val="0"/>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Times New Roman" w:hAnsi="Times New Roman" w:eastAsia="仿宋_GB2312" w:cs="Times New Roman"/>
          <w:b/>
          <w:color w:val="auto"/>
          <w:kern w:val="2"/>
          <w:sz w:val="32"/>
          <w:szCs w:val="32"/>
          <w:highlight w:val="none"/>
          <w:lang w:val="en-US" w:eastAsia="zh-CN" w:bidi="ar-SA"/>
        </w:rPr>
        <w:t>代扣代缴（预扣预缴）个人所得税</w:t>
      </w:r>
      <w:r>
        <w:rPr>
          <w:rFonts w:hint="eastAsia" w:ascii="仿宋_GB2312" w:hAnsi="仿宋_GB2312" w:eastAsia="仿宋_GB2312" w:cs="仿宋_GB2312"/>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是</w:t>
      </w:r>
      <w:r>
        <w:rPr>
          <w:rFonts w:hint="eastAsia" w:ascii="Times New Roman" w:hAnsi="Times New Roman" w:eastAsia="仿宋_GB2312" w:cs="Times New Roman"/>
          <w:b w:val="0"/>
          <w:bCs/>
          <w:color w:val="auto"/>
          <w:sz w:val="32"/>
          <w:szCs w:val="32"/>
          <w:highlight w:val="none"/>
        </w:rPr>
        <w:t>指保险</w:t>
      </w:r>
      <w:r>
        <w:rPr>
          <w:rFonts w:hint="eastAsia" w:ascii="Times New Roman" w:hAnsi="Times New Roman" w:eastAsia="仿宋_GB2312" w:cs="Times New Roman"/>
          <w:b w:val="0"/>
          <w:bCs/>
          <w:color w:val="auto"/>
          <w:sz w:val="32"/>
          <w:szCs w:val="32"/>
          <w:highlight w:val="none"/>
          <w:lang w:val="en-US" w:eastAsia="zh-CN"/>
        </w:rPr>
        <w:t>机构</w:t>
      </w:r>
      <w:r>
        <w:rPr>
          <w:rFonts w:hint="eastAsia" w:ascii="Times New Roman" w:hAnsi="Times New Roman" w:eastAsia="仿宋_GB2312" w:cs="Times New Roman"/>
          <w:b w:val="0"/>
          <w:bCs/>
          <w:color w:val="auto"/>
          <w:sz w:val="32"/>
          <w:szCs w:val="32"/>
          <w:highlight w:val="none"/>
        </w:rPr>
        <w:t>作为</w:t>
      </w:r>
      <w:r>
        <w:rPr>
          <w:rFonts w:hint="eastAsia" w:ascii="Times New Roman" w:hAnsi="Times New Roman" w:eastAsia="仿宋_GB2312" w:cs="Times New Roman"/>
          <w:bCs/>
          <w:color w:val="auto"/>
          <w:sz w:val="32"/>
          <w:szCs w:val="32"/>
          <w:highlight w:val="none"/>
        </w:rPr>
        <w:t>个人所得税的扣缴义务人</w:t>
      </w:r>
      <w:r>
        <w:rPr>
          <w:rFonts w:hint="eastAsia" w:ascii="Times New Roman" w:hAnsi="Times New Roman" w:eastAsia="仿宋_GB2312" w:cs="Times New Roman"/>
          <w:b w:val="0"/>
          <w:bCs/>
          <w:color w:val="auto"/>
          <w:sz w:val="32"/>
          <w:szCs w:val="32"/>
          <w:highlight w:val="none"/>
        </w:rPr>
        <w:t>，依照《</w:t>
      </w:r>
      <w:r>
        <w:rPr>
          <w:rFonts w:hint="eastAsia" w:ascii="Times New Roman" w:hAnsi="Times New Roman" w:eastAsia="仿宋_GB2312" w:cs="Times New Roman"/>
          <w:bCs/>
          <w:color w:val="auto"/>
          <w:sz w:val="32"/>
          <w:szCs w:val="32"/>
          <w:highlight w:val="none"/>
        </w:rPr>
        <w:t>中华人民共和国</w:t>
      </w:r>
      <w:r>
        <w:rPr>
          <w:rFonts w:hint="eastAsia" w:ascii="Times New Roman" w:hAnsi="Times New Roman" w:eastAsia="仿宋_GB2312" w:cs="Times New Roman"/>
          <w:bCs/>
          <w:color w:val="auto"/>
          <w:sz w:val="32"/>
          <w:szCs w:val="32"/>
          <w:highlight w:val="none"/>
          <w:lang w:val="en-US" w:eastAsia="zh-CN"/>
        </w:rPr>
        <w:t>个人所得税法</w:t>
      </w:r>
      <w:r>
        <w:rPr>
          <w:rFonts w:hint="eastAsia" w:ascii="Times New Roman" w:hAnsi="Times New Roman" w:eastAsia="仿宋_GB2312" w:cs="Times New Roman"/>
          <w:b w:val="0"/>
          <w:bCs/>
          <w:color w:val="auto"/>
          <w:sz w:val="32"/>
          <w:szCs w:val="32"/>
          <w:highlight w:val="none"/>
        </w:rPr>
        <w:t>》及相关法规规定</w:t>
      </w:r>
      <w:r>
        <w:rPr>
          <w:rFonts w:hint="eastAsia" w:ascii="Times New Roman" w:hAnsi="Times New Roman" w:eastAsia="仿宋_GB2312" w:cs="Times New Roman"/>
          <w:bCs/>
          <w:color w:val="auto"/>
          <w:sz w:val="32"/>
          <w:szCs w:val="32"/>
          <w:highlight w:val="none"/>
        </w:rPr>
        <w:t>代扣代缴</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rPr>
        <w:t>预扣预缴</w:t>
      </w:r>
      <w:r>
        <w:rPr>
          <w:rFonts w:hint="eastAsia" w:ascii="Times New Roman" w:hAnsi="Times New Roman" w:eastAsia="仿宋_GB2312" w:cs="Times New Roman"/>
          <w:b w:val="0"/>
          <w:bCs/>
          <w:color w:val="auto"/>
          <w:sz w:val="32"/>
          <w:szCs w:val="32"/>
          <w:highlight w:val="none"/>
        </w:rPr>
        <w:t>的</w:t>
      </w:r>
      <w:r>
        <w:rPr>
          <w:rFonts w:hint="eastAsia" w:ascii="Times New Roman" w:hAnsi="Times New Roman" w:eastAsia="仿宋_GB2312" w:cs="Times New Roman"/>
          <w:bCs/>
          <w:color w:val="auto"/>
          <w:sz w:val="32"/>
          <w:szCs w:val="32"/>
          <w:highlight w:val="none"/>
        </w:rPr>
        <w:t>个人所得税</w:t>
      </w:r>
      <w:r>
        <w:rPr>
          <w:rFonts w:hint="eastAsia" w:ascii="Times New Roman" w:hAnsi="Times New Roman" w:eastAsia="仿宋_GB2312" w:cs="Times New Roman"/>
          <w:b w:val="0"/>
          <w:bCs/>
          <w:color w:val="auto"/>
          <w:sz w:val="32"/>
          <w:szCs w:val="32"/>
          <w:highlight w:val="none"/>
        </w:rPr>
        <w:t>税款</w:t>
      </w:r>
      <w:r>
        <w:rPr>
          <w:rFonts w:hint="eastAsia" w:ascii="Times New Roman" w:hAnsi="Times New Roman" w:eastAsia="仿宋_GB2312" w:cs="Times New Roman"/>
          <w:b w:val="0"/>
          <w:bCs/>
          <w:color w:val="auto"/>
          <w:sz w:val="32"/>
          <w:szCs w:val="32"/>
          <w:highlight w:val="none"/>
          <w:lang w:eastAsia="zh-CN"/>
        </w:rPr>
        <w:t>。</w:t>
      </w:r>
    </w:p>
    <w:p w14:paraId="06FB84C2">
      <w:pPr>
        <w:pStyle w:val="57"/>
        <w:keepNext w:val="0"/>
        <w:keepLines w:val="0"/>
        <w:pageBreakBefore w:val="0"/>
        <w:numPr>
          <w:ilvl w:val="0"/>
          <w:numId w:val="0"/>
        </w:numPr>
        <w:kinsoku/>
        <w:wordWrap/>
        <w:overflowPunct/>
        <w:topLinePunct w:val="0"/>
        <w:autoSpaceDE w:val="0"/>
        <w:autoSpaceDN w:val="0"/>
        <w:bidi w:val="0"/>
        <w:spacing w:line="60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[其他代扣代缴税款]</w:t>
      </w:r>
      <w:r>
        <w:rPr>
          <w:rFonts w:hint="eastAsia" w:ascii="Times New Roman" w:hAnsi="Times New Roman" w:eastAsia="仿宋_GB2312" w:cs="Times New Roman"/>
          <w:color w:val="auto"/>
          <w:sz w:val="32"/>
          <w:szCs w:val="32"/>
          <w:highlight w:val="none"/>
          <w:lang w:val="en-US" w:eastAsia="zh-CN"/>
        </w:rPr>
        <w:t>是</w:t>
      </w:r>
      <w:r>
        <w:rPr>
          <w:rFonts w:hint="eastAsia" w:ascii="仿宋_GB2312" w:hAnsi="仿宋_GB2312" w:eastAsia="仿宋_GB2312" w:cs="仿宋_GB2312"/>
          <w:b w:val="0"/>
          <w:bCs w:val="0"/>
          <w:color w:val="auto"/>
          <w:sz w:val="32"/>
          <w:szCs w:val="32"/>
          <w:highlight w:val="none"/>
          <w:lang w:val="en-US" w:eastAsia="zh-CN"/>
        </w:rPr>
        <w:t>指保险机构作为扣缴义务人，依照相关税收法律法规规定代扣代缴（预扣预缴）、代收代缴以及接受税务机关委托代征的除车船税、个人所得税以外的其他税种税款，包括企业所得税（预提所得税）、增值税、城市维护建设税、教育费附加、地方教育附加、印花税等。</w:t>
      </w:r>
    </w:p>
    <w:p w14:paraId="11A3005E">
      <w:pPr>
        <w:pStyle w:val="57"/>
        <w:keepNext w:val="0"/>
        <w:keepLines w:val="0"/>
        <w:pageBreakBefore w:val="0"/>
        <w:numPr>
          <w:ilvl w:val="0"/>
          <w:numId w:val="0"/>
        </w:numPr>
        <w:kinsoku/>
        <w:wordWrap/>
        <w:overflowPunct/>
        <w:topLinePunct w:val="0"/>
        <w:autoSpaceDE w:val="0"/>
        <w:autoSpaceDN w:val="0"/>
        <w:bidi w:val="0"/>
        <w:spacing w:line="600" w:lineRule="exact"/>
        <w:ind w:firstLine="643"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2.地区维度。</w:t>
      </w:r>
      <w:r>
        <w:rPr>
          <w:rFonts w:hint="eastAsia" w:ascii="仿宋_GB2312" w:hAnsi="仿宋_GB2312" w:eastAsia="仿宋_GB2312" w:cs="仿宋_GB2312"/>
          <w:color w:val="auto"/>
          <w:sz w:val="32"/>
          <w:szCs w:val="32"/>
          <w:highlight w:val="none"/>
        </w:rPr>
        <w:t>地区维度具体到省级行政区和计划单列市，包括</w:t>
      </w:r>
      <w:r>
        <w:rPr>
          <w:rFonts w:hint="eastAsia" w:ascii="仿宋_GB2312" w:hAnsi="仿宋_GB2312" w:eastAsia="仿宋_GB2312" w:cs="仿宋_GB2312"/>
          <w:b/>
          <w:bCs/>
          <w:color w:val="auto"/>
          <w:sz w:val="32"/>
          <w:szCs w:val="32"/>
          <w:highlight w:val="none"/>
        </w:rPr>
        <w:t>[安徽省]</w:t>
      </w:r>
      <w:r>
        <w:rPr>
          <w:rFonts w:hint="eastAsia" w:ascii="仿宋_GB2312" w:hAnsi="仿宋_GB2312" w:eastAsia="仿宋_GB2312" w:cs="仿宋_GB2312"/>
          <w:color w:val="auto"/>
          <w:sz w:val="32"/>
          <w:szCs w:val="32"/>
          <w:highlight w:val="none"/>
        </w:rPr>
        <w:t>等22个省、</w:t>
      </w:r>
      <w:r>
        <w:rPr>
          <w:rFonts w:hint="eastAsia" w:ascii="仿宋_GB2312" w:hAnsi="仿宋_GB2312" w:eastAsia="仿宋_GB2312" w:cs="仿宋_GB2312"/>
          <w:b/>
          <w:bCs/>
          <w:color w:val="auto"/>
          <w:sz w:val="32"/>
          <w:szCs w:val="32"/>
          <w:highlight w:val="none"/>
        </w:rPr>
        <w:t>[北京市]</w:t>
      </w:r>
      <w:r>
        <w:rPr>
          <w:rFonts w:hint="eastAsia" w:ascii="仿宋_GB2312" w:hAnsi="仿宋_GB2312" w:eastAsia="仿宋_GB2312" w:cs="仿宋_GB2312"/>
          <w:color w:val="auto"/>
          <w:sz w:val="32"/>
          <w:szCs w:val="32"/>
          <w:highlight w:val="none"/>
        </w:rPr>
        <w:t>等4个直辖市、</w:t>
      </w:r>
      <w:r>
        <w:rPr>
          <w:rFonts w:hint="eastAsia" w:ascii="仿宋_GB2312" w:hAnsi="仿宋_GB2312" w:eastAsia="仿宋_GB2312" w:cs="仿宋_GB2312"/>
          <w:b/>
          <w:bCs/>
          <w:color w:val="auto"/>
          <w:sz w:val="32"/>
          <w:szCs w:val="32"/>
          <w:highlight w:val="none"/>
        </w:rPr>
        <w:t>[内蒙古自治区]</w:t>
      </w:r>
      <w:r>
        <w:rPr>
          <w:rFonts w:hint="eastAsia" w:ascii="仿宋_GB2312" w:hAnsi="仿宋_GB2312" w:eastAsia="仿宋_GB2312" w:cs="仿宋_GB2312"/>
          <w:color w:val="auto"/>
          <w:sz w:val="32"/>
          <w:szCs w:val="32"/>
          <w:highlight w:val="none"/>
        </w:rPr>
        <w:t>等5个自治区，以及</w:t>
      </w:r>
      <w:r>
        <w:rPr>
          <w:rFonts w:hint="eastAsia" w:ascii="仿宋_GB2312" w:hAnsi="仿宋_GB2312" w:eastAsia="仿宋_GB2312" w:cs="仿宋_GB2312"/>
          <w:b/>
          <w:bCs/>
          <w:color w:val="auto"/>
          <w:sz w:val="32"/>
          <w:szCs w:val="32"/>
          <w:highlight w:val="none"/>
        </w:rPr>
        <w:t>[辽宁省大连市]、[山东省青岛市]、[广东省深圳市]、[福建省厦门市]、[浙江省宁波市]</w:t>
      </w:r>
      <w:r>
        <w:rPr>
          <w:rFonts w:hint="eastAsia" w:ascii="仿宋_GB2312" w:hAnsi="仿宋_GB2312" w:eastAsia="仿宋_GB2312" w:cs="仿宋_GB2312"/>
          <w:color w:val="auto"/>
          <w:sz w:val="32"/>
          <w:szCs w:val="32"/>
          <w:highlight w:val="none"/>
        </w:rPr>
        <w:t>等5个计划单列市，其中，计入计划单列市的</w:t>
      </w:r>
      <w:r>
        <w:rPr>
          <w:rFonts w:hint="eastAsia" w:ascii="仿宋_GB2312" w:hAnsi="仿宋_GB2312" w:eastAsia="仿宋_GB2312" w:cs="仿宋_GB2312"/>
          <w:color w:val="auto"/>
          <w:sz w:val="32"/>
          <w:szCs w:val="32"/>
          <w:highlight w:val="none"/>
          <w:lang w:eastAsia="zh-CN"/>
        </w:rPr>
        <w:t>税款或代扣代缴税款</w:t>
      </w:r>
      <w:r>
        <w:rPr>
          <w:rFonts w:hint="eastAsia" w:ascii="仿宋_GB2312" w:hAnsi="仿宋_GB2312" w:eastAsia="仿宋_GB2312" w:cs="仿宋_GB2312"/>
          <w:color w:val="auto"/>
          <w:sz w:val="32"/>
          <w:szCs w:val="32"/>
          <w:highlight w:val="none"/>
        </w:rPr>
        <w:t>，不再重复计入计划单列市所属省级行政区</w:t>
      </w:r>
      <w:r>
        <w:rPr>
          <w:rFonts w:hint="eastAsia" w:ascii="仿宋_GB2312" w:hAnsi="仿宋_GB2312" w:eastAsia="仿宋_GB2312" w:cs="仿宋_GB2312"/>
          <w:color w:val="auto"/>
          <w:sz w:val="32"/>
          <w:szCs w:val="32"/>
          <w:highlight w:val="none"/>
          <w:lang w:eastAsia="zh-CN"/>
        </w:rPr>
        <w:t>。</w:t>
      </w:r>
    </w:p>
    <w:p w14:paraId="71A92CC2">
      <w:pPr>
        <w:pStyle w:val="57"/>
        <w:keepNext w:val="0"/>
        <w:keepLines w:val="0"/>
        <w:pageBreakBefore w:val="0"/>
        <w:numPr>
          <w:ilvl w:val="0"/>
          <w:numId w:val="0"/>
        </w:numPr>
        <w:kinsoku/>
        <w:wordWrap/>
        <w:overflowPunct/>
        <w:topLinePunct w:val="0"/>
        <w:autoSpaceDE w:val="0"/>
        <w:autoSpaceDN w:val="0"/>
        <w:bidi w:val="0"/>
        <w:spacing w:line="600" w:lineRule="exact"/>
        <w:ind w:firstLine="0" w:firstLineChars="0"/>
        <w:jc w:val="center"/>
        <w:textAlignment w:val="auto"/>
        <w:outlineLvl w:val="0"/>
        <w:rPr>
          <w:rStyle w:val="29"/>
          <w:color w:val="auto"/>
        </w:rPr>
      </w:pPr>
      <w:r>
        <w:rPr>
          <w:rFonts w:hint="eastAsia" w:ascii="黑体" w:hAnsi="黑体" w:eastAsia="黑体" w:cs="黑体"/>
          <w:color w:val="auto"/>
          <w:sz w:val="36"/>
          <w:szCs w:val="36"/>
          <w:lang w:val="en-US" w:eastAsia="zh-CN"/>
        </w:rPr>
        <w:br w:type="page"/>
      </w:r>
      <w:bookmarkStart w:id="18" w:name="_Toc635471279"/>
      <w:bookmarkStart w:id="19" w:name="_Toc595674069"/>
      <w:bookmarkStart w:id="20" w:name="_Toc246884278"/>
      <w:bookmarkStart w:id="21" w:name="_Toc2051591933"/>
      <w:bookmarkStart w:id="22" w:name="_Toc43408740"/>
      <w:bookmarkStart w:id="23" w:name="_Toc1411311499"/>
      <w:bookmarkStart w:id="24" w:name="_Toc1104978986"/>
      <w:bookmarkStart w:id="25" w:name="_Toc979840410"/>
      <w:bookmarkStart w:id="26" w:name="_Toc1997640699"/>
      <w:r>
        <w:rPr>
          <w:rStyle w:val="29"/>
          <w:color w:val="auto"/>
        </w:rPr>
        <w:t>第三部分 业务类</w:t>
      </w:r>
      <w:bookmarkEnd w:id="18"/>
      <w:bookmarkEnd w:id="19"/>
      <w:bookmarkEnd w:id="20"/>
      <w:bookmarkEnd w:id="21"/>
      <w:bookmarkEnd w:id="22"/>
      <w:bookmarkEnd w:id="23"/>
      <w:bookmarkEnd w:id="24"/>
      <w:bookmarkEnd w:id="25"/>
      <w:bookmarkEnd w:id="26"/>
    </w:p>
    <w:p w14:paraId="4DBCC7FA">
      <w:pPr>
        <w:pStyle w:val="56"/>
        <w:keepNext w:val="0"/>
        <w:keepLines w:val="0"/>
        <w:pageBreakBefore w:val="0"/>
        <w:widowControl w:val="0"/>
        <w:kinsoku/>
        <w:wordWrap/>
        <w:overflowPunct/>
        <w:topLinePunct w:val="0"/>
        <w:bidi w:val="0"/>
        <w:snapToGrid/>
        <w:spacing w:after="0" w:line="600" w:lineRule="exact"/>
        <w:ind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部分</w:t>
      </w:r>
      <w:r>
        <w:rPr>
          <w:rFonts w:hint="eastAsia" w:ascii="仿宋_GB2312" w:hAnsi="仿宋_GB2312" w:eastAsia="仿宋_GB2312" w:cs="仿宋_GB2312"/>
          <w:color w:val="auto"/>
          <w:sz w:val="32"/>
          <w:szCs w:val="32"/>
        </w:rPr>
        <w:t>主要统计保险</w:t>
      </w:r>
      <w:r>
        <w:rPr>
          <w:rFonts w:hint="eastAsia" w:ascii="仿宋_GB2312" w:hAnsi="仿宋_GB2312" w:eastAsia="仿宋_GB2312" w:cs="仿宋_GB2312"/>
          <w:color w:val="auto"/>
          <w:sz w:val="32"/>
          <w:szCs w:val="32"/>
          <w:lang w:val="en-US" w:eastAsia="zh-CN"/>
        </w:rPr>
        <w:t>机构</w:t>
      </w:r>
      <w:r>
        <w:rPr>
          <w:rFonts w:hint="eastAsia" w:ascii="仿宋_GB2312" w:hAnsi="仿宋_GB2312" w:eastAsia="仿宋_GB2312" w:cs="仿宋_GB2312"/>
          <w:color w:val="auto"/>
          <w:sz w:val="32"/>
          <w:szCs w:val="32"/>
        </w:rPr>
        <w:t>业务经营有关情况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z w:val="32"/>
          <w:szCs w:val="32"/>
          <w:lang w:eastAsia="zh-CN"/>
        </w:rPr>
        <w:t>财产险</w:t>
      </w:r>
      <w:r>
        <w:rPr>
          <w:rFonts w:hint="eastAsia" w:ascii="仿宋_GB2312" w:hAnsi="仿宋_GB2312" w:eastAsia="仿宋_GB2312" w:cs="仿宋_GB2312"/>
          <w:color w:val="auto"/>
          <w:sz w:val="32"/>
          <w:szCs w:val="32"/>
        </w:rPr>
        <w:t>业务</w:t>
      </w:r>
      <w:r>
        <w:rPr>
          <w:rFonts w:hint="eastAsia" w:ascii="仿宋_GB2312" w:hAnsi="仿宋_GB2312" w:eastAsia="仿宋_GB2312" w:cs="仿宋_GB2312"/>
          <w:color w:val="auto"/>
          <w:sz w:val="32"/>
          <w:szCs w:val="32"/>
          <w:lang w:eastAsia="zh-CN"/>
        </w:rPr>
        <w:t>、人身险业务、</w:t>
      </w:r>
      <w:r>
        <w:rPr>
          <w:rFonts w:hint="eastAsia" w:ascii="仿宋_GB2312" w:hAnsi="仿宋_GB2312" w:eastAsia="仿宋_GB2312" w:cs="仿宋_GB2312"/>
          <w:color w:val="auto"/>
          <w:sz w:val="32"/>
          <w:szCs w:val="32"/>
        </w:rPr>
        <w:t>再保险业务、</w:t>
      </w:r>
      <w:r>
        <w:rPr>
          <w:rFonts w:hint="eastAsia" w:ascii="仿宋_GB2312" w:hAnsi="仿宋_GB2312" w:eastAsia="仿宋_GB2312" w:cs="仿宋_GB2312"/>
          <w:color w:val="auto"/>
          <w:sz w:val="32"/>
          <w:szCs w:val="32"/>
          <w:lang w:eastAsia="zh-CN"/>
        </w:rPr>
        <w:t>保险资管业务、</w:t>
      </w:r>
      <w:r>
        <w:rPr>
          <w:rFonts w:hint="eastAsia" w:ascii="仿宋_GB2312" w:hAnsi="仿宋_GB2312" w:eastAsia="仿宋_GB2312" w:cs="仿宋_GB2312"/>
          <w:color w:val="auto"/>
          <w:sz w:val="32"/>
          <w:szCs w:val="32"/>
        </w:rPr>
        <w:t>经办业务</w:t>
      </w:r>
      <w:r>
        <w:rPr>
          <w:rFonts w:hint="eastAsia" w:ascii="仿宋_GB2312" w:hAnsi="仿宋_GB2312" w:eastAsia="仿宋_GB2312" w:cs="仿宋_GB2312"/>
          <w:color w:val="auto"/>
          <w:sz w:val="32"/>
          <w:szCs w:val="32"/>
          <w:lang w:eastAsia="zh-CN"/>
        </w:rPr>
        <w:t>等的</w:t>
      </w:r>
      <w:r>
        <w:rPr>
          <w:rFonts w:hint="eastAsia" w:ascii="仿宋_GB2312" w:hAnsi="仿宋_GB2312" w:eastAsia="仿宋_GB2312" w:cs="仿宋_GB2312"/>
          <w:color w:val="auto"/>
          <w:sz w:val="32"/>
          <w:szCs w:val="32"/>
        </w:rPr>
        <w:t>开展情况。</w:t>
      </w:r>
    </w:p>
    <w:p w14:paraId="6D5FCDEE">
      <w:pPr>
        <w:keepNext w:val="0"/>
        <w:keepLines w:val="0"/>
        <w:pageBreakBefore w:val="0"/>
        <w:kinsoku/>
        <w:wordWrap/>
        <w:overflowPunct/>
        <w:topLinePunct w:val="0"/>
        <w:bidi w:val="0"/>
        <w:spacing w:after="0" w:line="600" w:lineRule="exact"/>
        <w:ind w:firstLine="640" w:firstLineChars="200"/>
        <w:textAlignment w:val="auto"/>
        <w:outlineLvl w:val="1"/>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统计指标及口径</w:t>
      </w:r>
    </w:p>
    <w:p w14:paraId="1A9FBE80">
      <w:pPr>
        <w:keepNext w:val="0"/>
        <w:keepLines w:val="0"/>
        <w:pageBreakBefore w:val="0"/>
        <w:kinsoku/>
        <w:wordWrap/>
        <w:overflowPunct/>
        <w:topLinePunct w:val="0"/>
        <w:bidi w:val="0"/>
        <w:spacing w:after="0" w:line="600" w:lineRule="exact"/>
        <w:ind w:firstLine="640" w:firstLineChars="200"/>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（一）通用统计指标及口径</w:t>
      </w:r>
    </w:p>
    <w:p w14:paraId="71B870F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[保费]</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指在统计期内保险</w:t>
      </w:r>
      <w:r>
        <w:rPr>
          <w:rFonts w:hint="eastAsia" w:ascii="仿宋_GB2312" w:hAnsi="仿宋_GB2312" w:eastAsia="仿宋_GB2312" w:cs="仿宋_GB2312"/>
          <w:color w:val="auto"/>
          <w:sz w:val="32"/>
          <w:szCs w:val="32"/>
          <w:lang w:val="en-US" w:eastAsia="zh-CN"/>
        </w:rPr>
        <w:t>公司根据保险合同（不含再保险合同）约定，</w:t>
      </w:r>
      <w:r>
        <w:rPr>
          <w:rFonts w:hint="eastAsia" w:ascii="仿宋_GB2312" w:hAnsi="仿宋_GB2312" w:eastAsia="仿宋_GB2312" w:cs="仿宋_GB2312"/>
          <w:b w:val="0"/>
          <w:bCs w:val="0"/>
          <w:color w:val="auto"/>
          <w:sz w:val="32"/>
          <w:szCs w:val="32"/>
          <w:lang w:val="en-US" w:eastAsia="zh-CN"/>
        </w:rPr>
        <w:t>向投保人实际收取的款项以及</w:t>
      </w:r>
      <w:r>
        <w:rPr>
          <w:rFonts w:hint="eastAsia" w:ascii="仿宋_GB2312" w:hAnsi="仿宋_GB2312" w:eastAsia="仿宋_GB2312" w:cs="仿宋_GB2312"/>
          <w:color w:val="auto"/>
          <w:sz w:val="32"/>
          <w:szCs w:val="32"/>
          <w:lang w:val="en-US" w:eastAsia="zh-CN"/>
        </w:rPr>
        <w:t>应收未收的款项，不含增值税及附加等税费。其中，</w:t>
      </w:r>
      <w:r>
        <w:rPr>
          <w:rFonts w:hint="eastAsia" w:ascii="仿宋_GB2312" w:hAnsi="仿宋_GB2312" w:eastAsia="仿宋_GB2312" w:cs="仿宋_GB2312"/>
          <w:b w:val="0"/>
          <w:bCs w:val="0"/>
          <w:color w:val="auto"/>
          <w:sz w:val="32"/>
          <w:szCs w:val="32"/>
        </w:rPr>
        <w:t>财产险公司</w:t>
      </w:r>
      <w:r>
        <w:rPr>
          <w:rFonts w:hint="eastAsia" w:ascii="仿宋_GB2312" w:hAnsi="仿宋_GB2312" w:eastAsia="仿宋_GB2312" w:cs="仿宋_GB2312"/>
          <w:b w:val="0"/>
          <w:bCs w:val="0"/>
          <w:color w:val="auto"/>
          <w:sz w:val="32"/>
          <w:szCs w:val="32"/>
          <w:lang w:val="en-US" w:eastAsia="zh-CN"/>
        </w:rPr>
        <w:t>的保险合同统计范围</w:t>
      </w:r>
      <w:r>
        <w:rPr>
          <w:rFonts w:hint="eastAsia" w:ascii="仿宋_GB2312" w:hAnsi="仿宋_GB2312" w:eastAsia="仿宋_GB2312" w:cs="仿宋_GB2312"/>
          <w:bCs/>
          <w:color w:val="auto"/>
          <w:sz w:val="32"/>
          <w:szCs w:val="32"/>
        </w:rPr>
        <w:t>按照</w:t>
      </w:r>
      <w:r>
        <w:rPr>
          <w:rFonts w:hint="eastAsia" w:ascii="仿宋_GB2312" w:hAnsi="仿宋_GB2312" w:eastAsia="仿宋_GB2312" w:cs="仿宋_GB2312"/>
          <w:color w:val="auto"/>
          <w:sz w:val="32"/>
          <w:szCs w:val="32"/>
        </w:rPr>
        <w:t>起保与核保时间孰晚原则确认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保费为考虑</w:t>
      </w:r>
      <w:r>
        <w:rPr>
          <w:rFonts w:hint="eastAsia" w:ascii="仿宋_GB2312" w:hAnsi="仿宋_GB2312" w:eastAsia="仿宋_GB2312" w:cs="仿宋_GB2312"/>
          <w:color w:val="auto"/>
          <w:sz w:val="32"/>
          <w:szCs w:val="32"/>
        </w:rPr>
        <w:t>批增、批减保费后的净额。</w:t>
      </w:r>
    </w:p>
    <w:p w14:paraId="463E68F0">
      <w:pPr>
        <w:keepNext w:val="0"/>
        <w:keepLines w:val="0"/>
        <w:pageBreakBefore w:val="0"/>
        <w:numPr>
          <w:ilvl w:val="0"/>
          <w:numId w:val="0"/>
        </w:numPr>
        <w:kinsoku/>
        <w:wordWrap/>
        <w:overflowPunct/>
        <w:topLinePunct w:val="0"/>
        <w:bidi w:val="0"/>
        <w:adjustRightInd w:val="0"/>
        <w:snapToGrid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本年新增</w:t>
      </w:r>
      <w:r>
        <w:rPr>
          <w:rFonts w:hint="eastAsia" w:ascii="仿宋_GB2312" w:hAnsi="仿宋_GB2312" w:eastAsia="仿宋_GB2312" w:cs="仿宋_GB2312"/>
          <w:b/>
          <w:bCs/>
          <w:color w:val="auto"/>
          <w:sz w:val="32"/>
          <w:szCs w:val="32"/>
        </w:rPr>
        <w:t>保险金额]</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指保险公司按照在统计期内</w:t>
      </w:r>
      <w:r>
        <w:rPr>
          <w:rFonts w:hint="eastAsia" w:ascii="仿宋_GB2312" w:hAnsi="仿宋_GB2312" w:eastAsia="仿宋_GB2312" w:cs="仿宋_GB2312"/>
          <w:color w:val="auto"/>
          <w:sz w:val="32"/>
          <w:szCs w:val="32"/>
          <w:lang w:val="en-US" w:eastAsia="zh-CN"/>
        </w:rPr>
        <w:t>签发的全部保险合同约定，在被保险人发生约定风险时，需</w:t>
      </w:r>
      <w:r>
        <w:rPr>
          <w:rFonts w:hint="eastAsia" w:ascii="仿宋_GB2312" w:hAnsi="仿宋_GB2312" w:eastAsia="仿宋_GB2312" w:cs="仿宋_GB2312"/>
          <w:color w:val="auto"/>
          <w:sz w:val="32"/>
          <w:szCs w:val="32"/>
        </w:rPr>
        <w:t>承担</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赔偿或者给付保险金责任的</w:t>
      </w:r>
      <w:r>
        <w:rPr>
          <w:rFonts w:hint="eastAsia" w:ascii="仿宋_GB2312" w:hAnsi="仿宋_GB2312" w:eastAsia="仿宋_GB2312" w:cs="仿宋_GB2312"/>
          <w:color w:val="auto"/>
          <w:sz w:val="32"/>
          <w:szCs w:val="32"/>
          <w:lang w:val="en-US" w:eastAsia="zh-CN"/>
        </w:rPr>
        <w:t>基本保额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包括批增批减的保险金额。其中，</w:t>
      </w:r>
      <w:r>
        <w:rPr>
          <w:rFonts w:hint="eastAsia" w:ascii="仿宋_GB2312" w:hAnsi="仿宋_GB2312" w:eastAsia="仿宋_GB2312" w:cs="仿宋_GB2312"/>
          <w:color w:val="auto"/>
          <w:sz w:val="32"/>
          <w:szCs w:val="32"/>
          <w:highlight w:val="none"/>
          <w:lang w:eastAsia="zh-CN"/>
        </w:rPr>
        <w:t>保障期限</w:t>
      </w:r>
      <w:r>
        <w:rPr>
          <w:rFonts w:hint="eastAsia" w:ascii="仿宋_GB2312" w:hAnsi="仿宋_GB2312" w:eastAsia="仿宋_GB2312" w:cs="仿宋_GB2312"/>
          <w:b/>
          <w:bCs/>
          <w:color w:val="auto"/>
          <w:sz w:val="32"/>
          <w:szCs w:val="32"/>
          <w:highlight w:val="none"/>
        </w:rPr>
        <w:t>[一年期以内]</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保险合同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[本年新增</w:t>
      </w:r>
      <w:r>
        <w:rPr>
          <w:rFonts w:hint="eastAsia" w:ascii="仿宋_GB2312" w:hAnsi="仿宋_GB2312" w:eastAsia="仿宋_GB2312" w:cs="仿宋_GB2312"/>
          <w:b/>
          <w:bCs/>
          <w:color w:val="auto"/>
          <w:sz w:val="32"/>
          <w:szCs w:val="32"/>
          <w:highlight w:val="none"/>
        </w:rPr>
        <w:t>保险金额</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val="en-US" w:eastAsia="zh-CN"/>
        </w:rPr>
        <w:t>保险金额×</w:t>
      </w:r>
      <w:r>
        <w:rPr>
          <w:rFonts w:hint="eastAsia" w:ascii="仿宋_GB2312" w:hAnsi="仿宋_GB2312" w:eastAsia="仿宋_GB2312" w:cs="仿宋_GB2312"/>
          <w:color w:val="auto"/>
          <w:sz w:val="32"/>
          <w:szCs w:val="32"/>
          <w:highlight w:val="none"/>
        </w:rPr>
        <w:t>保险期</w:t>
      </w:r>
      <w:r>
        <w:rPr>
          <w:rFonts w:hint="eastAsia" w:ascii="仿宋_GB2312" w:hAnsi="仿宋_GB2312" w:eastAsia="仿宋_GB2312" w:cs="仿宋_GB2312"/>
          <w:color w:val="auto"/>
          <w:sz w:val="32"/>
          <w:szCs w:val="32"/>
          <w:highlight w:val="none"/>
          <w:lang w:val="en-US" w:eastAsia="zh-CN"/>
        </w:rPr>
        <w:t>限/</w:t>
      </w:r>
      <w:r>
        <w:rPr>
          <w:rFonts w:hint="eastAsia" w:ascii="仿宋_GB2312" w:hAnsi="仿宋_GB2312" w:eastAsia="仿宋_GB2312" w:cs="仿宋_GB2312"/>
          <w:color w:val="auto"/>
          <w:sz w:val="32"/>
          <w:szCs w:val="32"/>
          <w:highlight w:val="none"/>
        </w:rPr>
        <w:t>365</w:t>
      </w:r>
      <w:r>
        <w:rPr>
          <w:rFonts w:hint="eastAsia" w:ascii="仿宋_GB2312" w:hAnsi="仿宋_GB2312" w:eastAsia="仿宋_GB2312" w:cs="仿宋_GB2312"/>
          <w:color w:val="auto"/>
          <w:sz w:val="32"/>
          <w:szCs w:val="32"/>
          <w:highlight w:val="none"/>
          <w:lang w:val="en-US" w:eastAsia="zh-CN"/>
        </w:rPr>
        <w:t>天</w:t>
      </w:r>
      <w:r>
        <w:rPr>
          <w:rFonts w:hint="eastAsia" w:ascii="仿宋_GB2312" w:hAnsi="仿宋_GB2312" w:eastAsia="仿宋_GB2312" w:cs="仿宋_GB2312"/>
          <w:color w:val="auto"/>
          <w:sz w:val="32"/>
          <w:szCs w:val="32"/>
          <w:highlight w:val="none"/>
        </w:rPr>
        <w:t>”计算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对于共保业务的保险金额，</w:t>
      </w:r>
      <w:r>
        <w:rPr>
          <w:rFonts w:hint="eastAsia" w:ascii="仿宋_GB2312" w:hAnsi="仿宋_GB2312" w:eastAsia="仿宋_GB2312" w:cs="仿宋_GB2312"/>
          <w:color w:val="auto"/>
          <w:sz w:val="32"/>
          <w:szCs w:val="32"/>
          <w:lang w:val="en-US" w:eastAsia="zh-CN"/>
        </w:rPr>
        <w:t>按</w:t>
      </w:r>
      <w:r>
        <w:rPr>
          <w:rFonts w:hint="eastAsia" w:ascii="仿宋_GB2312" w:hAnsi="仿宋_GB2312" w:eastAsia="仿宋_GB2312" w:cs="仿宋_GB2312"/>
          <w:color w:val="auto"/>
          <w:sz w:val="32"/>
          <w:szCs w:val="32"/>
        </w:rPr>
        <w:t>共保比例折算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对于保险金额</w:t>
      </w:r>
      <w:r>
        <w:rPr>
          <w:rFonts w:hint="eastAsia" w:ascii="仿宋_GB2312" w:hAnsi="仿宋_GB2312" w:eastAsia="仿宋_GB2312" w:cs="仿宋_GB2312"/>
          <w:color w:val="auto"/>
          <w:sz w:val="32"/>
          <w:szCs w:val="32"/>
        </w:rPr>
        <w:t>无上限</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业务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若</w:t>
      </w:r>
      <w:r>
        <w:rPr>
          <w:rFonts w:hint="eastAsia" w:ascii="仿宋_GB2312" w:hAnsi="仿宋_GB2312" w:eastAsia="仿宋_GB2312" w:cs="仿宋_GB2312"/>
          <w:color w:val="auto"/>
          <w:sz w:val="32"/>
          <w:szCs w:val="32"/>
        </w:rPr>
        <w:t>当地政府等合作方有明确建议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则</w:t>
      </w:r>
      <w:r>
        <w:rPr>
          <w:rFonts w:hint="eastAsia" w:ascii="仿宋_GB2312" w:hAnsi="仿宋_GB2312" w:eastAsia="仿宋_GB2312" w:cs="仿宋_GB2312"/>
          <w:color w:val="auto"/>
          <w:sz w:val="32"/>
          <w:szCs w:val="32"/>
          <w:lang w:val="en-US" w:eastAsia="zh-CN"/>
        </w:rPr>
        <w:t>按此填报，否则</w:t>
      </w:r>
      <w:r>
        <w:rPr>
          <w:rFonts w:hint="eastAsia" w:ascii="仿宋_GB2312" w:hAnsi="仿宋_GB2312" w:eastAsia="仿宋_GB2312" w:cs="仿宋_GB2312"/>
          <w:color w:val="auto"/>
          <w:sz w:val="32"/>
          <w:szCs w:val="32"/>
        </w:rPr>
        <w:t>可</w:t>
      </w:r>
      <w:r>
        <w:rPr>
          <w:rFonts w:hint="eastAsia" w:ascii="仿宋_GB2312" w:hAnsi="仿宋_GB2312" w:eastAsia="仿宋_GB2312" w:cs="仿宋_GB2312"/>
          <w:color w:val="auto"/>
          <w:sz w:val="32"/>
          <w:szCs w:val="32"/>
          <w:lang w:val="en-US" w:eastAsia="zh-CN"/>
        </w:rPr>
        <w:t>参考有上限的</w:t>
      </w:r>
      <w:r>
        <w:rPr>
          <w:rFonts w:hint="eastAsia" w:ascii="仿宋_GB2312" w:hAnsi="仿宋_GB2312" w:eastAsia="仿宋_GB2312" w:cs="仿宋_GB2312"/>
          <w:color w:val="auto"/>
          <w:sz w:val="32"/>
          <w:szCs w:val="32"/>
        </w:rPr>
        <w:t>同类业务人均</w:t>
      </w:r>
      <w:r>
        <w:rPr>
          <w:rFonts w:hint="eastAsia" w:ascii="仿宋_GB2312" w:hAnsi="仿宋_GB2312" w:eastAsia="仿宋_GB2312" w:cs="仿宋_GB2312"/>
          <w:color w:val="auto"/>
          <w:sz w:val="32"/>
          <w:szCs w:val="32"/>
          <w:lang w:val="en-US" w:eastAsia="zh-CN"/>
        </w:rPr>
        <w:t>保险金额等</w:t>
      </w:r>
      <w:r>
        <w:rPr>
          <w:rFonts w:hint="eastAsia" w:ascii="仿宋_GB2312" w:hAnsi="仿宋_GB2312" w:eastAsia="仿宋_GB2312" w:cs="仿宋_GB2312"/>
          <w:color w:val="auto"/>
          <w:sz w:val="32"/>
          <w:szCs w:val="32"/>
        </w:rPr>
        <w:t>合理方法</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估算</w:t>
      </w:r>
      <w:r>
        <w:rPr>
          <w:rFonts w:hint="eastAsia" w:ascii="仿宋_GB2312" w:hAnsi="仿宋_GB2312" w:eastAsia="仿宋_GB2312" w:cs="仿宋_GB2312"/>
          <w:color w:val="auto"/>
          <w:sz w:val="32"/>
          <w:szCs w:val="32"/>
          <w:lang w:eastAsia="zh-CN"/>
        </w:rPr>
        <w:t>。</w:t>
      </w:r>
    </w:p>
    <w:p w14:paraId="489AAF2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[期末有效保险金额]</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指保险公司按照统计期末全部有效的保险合同，</w:t>
      </w:r>
      <w:r>
        <w:rPr>
          <w:rFonts w:hint="eastAsia" w:ascii="仿宋_GB2312" w:hAnsi="仿宋_GB2312" w:eastAsia="仿宋_GB2312" w:cs="仿宋_GB2312"/>
          <w:color w:val="auto"/>
          <w:sz w:val="32"/>
          <w:szCs w:val="32"/>
          <w:lang w:val="en-US" w:eastAsia="zh-CN"/>
        </w:rPr>
        <w:t>在被保险人发生约定风险时，需</w:t>
      </w:r>
      <w:r>
        <w:rPr>
          <w:rFonts w:hint="eastAsia" w:ascii="仿宋_GB2312" w:hAnsi="仿宋_GB2312" w:eastAsia="仿宋_GB2312" w:cs="仿宋_GB2312"/>
          <w:color w:val="auto"/>
          <w:sz w:val="32"/>
          <w:szCs w:val="32"/>
        </w:rPr>
        <w:t>承担</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赔偿或者给付保险金责任的</w:t>
      </w:r>
      <w:r>
        <w:rPr>
          <w:rFonts w:hint="eastAsia" w:ascii="仿宋_GB2312" w:hAnsi="仿宋_GB2312" w:eastAsia="仿宋_GB2312" w:cs="仿宋_GB2312"/>
          <w:color w:val="auto"/>
          <w:sz w:val="32"/>
          <w:szCs w:val="32"/>
          <w:lang w:val="en-US" w:eastAsia="zh-CN"/>
        </w:rPr>
        <w:t>基本保额</w:t>
      </w:r>
      <w:r>
        <w:rPr>
          <w:rFonts w:hint="eastAsia" w:ascii="仿宋_GB2312" w:hAnsi="仿宋_GB2312" w:eastAsia="仿宋_GB2312" w:cs="仿宋_GB2312"/>
          <w:b w:val="0"/>
          <w:bCs/>
          <w:color w:val="auto"/>
          <w:sz w:val="32"/>
          <w:szCs w:val="32"/>
        </w:rPr>
        <w:t>。</w:t>
      </w:r>
    </w:p>
    <w:p w14:paraId="7C443D8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本年新增保单数量</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指保险公司在统计期内</w:t>
      </w:r>
      <w:r>
        <w:rPr>
          <w:rFonts w:hint="eastAsia" w:ascii="仿宋_GB2312" w:hAnsi="仿宋_GB2312" w:eastAsia="仿宋_GB2312" w:cs="仿宋_GB2312"/>
          <w:color w:val="auto"/>
          <w:sz w:val="32"/>
          <w:szCs w:val="32"/>
          <w:lang w:val="en-US" w:eastAsia="zh-CN"/>
        </w:rPr>
        <w:t>签发的全部保险合同数量。对于预约货运险、退货运费险、团体保单等保险合同，若有多个子保单，按子保单数量进行填报。</w:t>
      </w:r>
      <w:r>
        <w:rPr>
          <w:rFonts w:hint="eastAsia" w:ascii="仿宋_GB2312" w:hAnsi="仿宋_GB2312" w:eastAsia="仿宋_GB2312" w:cs="仿宋_GB2312"/>
          <w:color w:val="auto"/>
          <w:sz w:val="32"/>
          <w:szCs w:val="32"/>
          <w:highlight w:val="none"/>
        </w:rPr>
        <w:t>对于共保业务，</w:t>
      </w:r>
      <w:r>
        <w:rPr>
          <w:rFonts w:hint="eastAsia" w:ascii="仿宋_GB2312" w:hAnsi="仿宋_GB2312" w:eastAsia="仿宋_GB2312" w:cs="仿宋_GB2312"/>
          <w:color w:val="auto"/>
          <w:sz w:val="32"/>
          <w:szCs w:val="32"/>
          <w:highlight w:val="none"/>
          <w:lang w:val="en-US" w:eastAsia="zh-CN"/>
        </w:rPr>
        <w:t>各共保方均需填报。</w:t>
      </w:r>
    </w:p>
    <w:p w14:paraId="0E88646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[期末有效保单</w:t>
      </w:r>
      <w:r>
        <w:rPr>
          <w:rFonts w:hint="eastAsia" w:ascii="仿宋_GB2312" w:hAnsi="仿宋_GB2312" w:eastAsia="仿宋_GB2312" w:cs="仿宋_GB2312"/>
          <w:b/>
          <w:bCs/>
          <w:color w:val="auto"/>
          <w:sz w:val="32"/>
          <w:szCs w:val="32"/>
          <w:lang w:val="en-US" w:eastAsia="zh-CN"/>
        </w:rPr>
        <w:t>数量</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指保险公司在统计期末全部有效</w:t>
      </w:r>
      <w:r>
        <w:rPr>
          <w:rFonts w:hint="eastAsia" w:ascii="仿宋_GB2312" w:hAnsi="仿宋_GB2312" w:eastAsia="仿宋_GB2312" w:cs="仿宋_GB2312"/>
          <w:color w:val="auto"/>
          <w:sz w:val="32"/>
          <w:szCs w:val="32"/>
          <w:lang w:val="en-US" w:eastAsia="zh-CN"/>
        </w:rPr>
        <w:t>的保险合同数量。</w:t>
      </w:r>
    </w:p>
    <w:p w14:paraId="16933907">
      <w:pPr>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color w:val="auto"/>
          <w:sz w:val="32"/>
          <w:szCs w:val="32"/>
          <w:highlight w:val="yellow"/>
          <w:lang w:val="en-US"/>
        </w:rPr>
      </w:pPr>
      <w:r>
        <w:rPr>
          <w:rFonts w:hint="eastAsia" w:ascii="仿宋_GB2312" w:hAnsi="仿宋_GB2312" w:eastAsia="仿宋_GB2312" w:cs="仿宋_GB2312"/>
          <w:b/>
          <w:bCs/>
          <w:color w:val="auto"/>
          <w:sz w:val="32"/>
          <w:szCs w:val="32"/>
          <w:highlight w:val="none"/>
        </w:rPr>
        <w:t>[赔付金额]</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color w:val="auto"/>
          <w:sz w:val="32"/>
          <w:szCs w:val="32"/>
          <w:highlight w:val="none"/>
          <w:lang w:val="en-US" w:eastAsia="zh-CN"/>
        </w:rPr>
        <w:t>指保险公司</w:t>
      </w:r>
      <w:r>
        <w:rPr>
          <w:rFonts w:hint="eastAsia" w:ascii="仿宋_GB2312" w:hAnsi="仿宋_GB2312" w:eastAsia="仿宋_GB2312" w:cs="仿宋_GB2312"/>
          <w:b w:val="0"/>
          <w:bCs/>
          <w:color w:val="auto"/>
          <w:sz w:val="32"/>
          <w:szCs w:val="32"/>
          <w:highlight w:val="none"/>
        </w:rPr>
        <w:t>在统计期内按照</w:t>
      </w:r>
      <w:r>
        <w:rPr>
          <w:rFonts w:hint="eastAsia" w:ascii="仿宋_GB2312" w:hAnsi="仿宋_GB2312" w:eastAsia="仿宋_GB2312" w:cs="仿宋_GB2312"/>
          <w:b w:val="0"/>
          <w:bCs/>
          <w:color w:val="auto"/>
          <w:sz w:val="32"/>
          <w:szCs w:val="32"/>
          <w:highlight w:val="none"/>
          <w:lang w:val="en-US" w:eastAsia="zh-CN"/>
        </w:rPr>
        <w:t>保险合同</w:t>
      </w:r>
      <w:r>
        <w:rPr>
          <w:rFonts w:hint="eastAsia" w:ascii="仿宋_GB2312" w:hAnsi="仿宋_GB2312" w:eastAsia="仿宋_GB2312" w:cs="仿宋_GB2312"/>
          <w:b w:val="0"/>
          <w:bCs/>
          <w:color w:val="auto"/>
          <w:sz w:val="32"/>
          <w:szCs w:val="32"/>
          <w:highlight w:val="none"/>
        </w:rPr>
        <w:t>约定</w:t>
      </w:r>
      <w:r>
        <w:rPr>
          <w:rFonts w:hint="eastAsia" w:ascii="仿宋_GB2312" w:hAnsi="仿宋_GB2312" w:eastAsia="仿宋_GB2312" w:cs="仿宋_GB2312"/>
          <w:b w:val="0"/>
          <w:bCs/>
          <w:color w:val="auto"/>
          <w:sz w:val="32"/>
          <w:szCs w:val="32"/>
          <w:highlight w:val="none"/>
          <w:lang w:val="en-US" w:eastAsia="zh-CN"/>
        </w:rPr>
        <w:t>需</w:t>
      </w:r>
      <w:r>
        <w:rPr>
          <w:rFonts w:hint="eastAsia" w:ascii="仿宋_GB2312" w:hAnsi="仿宋_GB2312" w:eastAsia="仿宋_GB2312" w:cs="仿宋_GB2312"/>
          <w:b w:val="0"/>
          <w:bCs/>
          <w:color w:val="auto"/>
          <w:sz w:val="32"/>
          <w:szCs w:val="32"/>
          <w:highlight w:val="none"/>
        </w:rPr>
        <w:t>支付的</w:t>
      </w:r>
      <w:r>
        <w:rPr>
          <w:rFonts w:hint="eastAsia" w:ascii="仿宋_GB2312" w:hAnsi="仿宋_GB2312" w:eastAsia="仿宋_GB2312" w:cs="仿宋_GB2312"/>
          <w:b w:val="0"/>
          <w:bCs/>
          <w:color w:val="auto"/>
          <w:sz w:val="32"/>
          <w:szCs w:val="32"/>
          <w:highlight w:val="none"/>
          <w:lang w:val="en-US" w:eastAsia="zh-CN"/>
        </w:rPr>
        <w:t>赔款和给付的款项，以及在理赔过程中发生的相关费用。对于赔款，</w:t>
      </w:r>
      <w:r>
        <w:rPr>
          <w:rFonts w:hint="eastAsia" w:ascii="仿宋_GB2312" w:hAnsi="仿宋_GB2312" w:eastAsia="仿宋_GB2312" w:cs="仿宋_GB2312"/>
          <w:b w:val="0"/>
          <w:bCs w:val="0"/>
          <w:color w:val="auto"/>
          <w:sz w:val="32"/>
          <w:szCs w:val="32"/>
          <w:lang w:val="en-US" w:eastAsia="zh-CN"/>
        </w:rPr>
        <w:t>包括已</w:t>
      </w:r>
      <w:r>
        <w:rPr>
          <w:rFonts w:hint="eastAsia" w:ascii="仿宋_GB2312" w:hAnsi="仿宋_GB2312" w:eastAsia="仿宋_GB2312" w:cs="仿宋_GB2312"/>
          <w:b w:val="0"/>
          <w:bCs w:val="0"/>
          <w:color w:val="auto"/>
          <w:sz w:val="32"/>
          <w:szCs w:val="32"/>
        </w:rPr>
        <w:t>核赔</w:t>
      </w:r>
      <w:r>
        <w:rPr>
          <w:rFonts w:hint="eastAsia" w:ascii="仿宋_GB2312" w:hAnsi="仿宋_GB2312" w:eastAsia="仿宋_GB2312" w:cs="仿宋_GB2312"/>
          <w:b w:val="0"/>
          <w:bCs w:val="0"/>
          <w:color w:val="auto"/>
          <w:sz w:val="32"/>
          <w:szCs w:val="32"/>
          <w:lang w:val="en-US" w:eastAsia="zh-CN"/>
        </w:rPr>
        <w:t>但尚未支付的赔款</w:t>
      </w:r>
      <w:r>
        <w:rPr>
          <w:rFonts w:hint="eastAsia" w:ascii="仿宋_GB2312" w:hAnsi="仿宋_GB2312" w:eastAsia="仿宋_GB2312" w:cs="仿宋_GB2312"/>
          <w:b w:val="0"/>
          <w:bCs w:val="0"/>
          <w:color w:val="auto"/>
          <w:sz w:val="32"/>
          <w:szCs w:val="32"/>
        </w:rPr>
        <w:t>。</w:t>
      </w:r>
    </w:p>
    <w:p w14:paraId="6AD94E2E">
      <w:pPr>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[赔付金额</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赔款]</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bCs/>
          <w:color w:val="auto"/>
          <w:sz w:val="32"/>
          <w:szCs w:val="32"/>
          <w:lang w:val="en-US" w:eastAsia="zh-CN"/>
        </w:rPr>
        <w:t>[赔付金额]</w:t>
      </w:r>
      <w:r>
        <w:rPr>
          <w:rFonts w:hint="eastAsia" w:ascii="仿宋_GB2312" w:hAnsi="仿宋_GB2312" w:eastAsia="仿宋_GB2312" w:cs="仿宋_GB2312"/>
          <w:b w:val="0"/>
          <w:bCs w:val="0"/>
          <w:color w:val="auto"/>
          <w:sz w:val="32"/>
          <w:szCs w:val="32"/>
          <w:lang w:val="en-US" w:eastAsia="zh-CN"/>
        </w:rPr>
        <w:t>的下一级统计指标，指保险公司</w:t>
      </w:r>
      <w:r>
        <w:rPr>
          <w:rFonts w:hint="eastAsia" w:ascii="仿宋_GB2312" w:hAnsi="仿宋_GB2312" w:eastAsia="仿宋_GB2312" w:cs="仿宋_GB2312"/>
          <w:b w:val="0"/>
          <w:bCs w:val="0"/>
          <w:color w:val="auto"/>
          <w:sz w:val="32"/>
          <w:szCs w:val="32"/>
        </w:rPr>
        <w:t>在统计期内</w:t>
      </w:r>
      <w:r>
        <w:rPr>
          <w:rFonts w:hint="eastAsia" w:ascii="仿宋_GB2312" w:hAnsi="仿宋_GB2312" w:eastAsia="仿宋_GB2312" w:cs="仿宋_GB2312"/>
          <w:b w:val="0"/>
          <w:bCs w:val="0"/>
          <w:color w:val="auto"/>
          <w:sz w:val="32"/>
          <w:szCs w:val="32"/>
          <w:lang w:val="en-US" w:eastAsia="zh-CN"/>
        </w:rPr>
        <w:t>按照保险合同</w:t>
      </w:r>
      <w:r>
        <w:rPr>
          <w:rFonts w:hint="eastAsia" w:ascii="仿宋_GB2312" w:hAnsi="仿宋_GB2312" w:eastAsia="仿宋_GB2312" w:cs="仿宋_GB2312"/>
          <w:b w:val="0"/>
          <w:bCs w:val="0"/>
          <w:color w:val="auto"/>
          <w:sz w:val="32"/>
          <w:szCs w:val="32"/>
        </w:rPr>
        <w:t>约定</w:t>
      </w:r>
      <w:r>
        <w:rPr>
          <w:rFonts w:hint="eastAsia" w:ascii="仿宋_GB2312" w:hAnsi="仿宋_GB2312" w:eastAsia="仿宋_GB2312" w:cs="仿宋_GB2312"/>
          <w:b w:val="0"/>
          <w:bCs w:val="0"/>
          <w:color w:val="auto"/>
          <w:sz w:val="32"/>
          <w:szCs w:val="32"/>
          <w:lang w:val="en-US" w:eastAsia="zh-CN"/>
        </w:rPr>
        <w:t>需支付的赔款金额，包括已</w:t>
      </w:r>
      <w:r>
        <w:rPr>
          <w:rFonts w:hint="eastAsia" w:ascii="仿宋_GB2312" w:hAnsi="仿宋_GB2312" w:eastAsia="仿宋_GB2312" w:cs="仿宋_GB2312"/>
          <w:b w:val="0"/>
          <w:bCs w:val="0"/>
          <w:color w:val="auto"/>
          <w:sz w:val="32"/>
          <w:szCs w:val="32"/>
        </w:rPr>
        <w:t>核赔</w:t>
      </w:r>
      <w:r>
        <w:rPr>
          <w:rFonts w:hint="eastAsia" w:ascii="仿宋_GB2312" w:hAnsi="仿宋_GB2312" w:eastAsia="仿宋_GB2312" w:cs="仿宋_GB2312"/>
          <w:b w:val="0"/>
          <w:bCs w:val="0"/>
          <w:color w:val="auto"/>
          <w:sz w:val="32"/>
          <w:szCs w:val="32"/>
          <w:lang w:val="en-US" w:eastAsia="zh-CN"/>
        </w:rPr>
        <w:t>但尚未支付的赔款</w:t>
      </w:r>
      <w:r>
        <w:rPr>
          <w:rFonts w:hint="eastAsia" w:ascii="仿宋_GB2312" w:hAnsi="仿宋_GB2312" w:eastAsia="仿宋_GB2312" w:cs="仿宋_GB2312"/>
          <w:b w:val="0"/>
          <w:bCs w:val="0"/>
          <w:color w:val="auto"/>
          <w:sz w:val="32"/>
          <w:szCs w:val="32"/>
        </w:rPr>
        <w:t>。</w:t>
      </w:r>
    </w:p>
    <w:p w14:paraId="54DB803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[赔付金额-满期给付]</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bCs/>
          <w:color w:val="auto"/>
          <w:sz w:val="32"/>
          <w:szCs w:val="32"/>
          <w:lang w:val="en-US" w:eastAsia="zh-CN"/>
        </w:rPr>
        <w:t>[赔付金额]</w:t>
      </w:r>
      <w:r>
        <w:rPr>
          <w:rFonts w:hint="eastAsia" w:ascii="仿宋_GB2312" w:hAnsi="仿宋_GB2312" w:eastAsia="仿宋_GB2312" w:cs="仿宋_GB2312"/>
          <w:b w:val="0"/>
          <w:bCs w:val="0"/>
          <w:color w:val="auto"/>
          <w:sz w:val="32"/>
          <w:szCs w:val="32"/>
          <w:lang w:val="en-US" w:eastAsia="zh-CN"/>
        </w:rPr>
        <w:t>的下一级统计指标，指人身险公司</w:t>
      </w:r>
      <w:r>
        <w:rPr>
          <w:rFonts w:hint="eastAsia" w:ascii="仿宋_GB2312" w:hAnsi="仿宋_GB2312" w:eastAsia="仿宋_GB2312" w:cs="仿宋_GB2312"/>
          <w:color w:val="auto"/>
          <w:sz w:val="32"/>
          <w:szCs w:val="32"/>
        </w:rPr>
        <w:t>在统计期内</w:t>
      </w:r>
      <w:r>
        <w:rPr>
          <w:rFonts w:hint="eastAsia" w:ascii="仿宋_GB2312" w:hAnsi="仿宋_GB2312" w:eastAsia="仿宋_GB2312" w:cs="仿宋_GB2312"/>
          <w:color w:val="auto"/>
          <w:sz w:val="32"/>
          <w:szCs w:val="32"/>
          <w:lang w:val="en-US" w:eastAsia="zh-CN"/>
        </w:rPr>
        <w:t>按照保险合同约定，</w:t>
      </w:r>
      <w:r>
        <w:rPr>
          <w:rFonts w:hint="eastAsia" w:ascii="仿宋_GB2312" w:hAnsi="仿宋_GB2312" w:eastAsia="仿宋_GB2312" w:cs="仿宋_GB2312"/>
          <w:color w:val="auto"/>
          <w:sz w:val="32"/>
          <w:szCs w:val="32"/>
        </w:rPr>
        <w:t>因被保险人生存至保险期满</w:t>
      </w:r>
      <w:r>
        <w:rPr>
          <w:rFonts w:hint="eastAsia" w:ascii="仿宋_GB2312" w:hAnsi="仿宋_GB2312" w:eastAsia="仿宋_GB2312" w:cs="仿宋_GB2312"/>
          <w:color w:val="auto"/>
          <w:sz w:val="32"/>
          <w:szCs w:val="32"/>
          <w:lang w:val="en-US" w:eastAsia="zh-CN"/>
        </w:rPr>
        <w:t>需给付</w:t>
      </w:r>
      <w:r>
        <w:rPr>
          <w:rFonts w:hint="eastAsia" w:ascii="仿宋_GB2312" w:hAnsi="仿宋_GB2312" w:eastAsia="仿宋_GB2312" w:cs="仿宋_GB2312"/>
          <w:color w:val="auto"/>
          <w:sz w:val="32"/>
          <w:szCs w:val="32"/>
        </w:rPr>
        <w:t>的满期保险金。</w:t>
      </w:r>
    </w:p>
    <w:p w14:paraId="5EFD4F2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[赔付金额-年金给付]</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bCs/>
          <w:color w:val="auto"/>
          <w:sz w:val="32"/>
          <w:szCs w:val="32"/>
          <w:lang w:val="en-US" w:eastAsia="zh-CN"/>
        </w:rPr>
        <w:t>[赔付金额]</w:t>
      </w:r>
      <w:r>
        <w:rPr>
          <w:rFonts w:hint="eastAsia" w:ascii="仿宋_GB2312" w:hAnsi="仿宋_GB2312" w:eastAsia="仿宋_GB2312" w:cs="仿宋_GB2312"/>
          <w:b w:val="0"/>
          <w:bCs w:val="0"/>
          <w:color w:val="auto"/>
          <w:sz w:val="32"/>
          <w:szCs w:val="32"/>
          <w:lang w:val="en-US" w:eastAsia="zh-CN"/>
        </w:rPr>
        <w:t>的下一级统计指标，指人身险公司</w:t>
      </w:r>
      <w:r>
        <w:rPr>
          <w:rFonts w:hint="eastAsia" w:ascii="仿宋_GB2312" w:hAnsi="仿宋_GB2312" w:eastAsia="仿宋_GB2312" w:cs="仿宋_GB2312"/>
          <w:color w:val="auto"/>
          <w:sz w:val="32"/>
          <w:szCs w:val="32"/>
        </w:rPr>
        <w:t>在统计期内</w:t>
      </w:r>
      <w:r>
        <w:rPr>
          <w:rFonts w:hint="eastAsia" w:ascii="仿宋_GB2312" w:hAnsi="仿宋_GB2312" w:eastAsia="仿宋_GB2312" w:cs="仿宋_GB2312"/>
          <w:color w:val="auto"/>
          <w:sz w:val="32"/>
          <w:szCs w:val="32"/>
          <w:lang w:val="en-US" w:eastAsia="zh-CN"/>
        </w:rPr>
        <w:t>按照保险合同约定，</w:t>
      </w:r>
      <w:r>
        <w:rPr>
          <w:rFonts w:hint="eastAsia" w:ascii="仿宋_GB2312" w:hAnsi="仿宋_GB2312" w:eastAsia="仿宋_GB2312" w:cs="仿宋_GB2312"/>
          <w:color w:val="auto"/>
          <w:sz w:val="32"/>
          <w:szCs w:val="32"/>
        </w:rPr>
        <w:t>因被保险人生存至规定的年龄</w:t>
      </w:r>
      <w:r>
        <w:rPr>
          <w:rFonts w:hint="eastAsia" w:ascii="仿宋_GB2312" w:hAnsi="仿宋_GB2312" w:eastAsia="仿宋_GB2312" w:cs="仿宋_GB2312"/>
          <w:color w:val="auto"/>
          <w:sz w:val="32"/>
          <w:szCs w:val="32"/>
          <w:lang w:val="en-US" w:eastAsia="zh-CN"/>
        </w:rPr>
        <w:t>需给付</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年金</w:t>
      </w:r>
      <w:r>
        <w:rPr>
          <w:rFonts w:hint="eastAsia" w:ascii="仿宋_GB2312" w:hAnsi="仿宋_GB2312" w:eastAsia="仿宋_GB2312" w:cs="仿宋_GB2312"/>
          <w:b w:val="0"/>
          <w:bCs/>
          <w:color w:val="auto"/>
          <w:sz w:val="32"/>
          <w:szCs w:val="32"/>
          <w:highlight w:val="none"/>
        </w:rPr>
        <w:t>。</w:t>
      </w:r>
    </w:p>
    <w:p w14:paraId="0CE86DE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[赔付件数]</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指保险公司</w:t>
      </w:r>
      <w:r>
        <w:rPr>
          <w:rFonts w:hint="eastAsia" w:ascii="仿宋_GB2312" w:hAnsi="仿宋_GB2312" w:eastAsia="仿宋_GB2312" w:cs="仿宋_GB2312"/>
          <w:color w:val="auto"/>
          <w:sz w:val="32"/>
          <w:szCs w:val="32"/>
        </w:rPr>
        <w:t>在统计期内已核赔通过的</w:t>
      </w:r>
      <w:r>
        <w:rPr>
          <w:rFonts w:hint="eastAsia" w:ascii="仿宋_GB2312" w:hAnsi="仿宋_GB2312" w:eastAsia="仿宋_GB2312" w:cs="仿宋_GB2312"/>
          <w:color w:val="auto"/>
          <w:sz w:val="32"/>
          <w:szCs w:val="32"/>
          <w:lang w:val="en-US" w:eastAsia="zh-CN"/>
        </w:rPr>
        <w:t>赔案</w:t>
      </w:r>
      <w:r>
        <w:rPr>
          <w:rFonts w:hint="eastAsia" w:ascii="仿宋_GB2312" w:hAnsi="仿宋_GB2312" w:eastAsia="仿宋_GB2312" w:cs="仿宋_GB2312"/>
          <w:color w:val="auto"/>
          <w:sz w:val="32"/>
          <w:szCs w:val="32"/>
        </w:rPr>
        <w:t>数量</w:t>
      </w:r>
      <w:r>
        <w:rPr>
          <w:rFonts w:hint="eastAsia" w:ascii="仿宋_GB2312" w:hAnsi="仿宋_GB2312" w:eastAsia="仿宋_GB2312" w:cs="仿宋_GB2312"/>
          <w:color w:val="auto"/>
          <w:sz w:val="32"/>
          <w:szCs w:val="32"/>
          <w:lang w:val="en-US" w:eastAsia="zh-CN"/>
        </w:rPr>
        <w:t>以及需给付满期保险金和年金的保单数量</w:t>
      </w:r>
      <w:r>
        <w:rPr>
          <w:rFonts w:hint="eastAsia" w:ascii="仿宋_GB2312" w:hAnsi="仿宋_GB2312" w:eastAsia="仿宋_GB2312" w:cs="仿宋_GB2312"/>
          <w:color w:val="auto"/>
          <w:sz w:val="32"/>
          <w:szCs w:val="32"/>
          <w:lang w:eastAsia="zh-CN"/>
        </w:rPr>
        <w:t>。</w:t>
      </w:r>
    </w:p>
    <w:p w14:paraId="79F6A056">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[在售产品数量]</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highlight w:val="none"/>
          <w:lang w:val="en-US" w:eastAsia="zh-CN"/>
        </w:rPr>
        <w:t>指在</w:t>
      </w:r>
      <w:r>
        <w:rPr>
          <w:rFonts w:hint="eastAsia" w:ascii="仿宋_GB2312" w:hAnsi="仿宋_GB2312" w:eastAsia="仿宋_GB2312" w:cs="仿宋_GB2312"/>
          <w:color w:val="auto"/>
          <w:sz w:val="32"/>
          <w:szCs w:val="32"/>
          <w:highlight w:val="none"/>
        </w:rPr>
        <w:t>统计期末</w:t>
      </w:r>
      <w:r>
        <w:rPr>
          <w:rFonts w:hint="eastAsia" w:ascii="仿宋_GB2312" w:hAnsi="仿宋_GB2312" w:eastAsia="仿宋_GB2312" w:cs="仿宋_GB2312"/>
          <w:color w:val="auto"/>
          <w:sz w:val="32"/>
          <w:szCs w:val="32"/>
          <w:highlight w:val="none"/>
          <w:lang w:val="en-US" w:eastAsia="zh-CN"/>
        </w:rPr>
        <w:t>保险公司在市场上</w:t>
      </w:r>
      <w:r>
        <w:rPr>
          <w:rFonts w:hint="eastAsia" w:ascii="仿宋_GB2312" w:hAnsi="仿宋_GB2312" w:eastAsia="仿宋_GB2312" w:cs="仿宋_GB2312"/>
          <w:color w:val="auto"/>
          <w:sz w:val="32"/>
          <w:szCs w:val="32"/>
          <w:highlight w:val="none"/>
        </w:rPr>
        <w:t>销售</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产品</w:t>
      </w:r>
      <w:r>
        <w:rPr>
          <w:rFonts w:hint="eastAsia" w:ascii="仿宋_GB2312" w:hAnsi="仿宋_GB2312" w:eastAsia="仿宋_GB2312" w:cs="仿宋_GB2312"/>
          <w:color w:val="auto"/>
          <w:sz w:val="32"/>
          <w:szCs w:val="32"/>
          <w:highlight w:val="none"/>
          <w:lang w:val="en-US" w:eastAsia="zh-CN"/>
        </w:rPr>
        <w:t>或条款</w:t>
      </w:r>
      <w:r>
        <w:rPr>
          <w:rFonts w:hint="eastAsia" w:ascii="仿宋_GB2312" w:hAnsi="仿宋_GB2312" w:eastAsia="仿宋_GB2312" w:cs="仿宋_GB2312"/>
          <w:color w:val="auto"/>
          <w:sz w:val="32"/>
          <w:szCs w:val="32"/>
          <w:highlight w:val="none"/>
        </w:rPr>
        <w:t>数量。</w:t>
      </w:r>
      <w:r>
        <w:rPr>
          <w:rFonts w:hint="eastAsia" w:ascii="仿宋_GB2312" w:hAnsi="仿宋_GB2312" w:eastAsia="仿宋_GB2312" w:cs="仿宋_GB2312"/>
          <w:color w:val="auto"/>
          <w:sz w:val="32"/>
          <w:szCs w:val="32"/>
          <w:highlight w:val="none"/>
          <w:lang w:val="en-US" w:eastAsia="zh-CN"/>
        </w:rPr>
        <w:t>其中，财产险公司按照条款数量填报，人身险公司按照产品数量填报。</w:t>
      </w:r>
    </w:p>
    <w:p w14:paraId="3DEC30B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[手续费及佣金]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指保险公司</w:t>
      </w:r>
      <w:r>
        <w:rPr>
          <w:rFonts w:hint="eastAsia" w:ascii="仿宋_GB2312" w:hAnsi="仿宋_GB2312" w:eastAsia="仿宋_GB2312" w:cs="仿宋_GB2312"/>
          <w:b w:val="0"/>
          <w:bCs w:val="0"/>
          <w:color w:val="auto"/>
          <w:sz w:val="32"/>
          <w:szCs w:val="32"/>
        </w:rPr>
        <w:t>在统计期内</w:t>
      </w:r>
      <w:r>
        <w:rPr>
          <w:rFonts w:hint="eastAsia" w:ascii="仿宋_GB2312" w:hAnsi="仿宋_GB2312" w:eastAsia="仿宋_GB2312" w:cs="仿宋_GB2312"/>
          <w:b w:val="0"/>
          <w:bCs w:val="0"/>
          <w:color w:val="auto"/>
          <w:sz w:val="32"/>
          <w:szCs w:val="32"/>
          <w:lang w:val="en-US" w:eastAsia="zh-CN"/>
        </w:rPr>
        <w:t>因销售保险合同向保险中介机构和代理制营销员支付的酬金</w:t>
      </w:r>
      <w:r>
        <w:rPr>
          <w:rFonts w:hint="eastAsia" w:ascii="仿宋_GB2312" w:hAnsi="仿宋_GB2312" w:eastAsia="仿宋_GB2312" w:cs="仿宋_GB2312"/>
          <w:b w:val="0"/>
          <w:bCs w:val="0"/>
          <w:color w:val="auto"/>
          <w:sz w:val="32"/>
          <w:szCs w:val="32"/>
        </w:rPr>
        <w:t>。</w:t>
      </w:r>
    </w:p>
    <w:p w14:paraId="2F0FFDA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[手续费]</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手续费及佣金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的下一级统计指标，指保险公司</w:t>
      </w:r>
      <w:r>
        <w:rPr>
          <w:rFonts w:hint="eastAsia" w:ascii="仿宋_GB2312" w:hAnsi="仿宋_GB2312" w:eastAsia="仿宋_GB2312" w:cs="仿宋_GB2312"/>
          <w:b w:val="0"/>
          <w:bCs w:val="0"/>
          <w:color w:val="auto"/>
          <w:sz w:val="32"/>
          <w:szCs w:val="32"/>
        </w:rPr>
        <w:t>在统计期内</w:t>
      </w:r>
      <w:r>
        <w:rPr>
          <w:rFonts w:hint="eastAsia" w:ascii="仿宋_GB2312" w:hAnsi="仿宋_GB2312" w:eastAsia="仿宋_GB2312" w:cs="仿宋_GB2312"/>
          <w:b w:val="0"/>
          <w:bCs w:val="0"/>
          <w:color w:val="auto"/>
          <w:sz w:val="32"/>
          <w:szCs w:val="32"/>
          <w:lang w:val="en-US" w:eastAsia="zh-CN"/>
        </w:rPr>
        <w:t>因销售保险合同向保险中介机构支付的酬金</w:t>
      </w:r>
      <w:r>
        <w:rPr>
          <w:rFonts w:hint="eastAsia" w:ascii="仿宋_GB2312" w:hAnsi="仿宋_GB2312" w:eastAsia="仿宋_GB2312" w:cs="仿宋_GB2312"/>
          <w:b w:val="0"/>
          <w:bCs w:val="0"/>
          <w:color w:val="auto"/>
          <w:sz w:val="32"/>
          <w:szCs w:val="32"/>
        </w:rPr>
        <w:t>。</w:t>
      </w:r>
    </w:p>
    <w:p w14:paraId="1AE4BF8F">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[佣金]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手续费及佣金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的下一级统计指标，指</w:t>
      </w:r>
      <w:r>
        <w:rPr>
          <w:rFonts w:hint="eastAsia" w:ascii="仿宋_GB2312" w:hAnsi="仿宋_GB2312" w:eastAsia="仿宋_GB2312" w:cs="仿宋_GB2312"/>
          <w:color w:val="auto"/>
          <w:sz w:val="32"/>
          <w:szCs w:val="32"/>
        </w:rPr>
        <w:t>保险公司</w:t>
      </w:r>
      <w:r>
        <w:rPr>
          <w:rFonts w:hint="eastAsia" w:ascii="仿宋_GB2312" w:hAnsi="仿宋_GB2312" w:eastAsia="仿宋_GB2312" w:cs="仿宋_GB2312"/>
          <w:b w:val="0"/>
          <w:bCs w:val="0"/>
          <w:color w:val="auto"/>
          <w:sz w:val="32"/>
          <w:szCs w:val="32"/>
        </w:rPr>
        <w:t>在统计期内</w:t>
      </w:r>
      <w:r>
        <w:rPr>
          <w:rFonts w:hint="eastAsia" w:ascii="仿宋_GB2312" w:hAnsi="仿宋_GB2312" w:eastAsia="仿宋_GB2312" w:cs="仿宋_GB2312"/>
          <w:b w:val="0"/>
          <w:bCs w:val="0"/>
          <w:color w:val="auto"/>
          <w:sz w:val="32"/>
          <w:szCs w:val="32"/>
          <w:lang w:val="en-US" w:eastAsia="zh-CN"/>
        </w:rPr>
        <w:t>因销售保险合同</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b w:val="0"/>
          <w:bCs w:val="0"/>
          <w:color w:val="auto"/>
          <w:sz w:val="32"/>
          <w:szCs w:val="32"/>
          <w:lang w:val="en-US" w:eastAsia="zh-CN"/>
        </w:rPr>
        <w:t>代理制营销员</w:t>
      </w:r>
      <w:r>
        <w:rPr>
          <w:rFonts w:hint="eastAsia" w:ascii="仿宋_GB2312" w:hAnsi="仿宋_GB2312" w:eastAsia="仿宋_GB2312" w:cs="仿宋_GB2312"/>
          <w:color w:val="auto"/>
          <w:sz w:val="32"/>
          <w:szCs w:val="32"/>
        </w:rPr>
        <w:t>支付的</w:t>
      </w:r>
      <w:r>
        <w:rPr>
          <w:rFonts w:hint="eastAsia" w:ascii="仿宋_GB2312" w:hAnsi="仿宋_GB2312" w:eastAsia="仿宋_GB2312" w:cs="仿宋_GB2312"/>
          <w:b w:val="0"/>
          <w:bCs w:val="0"/>
          <w:color w:val="auto"/>
          <w:sz w:val="32"/>
          <w:szCs w:val="32"/>
          <w:lang w:val="en-US" w:eastAsia="zh-CN"/>
        </w:rPr>
        <w:t>酬金</w:t>
      </w:r>
      <w:r>
        <w:rPr>
          <w:rFonts w:hint="eastAsia" w:ascii="仿宋_GB2312" w:hAnsi="仿宋_GB2312" w:eastAsia="仿宋_GB2312" w:cs="仿宋_GB2312"/>
          <w:color w:val="auto"/>
          <w:sz w:val="32"/>
          <w:szCs w:val="32"/>
        </w:rPr>
        <w:t>。</w:t>
      </w:r>
    </w:p>
    <w:p w14:paraId="31C17E6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t>[业务及管理费]</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highlight w:val="none"/>
          <w:lang w:val="en-US" w:eastAsia="zh-CN"/>
        </w:rPr>
        <w:t>指</w:t>
      </w:r>
      <w:r>
        <w:rPr>
          <w:rFonts w:hint="eastAsia" w:ascii="仿宋_GB2312" w:hAnsi="仿宋_GB2312" w:eastAsia="仿宋_GB2312" w:cs="仿宋_GB2312"/>
          <w:b w:val="0"/>
          <w:bCs w:val="0"/>
          <w:color w:val="auto"/>
          <w:sz w:val="32"/>
          <w:szCs w:val="32"/>
          <w:lang w:val="en-US" w:eastAsia="zh-CN"/>
        </w:rPr>
        <w:t>保险公司</w:t>
      </w:r>
      <w:r>
        <w:rPr>
          <w:rFonts w:hint="eastAsia" w:ascii="仿宋_GB2312" w:hAnsi="仿宋_GB2312" w:eastAsia="仿宋_GB2312" w:cs="仿宋_GB2312"/>
          <w:color w:val="auto"/>
          <w:sz w:val="32"/>
          <w:szCs w:val="32"/>
        </w:rPr>
        <w:t>在统计期内</w:t>
      </w:r>
      <w:r>
        <w:rPr>
          <w:rFonts w:hint="eastAsia" w:ascii="仿宋_GB2312" w:hAnsi="仿宋_GB2312" w:eastAsia="仿宋_GB2312" w:cs="仿宋_GB2312"/>
          <w:color w:val="auto"/>
          <w:sz w:val="32"/>
          <w:szCs w:val="32"/>
          <w:lang w:val="en-US" w:eastAsia="zh-CN"/>
        </w:rPr>
        <w:t>日常</w:t>
      </w:r>
      <w:r>
        <w:rPr>
          <w:rFonts w:hint="eastAsia" w:ascii="仿宋_GB2312" w:hAnsi="仿宋_GB2312" w:eastAsia="仿宋_GB2312" w:cs="仿宋_GB2312"/>
          <w:color w:val="auto"/>
          <w:sz w:val="32"/>
          <w:szCs w:val="32"/>
        </w:rPr>
        <w:t>业务经营和管理过程中所发生的职工工资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职场租赁费、业务招待费等</w:t>
      </w:r>
      <w:r>
        <w:rPr>
          <w:rFonts w:hint="eastAsia" w:ascii="仿宋_GB2312" w:hAnsi="仿宋_GB2312" w:eastAsia="仿宋_GB2312" w:cs="仿宋_GB2312"/>
          <w:color w:val="auto"/>
          <w:sz w:val="32"/>
          <w:szCs w:val="32"/>
        </w:rPr>
        <w:t>各项费用。</w:t>
      </w:r>
      <w:r>
        <w:rPr>
          <w:rFonts w:hint="eastAsia" w:ascii="仿宋_GB2312" w:hAnsi="仿宋_GB2312" w:eastAsia="仿宋_GB2312" w:cs="仿宋_GB2312"/>
          <w:color w:val="auto"/>
          <w:sz w:val="32"/>
          <w:szCs w:val="32"/>
          <w:lang w:eastAsia="zh-CN"/>
        </w:rPr>
        <w:t>口径说明如下：</w:t>
      </w:r>
    </w:p>
    <w:p w14:paraId="0E4A7AEE">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highlight w:val="none"/>
        </w:rPr>
        <w:t>财产险公司</w:t>
      </w:r>
      <w:r>
        <w:rPr>
          <w:rFonts w:hint="eastAsia" w:ascii="仿宋_GB2312" w:hAnsi="仿宋_GB2312" w:eastAsia="仿宋_GB2312" w:cs="仿宋_GB2312"/>
          <w:b/>
          <w:bCs/>
          <w:color w:val="auto"/>
          <w:sz w:val="32"/>
          <w:szCs w:val="32"/>
          <w:highlight w:val="none"/>
          <w:lang w:val="en-US" w:eastAsia="zh-CN"/>
        </w:rPr>
        <w:t>应当按照以下原则将业务及管理</w:t>
      </w:r>
      <w:r>
        <w:rPr>
          <w:rFonts w:hint="eastAsia" w:ascii="仿宋_GB2312" w:hAnsi="仿宋_GB2312" w:eastAsia="仿宋_GB2312" w:cs="仿宋_GB2312"/>
          <w:b/>
          <w:bCs/>
          <w:color w:val="auto"/>
          <w:sz w:val="32"/>
          <w:szCs w:val="32"/>
          <w:highlight w:val="none"/>
        </w:rPr>
        <w:t>费</w:t>
      </w:r>
      <w:r>
        <w:rPr>
          <w:rFonts w:hint="eastAsia" w:ascii="仿宋_GB2312" w:hAnsi="仿宋_GB2312" w:eastAsia="仿宋_GB2312" w:cs="仿宋_GB2312"/>
          <w:b/>
          <w:bCs/>
          <w:color w:val="auto"/>
          <w:sz w:val="32"/>
          <w:szCs w:val="32"/>
          <w:highlight w:val="none"/>
          <w:lang w:val="en-US" w:eastAsia="zh-CN"/>
        </w:rPr>
        <w:t>分摊至不同险种及地区</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rPr>
        <w:t>确定分摊范围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保险公司</w:t>
      </w:r>
      <w:r>
        <w:rPr>
          <w:rFonts w:hint="eastAsia" w:ascii="仿宋_GB2312" w:hAnsi="仿宋_GB2312" w:eastAsia="仿宋_GB2312" w:cs="仿宋_GB2312"/>
          <w:color w:val="auto"/>
          <w:sz w:val="32"/>
          <w:szCs w:val="32"/>
          <w:lang w:val="en-US" w:eastAsia="zh-CN"/>
        </w:rPr>
        <w:t>应当持续加强业务及管理费的</w:t>
      </w:r>
      <w:r>
        <w:rPr>
          <w:rFonts w:hint="eastAsia" w:ascii="仿宋_GB2312" w:hAnsi="仿宋_GB2312" w:eastAsia="仿宋_GB2312" w:cs="仿宋_GB2312"/>
          <w:color w:val="auto"/>
          <w:sz w:val="32"/>
          <w:szCs w:val="32"/>
        </w:rPr>
        <w:t>精细化</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b w:val="0"/>
          <w:bCs w:val="0"/>
          <w:color w:val="auto"/>
          <w:sz w:val="32"/>
          <w:szCs w:val="32"/>
          <w:lang w:val="en-US" w:eastAsia="zh-CN"/>
        </w:rPr>
        <w:t>将其区分为</w:t>
      </w:r>
      <w:r>
        <w:rPr>
          <w:rFonts w:hint="eastAsia" w:ascii="仿宋_GB2312" w:hAnsi="仿宋_GB2312" w:eastAsia="仿宋_GB2312" w:cs="仿宋_GB2312"/>
          <w:color w:val="auto"/>
          <w:sz w:val="32"/>
          <w:szCs w:val="32"/>
        </w:rPr>
        <w:t>可直接归属的专属费用和需要分摊的共同费用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rPr>
        <w:t>划分费用类别</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将需要分摊的共同费用按照费用性质进行分类。</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rPr>
        <w:t>划分费用归属部门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将公司部门按照</w:t>
      </w:r>
      <w:r>
        <w:rPr>
          <w:rFonts w:hint="eastAsia" w:ascii="仿宋_GB2312" w:hAnsi="仿宋_GB2312" w:eastAsia="仿宋_GB2312" w:cs="仿宋_GB2312"/>
          <w:color w:val="auto"/>
          <w:sz w:val="32"/>
          <w:szCs w:val="32"/>
          <w:highlight w:val="none"/>
          <w:lang w:val="en-US" w:eastAsia="zh-CN"/>
        </w:rPr>
        <w:t>销售、承保、客服、后援等</w:t>
      </w:r>
      <w:r>
        <w:rPr>
          <w:rFonts w:hint="eastAsia" w:ascii="仿宋_GB2312" w:hAnsi="仿宋_GB2312" w:eastAsia="仿宋_GB2312" w:cs="仿宋_GB2312"/>
          <w:color w:val="auto"/>
          <w:sz w:val="32"/>
          <w:szCs w:val="32"/>
          <w:highlight w:val="none"/>
        </w:rPr>
        <w:t>职能进行分类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rPr>
        <w:t>根据费用类别及归属部门确认成本动因，并根据</w:t>
      </w:r>
      <w:r>
        <w:rPr>
          <w:rFonts w:hint="eastAsia" w:ascii="仿宋_GB2312" w:hAnsi="仿宋_GB2312" w:eastAsia="仿宋_GB2312" w:cs="仿宋_GB2312"/>
          <w:b w:val="0"/>
          <w:bCs w:val="0"/>
          <w:color w:val="auto"/>
          <w:sz w:val="32"/>
          <w:szCs w:val="32"/>
          <w:lang w:val="en-US" w:eastAsia="zh-CN"/>
        </w:rPr>
        <w:t>特殊</w:t>
      </w:r>
      <w:r>
        <w:rPr>
          <w:rFonts w:hint="eastAsia" w:ascii="仿宋_GB2312" w:hAnsi="仿宋_GB2312" w:eastAsia="仿宋_GB2312" w:cs="仿宋_GB2312"/>
          <w:b w:val="0"/>
          <w:bCs w:val="0"/>
          <w:color w:val="auto"/>
          <w:sz w:val="32"/>
          <w:szCs w:val="32"/>
        </w:rPr>
        <w:t>业务</w:t>
      </w:r>
      <w:r>
        <w:rPr>
          <w:rFonts w:hint="eastAsia" w:ascii="仿宋_GB2312" w:hAnsi="仿宋_GB2312" w:eastAsia="仿宋_GB2312" w:cs="仿宋_GB2312"/>
          <w:b w:val="0"/>
          <w:bCs w:val="0"/>
          <w:color w:val="auto"/>
          <w:sz w:val="32"/>
          <w:szCs w:val="32"/>
          <w:lang w:val="en-US" w:eastAsia="zh-CN"/>
        </w:rPr>
        <w:t>如互联网</w:t>
      </w:r>
      <w:r>
        <w:rPr>
          <w:rFonts w:hint="eastAsia" w:ascii="仿宋_GB2312" w:hAnsi="仿宋_GB2312" w:eastAsia="仿宋_GB2312" w:cs="仿宋_GB2312"/>
          <w:color w:val="auto"/>
          <w:sz w:val="32"/>
          <w:szCs w:val="32"/>
        </w:rPr>
        <w:t>保单或超大单均保费业务</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b w:val="0"/>
          <w:bCs w:val="0"/>
          <w:color w:val="auto"/>
          <w:sz w:val="32"/>
          <w:szCs w:val="32"/>
        </w:rPr>
        <w:t>针对性调整分摊载体</w:t>
      </w:r>
      <w:r>
        <w:rPr>
          <w:rFonts w:hint="eastAsia" w:ascii="仿宋_GB2312" w:hAnsi="仿宋_GB2312" w:eastAsia="仿宋_GB2312" w:cs="仿宋_GB2312"/>
          <w:b w:val="0"/>
          <w:bCs w:val="0"/>
          <w:color w:val="auto"/>
          <w:sz w:val="32"/>
          <w:szCs w:val="32"/>
          <w:lang w:eastAsia="zh-CN"/>
        </w:rPr>
        <w:t>。</w:t>
      </w:r>
    </w:p>
    <w:p w14:paraId="1EDE1C1B">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财产险公司总公司本级、分公司本级机构费用列示规则：</w:t>
      </w:r>
      <w:r>
        <w:rPr>
          <w:rFonts w:hint="eastAsia" w:ascii="仿宋_GB2312" w:hAnsi="仿宋_GB2312" w:eastAsia="仿宋_GB2312" w:cs="仿宋_GB2312"/>
          <w:color w:val="auto"/>
          <w:sz w:val="32"/>
          <w:szCs w:val="32"/>
          <w:highlight w:val="none"/>
          <w:lang w:val="en-US" w:eastAsia="zh-CN"/>
        </w:rPr>
        <w:t>根据《国家金融监督管理总局办公厅关于加强车险费用管理的通知》（金办便函〔2023〕450号），</w:t>
      </w:r>
      <w:r>
        <w:rPr>
          <w:rFonts w:hint="eastAsia" w:ascii="仿宋_GB2312" w:hAnsi="仿宋_GB2312" w:eastAsia="仿宋_GB2312" w:cs="仿宋_GB2312"/>
          <w:color w:val="auto"/>
          <w:sz w:val="32"/>
          <w:szCs w:val="32"/>
          <w:highlight w:val="none"/>
        </w:rPr>
        <w:t>总公司及省公司本级不开展销售活动的，不得在总公司及省公司本级列支销售费用。总公司及省公司本级开展销售活动的，应将销售费用分摊到保险业务所在地的（虚拟）分支机构。总公司及省公司本级产生的与具体业务开展脱钩的职场租金、水电支出、管理人员工资绩效等固定成本支出，应细化核算列支标准，在总公司及省公司本级“业务及管理费”科目中予以体现。</w:t>
      </w:r>
    </w:p>
    <w:p w14:paraId="2863303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[分</w:t>
      </w:r>
      <w:r>
        <w:rPr>
          <w:rFonts w:hint="eastAsia" w:ascii="仿宋_GB2312" w:hAnsi="仿宋_GB2312" w:eastAsia="仿宋_GB2312" w:cs="仿宋_GB2312"/>
          <w:b/>
          <w:bCs/>
          <w:color w:val="auto"/>
          <w:sz w:val="32"/>
          <w:szCs w:val="32"/>
          <w:lang w:val="en-US" w:eastAsia="zh-CN"/>
        </w:rPr>
        <w:t>入保费</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w:t>
      </w:r>
      <w:r>
        <w:rPr>
          <w:rFonts w:hint="eastAsia" w:ascii="仿宋_GB2312" w:hAnsi="仿宋_GB2312" w:eastAsia="仿宋_GB2312" w:cs="仿宋_GB2312"/>
          <w:color w:val="auto"/>
          <w:sz w:val="32"/>
          <w:szCs w:val="32"/>
        </w:rPr>
        <w:t>再保险分入公司在统计期内根据分保合同</w:t>
      </w:r>
      <w:r>
        <w:rPr>
          <w:rFonts w:hint="eastAsia" w:ascii="仿宋_GB2312" w:hAnsi="仿宋_GB2312" w:eastAsia="仿宋_GB2312" w:cs="仿宋_GB2312"/>
          <w:color w:val="auto"/>
          <w:sz w:val="32"/>
          <w:szCs w:val="32"/>
          <w:lang w:val="en-US" w:eastAsia="zh-CN"/>
        </w:rPr>
        <w:t>应向</w:t>
      </w:r>
      <w:r>
        <w:rPr>
          <w:rFonts w:hint="eastAsia" w:ascii="仿宋_GB2312" w:hAnsi="仿宋_GB2312" w:eastAsia="仿宋_GB2312" w:cs="仿宋_GB2312"/>
          <w:color w:val="auto"/>
          <w:sz w:val="32"/>
          <w:szCs w:val="32"/>
        </w:rPr>
        <w:t>分出公司收取的保费。</w:t>
      </w:r>
    </w:p>
    <w:p w14:paraId="33AA226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[分保费用]</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指再保险</w:t>
      </w:r>
      <w:r>
        <w:rPr>
          <w:rFonts w:hint="eastAsia" w:ascii="仿宋_GB2312" w:hAnsi="仿宋_GB2312" w:eastAsia="仿宋_GB2312" w:cs="仿宋_GB2312"/>
          <w:color w:val="auto"/>
          <w:sz w:val="32"/>
          <w:szCs w:val="32"/>
        </w:rPr>
        <w:t>分入公司在统计期内接受分入业务时，</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向分出公司支付的固定手续费、调整手续费、纯益手续费等费用。</w:t>
      </w:r>
    </w:p>
    <w:p w14:paraId="53AD08F2">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[分保赔款]</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指再保险</w:t>
      </w:r>
      <w:r>
        <w:rPr>
          <w:rFonts w:hint="eastAsia" w:ascii="仿宋_GB2312" w:hAnsi="仿宋_GB2312" w:eastAsia="仿宋_GB2312" w:cs="仿宋_GB2312"/>
          <w:color w:val="auto"/>
          <w:sz w:val="32"/>
          <w:szCs w:val="32"/>
        </w:rPr>
        <w:t>分入公司</w:t>
      </w:r>
      <w:r>
        <w:rPr>
          <w:rFonts w:hint="eastAsia" w:ascii="仿宋_GB2312" w:hAnsi="仿宋_GB2312" w:eastAsia="仿宋_GB2312" w:cs="仿宋_GB2312"/>
          <w:color w:val="auto"/>
          <w:sz w:val="32"/>
          <w:szCs w:val="32"/>
          <w:lang w:val="en-US" w:eastAsia="zh-CN"/>
        </w:rPr>
        <w:t>在统计期内</w:t>
      </w:r>
      <w:r>
        <w:rPr>
          <w:rFonts w:hint="eastAsia" w:ascii="仿宋_GB2312" w:hAnsi="仿宋_GB2312" w:eastAsia="仿宋_GB2312" w:cs="仿宋_GB2312"/>
          <w:color w:val="auto"/>
          <w:sz w:val="32"/>
          <w:szCs w:val="32"/>
        </w:rPr>
        <w:t>因分保业务</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向分出公司支付的赔款</w:t>
      </w:r>
      <w:r>
        <w:rPr>
          <w:rFonts w:hint="eastAsia" w:ascii="仿宋_GB2312" w:hAnsi="仿宋_GB2312" w:eastAsia="仿宋_GB2312" w:cs="仿宋_GB2312"/>
          <w:color w:val="auto"/>
          <w:sz w:val="32"/>
          <w:szCs w:val="32"/>
          <w:lang w:val="en-US" w:eastAsia="zh-CN"/>
        </w:rPr>
        <w:t>金额</w:t>
      </w:r>
      <w:r>
        <w:rPr>
          <w:rFonts w:hint="eastAsia" w:ascii="仿宋_GB2312" w:hAnsi="仿宋_GB2312" w:eastAsia="仿宋_GB2312" w:cs="仿宋_GB2312"/>
          <w:color w:val="auto"/>
          <w:sz w:val="32"/>
          <w:szCs w:val="32"/>
        </w:rPr>
        <w:t>。</w:t>
      </w:r>
    </w:p>
    <w:p w14:paraId="65938B8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[分保退保金]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指再保险</w:t>
      </w:r>
      <w:r>
        <w:rPr>
          <w:rFonts w:hint="eastAsia" w:ascii="仿宋_GB2312" w:hAnsi="仿宋_GB2312" w:eastAsia="仿宋_GB2312" w:cs="仿宋_GB2312"/>
          <w:bCs/>
          <w:color w:val="auto"/>
          <w:sz w:val="32"/>
          <w:szCs w:val="32"/>
        </w:rPr>
        <w:t>分入公司</w:t>
      </w:r>
      <w:r>
        <w:rPr>
          <w:rFonts w:hint="eastAsia" w:ascii="仿宋_GB2312" w:hAnsi="仿宋_GB2312" w:eastAsia="仿宋_GB2312" w:cs="仿宋_GB2312"/>
          <w:bCs/>
          <w:color w:val="auto"/>
          <w:sz w:val="32"/>
          <w:szCs w:val="32"/>
          <w:lang w:val="en-US" w:eastAsia="zh-CN"/>
        </w:rPr>
        <w:t>在统计期内</w:t>
      </w:r>
      <w:r>
        <w:rPr>
          <w:rFonts w:hint="eastAsia" w:ascii="仿宋_GB2312" w:hAnsi="仿宋_GB2312" w:eastAsia="仿宋_GB2312" w:cs="仿宋_GB2312"/>
          <w:bCs/>
          <w:color w:val="auto"/>
          <w:sz w:val="32"/>
          <w:szCs w:val="32"/>
        </w:rPr>
        <w:t>因分保业务</w:t>
      </w:r>
      <w:r>
        <w:rPr>
          <w:rFonts w:hint="eastAsia" w:ascii="仿宋_GB2312" w:hAnsi="仿宋_GB2312" w:eastAsia="仿宋_GB2312" w:cs="仿宋_GB2312"/>
          <w:bCs/>
          <w:color w:val="auto"/>
          <w:sz w:val="32"/>
          <w:szCs w:val="32"/>
          <w:lang w:val="en-US" w:eastAsia="zh-CN"/>
        </w:rPr>
        <w:t>应</w:t>
      </w:r>
      <w:r>
        <w:rPr>
          <w:rFonts w:hint="eastAsia" w:ascii="仿宋_GB2312" w:hAnsi="仿宋_GB2312" w:eastAsia="仿宋_GB2312" w:cs="仿宋_GB2312"/>
          <w:bCs/>
          <w:color w:val="auto"/>
          <w:sz w:val="32"/>
          <w:szCs w:val="32"/>
        </w:rPr>
        <w:t>向分出公司支付的退保金。</w:t>
      </w:r>
    </w:p>
    <w:p w14:paraId="64B8448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[分出保费]</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w:t>
      </w:r>
      <w:r>
        <w:rPr>
          <w:rFonts w:hint="eastAsia" w:ascii="仿宋_GB2312" w:hAnsi="仿宋_GB2312" w:eastAsia="仿宋_GB2312" w:cs="仿宋_GB2312"/>
          <w:color w:val="auto"/>
          <w:sz w:val="32"/>
          <w:szCs w:val="32"/>
        </w:rPr>
        <w:t>再保险分出公司在统计期内</w:t>
      </w:r>
      <w:r>
        <w:rPr>
          <w:rFonts w:hint="eastAsia" w:ascii="仿宋_GB2312" w:hAnsi="仿宋_GB2312" w:eastAsia="仿宋_GB2312" w:cs="仿宋_GB2312"/>
          <w:color w:val="auto"/>
          <w:sz w:val="32"/>
          <w:szCs w:val="32"/>
          <w:lang w:val="en-US" w:eastAsia="zh-CN"/>
        </w:rPr>
        <w:t>因</w:t>
      </w:r>
      <w:r>
        <w:rPr>
          <w:rFonts w:hint="eastAsia" w:ascii="仿宋_GB2312" w:hAnsi="仿宋_GB2312" w:eastAsia="仿宋_GB2312" w:cs="仿宋_GB2312"/>
          <w:color w:val="auto"/>
          <w:sz w:val="32"/>
          <w:szCs w:val="32"/>
        </w:rPr>
        <w:t>分保合同</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向分入公司支付的保费。</w:t>
      </w:r>
    </w:p>
    <w:p w14:paraId="7F66824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[摊回分保费用]</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指再保险</w:t>
      </w:r>
      <w:r>
        <w:rPr>
          <w:rFonts w:hint="eastAsia" w:ascii="仿宋_GB2312" w:hAnsi="仿宋_GB2312" w:eastAsia="仿宋_GB2312" w:cs="仿宋_GB2312"/>
          <w:color w:val="auto"/>
          <w:sz w:val="32"/>
          <w:szCs w:val="32"/>
        </w:rPr>
        <w:t>分出公司在统计期内</w:t>
      </w:r>
      <w:r>
        <w:rPr>
          <w:rFonts w:hint="eastAsia" w:ascii="仿宋_GB2312" w:hAnsi="仿宋_GB2312" w:eastAsia="仿宋_GB2312" w:cs="仿宋_GB2312"/>
          <w:color w:val="auto"/>
          <w:sz w:val="32"/>
          <w:szCs w:val="32"/>
          <w:lang w:val="en-US" w:eastAsia="zh-CN"/>
        </w:rPr>
        <w:t>因</w:t>
      </w:r>
      <w:r>
        <w:rPr>
          <w:rFonts w:hint="eastAsia" w:ascii="仿宋_GB2312" w:hAnsi="仿宋_GB2312" w:eastAsia="仿宋_GB2312" w:cs="仿宋_GB2312"/>
          <w:color w:val="auto"/>
          <w:sz w:val="32"/>
          <w:szCs w:val="32"/>
        </w:rPr>
        <w:t>分保</w:t>
      </w:r>
      <w:r>
        <w:rPr>
          <w:rFonts w:hint="eastAsia" w:ascii="仿宋_GB2312" w:hAnsi="仿宋_GB2312" w:eastAsia="仿宋_GB2312" w:cs="仿宋_GB2312"/>
          <w:color w:val="auto"/>
          <w:sz w:val="32"/>
          <w:szCs w:val="32"/>
          <w:lang w:val="en-US" w:eastAsia="zh-CN"/>
        </w:rPr>
        <w:t>合同</w:t>
      </w:r>
      <w:r>
        <w:rPr>
          <w:rFonts w:hint="eastAsia" w:ascii="仿宋_GB2312" w:hAnsi="仿宋_GB2312" w:eastAsia="仿宋_GB2312" w:cs="仿宋_GB2312"/>
          <w:color w:val="auto"/>
          <w:sz w:val="32"/>
          <w:szCs w:val="32"/>
        </w:rPr>
        <w:t>向分入公司应摊回的固定手续费、调整手续费、纯益手续费等费用。</w:t>
      </w:r>
    </w:p>
    <w:p w14:paraId="6FCE5C5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[摊回分保赔款]</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指再保险</w:t>
      </w:r>
      <w:r>
        <w:rPr>
          <w:rFonts w:hint="eastAsia" w:ascii="仿宋_GB2312" w:hAnsi="仿宋_GB2312" w:eastAsia="仿宋_GB2312" w:cs="仿宋_GB2312"/>
          <w:color w:val="auto"/>
          <w:sz w:val="32"/>
          <w:szCs w:val="32"/>
        </w:rPr>
        <w:t>分出公司在统计期内因分保业务</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向分入公司摊回的赔款。</w:t>
      </w:r>
    </w:p>
    <w:p w14:paraId="0C7CDE1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[摊回分保退保金]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指再保险</w:t>
      </w:r>
      <w:r>
        <w:rPr>
          <w:rFonts w:hint="eastAsia" w:ascii="仿宋_GB2312" w:hAnsi="仿宋_GB2312" w:eastAsia="仿宋_GB2312" w:cs="仿宋_GB2312"/>
          <w:color w:val="auto"/>
          <w:sz w:val="32"/>
          <w:szCs w:val="32"/>
        </w:rPr>
        <w:t>分出公司在统计期内因分保业务</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向分入公司摊回</w:t>
      </w:r>
      <w:r>
        <w:rPr>
          <w:rFonts w:hint="eastAsia" w:ascii="仿宋_GB2312" w:hAnsi="仿宋_GB2312" w:eastAsia="仿宋_GB2312" w:cs="仿宋_GB2312"/>
          <w:b w:val="0"/>
          <w:bCs w:val="0"/>
          <w:color w:val="auto"/>
          <w:sz w:val="32"/>
          <w:szCs w:val="32"/>
        </w:rPr>
        <w:t>的退保金</w:t>
      </w:r>
      <w:r>
        <w:rPr>
          <w:rFonts w:hint="eastAsia" w:ascii="仿宋_GB2312" w:hAnsi="仿宋_GB2312" w:eastAsia="仿宋_GB2312" w:cs="仿宋_GB2312"/>
          <w:color w:val="auto"/>
          <w:sz w:val="32"/>
          <w:szCs w:val="32"/>
        </w:rPr>
        <w:t>。</w:t>
      </w:r>
    </w:p>
    <w:p w14:paraId="4AA9ABA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[本年新增</w:t>
      </w:r>
      <w:r>
        <w:rPr>
          <w:rFonts w:hint="eastAsia" w:ascii="仿宋_GB2312" w:hAnsi="仿宋_GB2312" w:eastAsia="仿宋_GB2312" w:cs="仿宋_GB2312"/>
          <w:b/>
          <w:bCs/>
          <w:color w:val="auto"/>
          <w:sz w:val="32"/>
          <w:szCs w:val="32"/>
          <w:lang w:val="en-US" w:eastAsia="zh-CN"/>
        </w:rPr>
        <w:t>经办业务</w:t>
      </w:r>
      <w:r>
        <w:rPr>
          <w:rFonts w:hint="eastAsia" w:ascii="仿宋_GB2312" w:hAnsi="仿宋_GB2312" w:eastAsia="仿宋_GB2312" w:cs="仿宋_GB2312"/>
          <w:b/>
          <w:bCs/>
          <w:color w:val="auto"/>
          <w:sz w:val="32"/>
          <w:szCs w:val="32"/>
        </w:rPr>
        <w:t>合同件数]</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指保险公司</w:t>
      </w:r>
      <w:r>
        <w:rPr>
          <w:rFonts w:hint="eastAsia" w:ascii="仿宋_GB2312" w:hAnsi="仿宋_GB2312" w:eastAsia="仿宋_GB2312" w:cs="仿宋_GB2312"/>
          <w:color w:val="auto"/>
          <w:sz w:val="32"/>
          <w:szCs w:val="32"/>
        </w:rPr>
        <w:t>在统计期内新增生效的经办业务合同数量。</w:t>
      </w:r>
      <w:r>
        <w:rPr>
          <w:rFonts w:hint="eastAsia" w:ascii="仿宋_GB2312" w:hAnsi="仿宋_GB2312" w:eastAsia="仿宋_GB2312" w:cs="仿宋_GB2312"/>
          <w:color w:val="auto"/>
          <w:sz w:val="32"/>
          <w:szCs w:val="32"/>
          <w:highlight w:val="none"/>
          <w:lang w:eastAsia="zh-CN"/>
        </w:rPr>
        <w:t>经办业务</w:t>
      </w:r>
      <w:r>
        <w:rPr>
          <w:rFonts w:hint="eastAsia" w:ascii="仿宋_GB2312" w:hAnsi="仿宋_GB2312" w:eastAsia="仿宋_GB2312" w:cs="仿宋_GB2312"/>
          <w:color w:val="auto"/>
          <w:sz w:val="32"/>
          <w:szCs w:val="32"/>
          <w:highlight w:val="none"/>
        </w:rPr>
        <w:t>指保险公司</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政府部门、企事业单位、社会团体等客户</w:t>
      </w:r>
      <w:r>
        <w:rPr>
          <w:rFonts w:hint="eastAsia" w:ascii="仿宋_GB2312" w:hAnsi="仿宋_GB2312" w:eastAsia="仿宋_GB2312" w:cs="仿宋_GB2312"/>
          <w:color w:val="auto"/>
          <w:sz w:val="32"/>
          <w:szCs w:val="32"/>
          <w:highlight w:val="none"/>
          <w:lang w:val="en-US" w:eastAsia="zh-CN"/>
        </w:rPr>
        <w:t>提供</w:t>
      </w:r>
      <w:r>
        <w:rPr>
          <w:rFonts w:hint="eastAsia" w:ascii="仿宋_GB2312" w:hAnsi="仿宋_GB2312" w:eastAsia="仿宋_GB2312" w:cs="仿宋_GB2312"/>
          <w:color w:val="auto"/>
          <w:sz w:val="32"/>
          <w:szCs w:val="32"/>
          <w:highlight w:val="none"/>
        </w:rPr>
        <w:t>管理服务</w:t>
      </w:r>
      <w:r>
        <w:rPr>
          <w:rFonts w:hint="eastAsia" w:ascii="仿宋_GB2312" w:hAnsi="仿宋_GB2312" w:eastAsia="仿宋_GB2312" w:cs="仿宋_GB2312"/>
          <w:color w:val="auto"/>
          <w:sz w:val="32"/>
          <w:szCs w:val="32"/>
          <w:highlight w:val="none"/>
          <w:lang w:val="en-US" w:eastAsia="zh-CN"/>
        </w:rPr>
        <w:t>以收取管理费，但不承担保险风险的</w:t>
      </w:r>
      <w:r>
        <w:rPr>
          <w:rFonts w:hint="eastAsia" w:ascii="仿宋_GB2312" w:hAnsi="仿宋_GB2312" w:eastAsia="仿宋_GB2312" w:cs="仿宋_GB2312"/>
          <w:color w:val="auto"/>
          <w:sz w:val="32"/>
          <w:szCs w:val="32"/>
          <w:highlight w:val="none"/>
        </w:rPr>
        <w:t>健康保障委托管理业务、经办型城乡居民大病保险业务、经办型长期护理保险业务等</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rPr>
        <w:t>。</w:t>
      </w:r>
    </w:p>
    <w:p w14:paraId="24D8454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[期末有效</w:t>
      </w:r>
      <w:r>
        <w:rPr>
          <w:rFonts w:hint="eastAsia" w:ascii="仿宋_GB2312" w:hAnsi="仿宋_GB2312" w:eastAsia="仿宋_GB2312" w:cs="仿宋_GB2312"/>
          <w:b/>
          <w:bCs/>
          <w:color w:val="auto"/>
          <w:sz w:val="32"/>
          <w:szCs w:val="32"/>
          <w:lang w:val="en-US" w:eastAsia="zh-CN"/>
        </w:rPr>
        <w:t>经办业务</w:t>
      </w:r>
      <w:r>
        <w:rPr>
          <w:rFonts w:hint="eastAsia" w:ascii="仿宋_GB2312" w:hAnsi="仿宋_GB2312" w:eastAsia="仿宋_GB2312" w:cs="仿宋_GB2312"/>
          <w:b/>
          <w:bCs/>
          <w:color w:val="auto"/>
          <w:sz w:val="32"/>
          <w:szCs w:val="32"/>
        </w:rPr>
        <w:t>合同件数]</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指保险公司</w:t>
      </w:r>
      <w:r>
        <w:rPr>
          <w:rFonts w:hint="eastAsia" w:ascii="仿宋_GB2312" w:hAnsi="仿宋_GB2312" w:eastAsia="仿宋_GB2312" w:cs="仿宋_GB2312"/>
          <w:color w:val="auto"/>
          <w:sz w:val="32"/>
          <w:szCs w:val="32"/>
        </w:rPr>
        <w:t>在统计期末有效经办业务</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合同数量。</w:t>
      </w:r>
    </w:p>
    <w:p w14:paraId="38A4E126">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经办业务</w:t>
      </w:r>
      <w:r>
        <w:rPr>
          <w:rFonts w:hint="eastAsia" w:ascii="仿宋_GB2312" w:hAnsi="仿宋_GB2312" w:eastAsia="仿宋_GB2312" w:cs="仿宋_GB2312"/>
          <w:b/>
          <w:bCs/>
          <w:color w:val="auto"/>
          <w:sz w:val="32"/>
          <w:szCs w:val="32"/>
        </w:rPr>
        <w:t>管理资金规模]</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指保险公司</w:t>
      </w:r>
      <w:r>
        <w:rPr>
          <w:rFonts w:hint="eastAsia" w:ascii="仿宋_GB2312" w:hAnsi="仿宋_GB2312" w:eastAsia="仿宋_GB2312" w:cs="仿宋_GB2312"/>
          <w:color w:val="auto"/>
          <w:sz w:val="32"/>
          <w:szCs w:val="32"/>
        </w:rPr>
        <w:t>在统计期末</w:t>
      </w:r>
      <w:r>
        <w:rPr>
          <w:rFonts w:hint="eastAsia" w:ascii="仿宋_GB2312" w:hAnsi="仿宋_GB2312" w:eastAsia="仿宋_GB2312" w:cs="仿宋_GB2312"/>
          <w:color w:val="auto"/>
          <w:sz w:val="32"/>
          <w:szCs w:val="32"/>
          <w:lang w:val="en-US" w:eastAsia="zh-CN"/>
        </w:rPr>
        <w:t>有效</w:t>
      </w:r>
      <w:r>
        <w:rPr>
          <w:rFonts w:hint="eastAsia" w:ascii="仿宋_GB2312" w:hAnsi="仿宋_GB2312" w:eastAsia="仿宋_GB2312" w:cs="仿宋_GB2312"/>
          <w:color w:val="auto"/>
          <w:sz w:val="32"/>
          <w:szCs w:val="32"/>
        </w:rPr>
        <w:t>经办业务</w:t>
      </w:r>
      <w:r>
        <w:rPr>
          <w:rFonts w:hint="eastAsia" w:ascii="仿宋_GB2312" w:hAnsi="仿宋_GB2312" w:eastAsia="仿宋_GB2312" w:cs="仿宋_GB2312"/>
          <w:color w:val="auto"/>
          <w:sz w:val="32"/>
          <w:szCs w:val="32"/>
          <w:lang w:val="en-US" w:eastAsia="zh-CN"/>
        </w:rPr>
        <w:t>的管理</w:t>
      </w:r>
      <w:r>
        <w:rPr>
          <w:rFonts w:hint="eastAsia" w:ascii="仿宋_GB2312" w:hAnsi="仿宋_GB2312" w:eastAsia="仿宋_GB2312" w:cs="仿宋_GB2312"/>
          <w:color w:val="auto"/>
          <w:sz w:val="32"/>
          <w:szCs w:val="32"/>
        </w:rPr>
        <w:t>资金规模。</w:t>
      </w:r>
    </w:p>
    <w:p w14:paraId="3528D21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经办业务</w:t>
      </w:r>
      <w:r>
        <w:rPr>
          <w:rFonts w:hint="eastAsia" w:ascii="仿宋_GB2312" w:hAnsi="仿宋_GB2312" w:eastAsia="仿宋_GB2312" w:cs="仿宋_GB2312"/>
          <w:b/>
          <w:bCs/>
          <w:color w:val="auto"/>
          <w:sz w:val="32"/>
          <w:szCs w:val="32"/>
        </w:rPr>
        <w:t>管理费]</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指保险公司在统计期内按照</w:t>
      </w:r>
      <w:r>
        <w:rPr>
          <w:rFonts w:hint="eastAsia" w:ascii="仿宋_GB2312" w:hAnsi="仿宋_GB2312" w:eastAsia="仿宋_GB2312" w:cs="仿宋_GB2312"/>
          <w:color w:val="auto"/>
          <w:sz w:val="32"/>
          <w:szCs w:val="32"/>
        </w:rPr>
        <w:t>合同约定应收取的管理费金额</w:t>
      </w:r>
      <w:r>
        <w:rPr>
          <w:rFonts w:hint="eastAsia" w:ascii="仿宋_GB2312" w:hAnsi="仿宋_GB2312" w:eastAsia="仿宋_GB2312" w:cs="仿宋_GB2312"/>
          <w:color w:val="auto"/>
          <w:sz w:val="32"/>
          <w:szCs w:val="32"/>
          <w:lang w:eastAsia="zh-CN"/>
        </w:rPr>
        <w:t>。</w:t>
      </w:r>
    </w:p>
    <w:p w14:paraId="7DBA929D">
      <w:pPr>
        <w:pStyle w:val="57"/>
        <w:keepNext w:val="0"/>
        <w:keepLines w:val="0"/>
        <w:pageBreakBefore w:val="0"/>
        <w:kinsoku/>
        <w:wordWrap/>
        <w:overflowPunct/>
        <w:topLinePunct w:val="0"/>
        <w:bidi w:val="0"/>
        <w:spacing w:line="600" w:lineRule="exact"/>
        <w:ind w:leftChars="0" w:firstLine="640" w:firstLineChars="200"/>
        <w:textAlignment w:val="auto"/>
        <w:outlineLvl w:val="2"/>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（二）短期业务专用统计</w:t>
      </w:r>
      <w:r>
        <w:rPr>
          <w:rFonts w:hint="eastAsia" w:ascii="楷体_GB2312" w:hAnsi="楷体_GB2312" w:eastAsia="楷体_GB2312" w:cs="楷体_GB2312"/>
          <w:b w:val="0"/>
          <w:bCs w:val="0"/>
          <w:color w:val="auto"/>
          <w:sz w:val="32"/>
          <w:szCs w:val="32"/>
        </w:rPr>
        <w:t>指标</w:t>
      </w:r>
    </w:p>
    <w:p w14:paraId="0C37A01C">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对于财产险公司经营的各类险种，以及</w:t>
      </w:r>
      <w:r>
        <w:rPr>
          <w:rFonts w:hint="eastAsia" w:ascii="仿宋_GB2312" w:hAnsi="仿宋_GB2312" w:eastAsia="仿宋_GB2312" w:cs="仿宋_GB2312"/>
          <w:b w:val="0"/>
          <w:bCs w:val="0"/>
          <w:color w:val="auto"/>
          <w:sz w:val="32"/>
          <w:szCs w:val="32"/>
          <w:highlight w:val="none"/>
          <w:lang w:eastAsia="zh-CN"/>
        </w:rPr>
        <w:t>人身险公司经营的短期</w:t>
      </w:r>
      <w:r>
        <w:rPr>
          <w:rFonts w:hint="eastAsia" w:ascii="仿宋_GB2312" w:hAnsi="仿宋_GB2312" w:eastAsia="仿宋_GB2312" w:cs="仿宋_GB2312"/>
          <w:b/>
          <w:bCs/>
          <w:color w:val="auto"/>
          <w:sz w:val="32"/>
          <w:szCs w:val="32"/>
          <w:highlight w:val="none"/>
          <w:lang w:val="en-US" w:eastAsia="zh-CN"/>
        </w:rPr>
        <w:t>[意外伤害保险]、[健康保险]</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需要统计</w:t>
      </w:r>
      <w:r>
        <w:rPr>
          <w:rFonts w:hint="eastAsia" w:ascii="仿宋_GB2312" w:hAnsi="仿宋_GB2312" w:eastAsia="仿宋_GB2312" w:cs="仿宋_GB2312"/>
          <w:b/>
          <w:bCs/>
          <w:color w:val="auto"/>
          <w:sz w:val="32"/>
          <w:szCs w:val="32"/>
        </w:rPr>
        <w:t>[税金及附加]</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[未到期责任准备金]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[提取未</w:t>
      </w:r>
      <w:r>
        <w:rPr>
          <w:rFonts w:hint="eastAsia" w:ascii="仿宋_GB2312" w:hAnsi="仿宋_GB2312" w:eastAsia="仿宋_GB2312" w:cs="仿宋_GB2312"/>
          <w:b/>
          <w:bCs/>
          <w:color w:val="auto"/>
          <w:sz w:val="32"/>
          <w:szCs w:val="32"/>
          <w:lang w:val="en-US" w:eastAsia="zh-CN"/>
        </w:rPr>
        <w:t>到期责任</w:t>
      </w:r>
      <w:r>
        <w:rPr>
          <w:rFonts w:hint="eastAsia" w:ascii="仿宋_GB2312" w:hAnsi="仿宋_GB2312" w:eastAsia="仿宋_GB2312" w:cs="仿宋_GB2312"/>
          <w:b/>
          <w:bCs/>
          <w:color w:val="auto"/>
          <w:sz w:val="32"/>
          <w:szCs w:val="32"/>
        </w:rPr>
        <w:t>准备金</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[应收分保未到期责任准备金]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[未决赔款准备金]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[应收分保未决赔款准备金]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[提取未决赔款准备金]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[摊回未决赔款准备金]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[资产减值损失]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highlight w:val="none"/>
        </w:rPr>
        <w:t>[提取保费准备金]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rPr>
        <w:t>[承保利润]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[应收保费]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[坏账准备]</w:t>
      </w:r>
      <w:r>
        <w:rPr>
          <w:rFonts w:hint="eastAsia" w:ascii="仿宋_GB2312" w:hAnsi="仿宋_GB2312" w:eastAsia="仿宋_GB2312" w:cs="仿宋_GB2312"/>
          <w:color w:val="auto"/>
          <w:sz w:val="32"/>
          <w:szCs w:val="32"/>
          <w:lang w:val="en-US" w:eastAsia="zh-CN"/>
        </w:rPr>
        <w:t>，具体口径如下：</w:t>
      </w:r>
    </w:p>
    <w:p w14:paraId="533B286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[税金及附加]</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财产险公司</w:t>
      </w:r>
      <w:r>
        <w:rPr>
          <w:rFonts w:hint="eastAsia" w:ascii="仿宋_GB2312" w:hAnsi="仿宋_GB2312" w:eastAsia="仿宋_GB2312" w:cs="仿宋_GB2312"/>
          <w:color w:val="auto"/>
          <w:sz w:val="32"/>
          <w:szCs w:val="32"/>
        </w:rPr>
        <w:t>在统计期内经营活动发生的城市维护建设税、教育费附加、房产税、土地使用税、车船使用税、印花税等相关税费。</w:t>
      </w:r>
    </w:p>
    <w:p w14:paraId="7385BD8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[未到期责任准备金]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财产险公司</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统计期末为</w:t>
      </w:r>
      <w:r>
        <w:rPr>
          <w:rFonts w:hint="eastAsia" w:ascii="仿宋_GB2312" w:hAnsi="仿宋_GB2312" w:eastAsia="仿宋_GB2312" w:cs="仿宋_GB2312"/>
          <w:color w:val="auto"/>
          <w:sz w:val="32"/>
          <w:szCs w:val="32"/>
        </w:rPr>
        <w:t>尚未终止的保险责任而提取的准备金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包括未赚保费准备金及保费不足准备金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财产险公司的责任准备金和未决赔款准备金按照</w:t>
      </w:r>
      <w:r>
        <w:rPr>
          <w:rFonts w:hint="eastAsia" w:ascii="仿宋_GB2312" w:hAnsi="仿宋_GB2312" w:eastAsia="仿宋_GB2312" w:cs="仿宋_GB2312"/>
          <w:color w:val="auto"/>
          <w:sz w:val="32"/>
          <w:szCs w:val="32"/>
          <w:highlight w:val="none"/>
          <w:lang w:val="en-US" w:eastAsia="zh-CN"/>
        </w:rPr>
        <w:t>《保险公司非寿险业务准备金管理办法》（银保监会令2021年第11号）</w:t>
      </w:r>
      <w:r>
        <w:rPr>
          <w:rFonts w:hint="eastAsia" w:ascii="仿宋_GB2312" w:hAnsi="仿宋_GB2312" w:eastAsia="仿宋_GB2312" w:cs="仿宋_GB2312"/>
          <w:color w:val="auto"/>
          <w:sz w:val="32"/>
          <w:szCs w:val="32"/>
          <w:lang w:val="en-US" w:eastAsia="zh-CN"/>
        </w:rPr>
        <w:t>计提（下同）。</w:t>
      </w:r>
    </w:p>
    <w:p w14:paraId="72DD8CC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[提取未</w:t>
      </w:r>
      <w:r>
        <w:rPr>
          <w:rFonts w:hint="eastAsia" w:ascii="仿宋_GB2312" w:hAnsi="仿宋_GB2312" w:eastAsia="仿宋_GB2312" w:cs="仿宋_GB2312"/>
          <w:b/>
          <w:bCs/>
          <w:color w:val="auto"/>
          <w:sz w:val="32"/>
          <w:szCs w:val="32"/>
          <w:lang w:val="en-US" w:eastAsia="zh-CN"/>
        </w:rPr>
        <w:t>到期责任</w:t>
      </w:r>
      <w:r>
        <w:rPr>
          <w:rFonts w:hint="eastAsia" w:ascii="仿宋_GB2312" w:hAnsi="仿宋_GB2312" w:eastAsia="仿宋_GB2312" w:cs="仿宋_GB2312"/>
          <w:b/>
          <w:bCs/>
          <w:color w:val="auto"/>
          <w:sz w:val="32"/>
          <w:szCs w:val="32"/>
        </w:rPr>
        <w:t>准备金]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财产险公司</w:t>
      </w:r>
      <w:r>
        <w:rPr>
          <w:rFonts w:hint="eastAsia" w:ascii="仿宋_GB2312" w:hAnsi="仿宋_GB2312" w:eastAsia="仿宋_GB2312" w:cs="仿宋_GB2312"/>
          <w:b w:val="0"/>
          <w:bCs w:val="0"/>
          <w:color w:val="auto"/>
          <w:sz w:val="32"/>
          <w:szCs w:val="32"/>
        </w:rPr>
        <w:t>未</w:t>
      </w:r>
      <w:r>
        <w:rPr>
          <w:rFonts w:hint="eastAsia" w:ascii="仿宋_GB2312" w:hAnsi="仿宋_GB2312" w:eastAsia="仿宋_GB2312" w:cs="仿宋_GB2312"/>
          <w:b w:val="0"/>
          <w:bCs w:val="0"/>
          <w:color w:val="auto"/>
          <w:sz w:val="32"/>
          <w:szCs w:val="32"/>
          <w:lang w:val="en-US" w:eastAsia="zh-CN"/>
        </w:rPr>
        <w:t>到期责任</w:t>
      </w:r>
      <w:r>
        <w:rPr>
          <w:rFonts w:hint="eastAsia" w:ascii="仿宋_GB2312" w:hAnsi="仿宋_GB2312" w:eastAsia="仿宋_GB2312" w:cs="仿宋_GB2312"/>
          <w:b w:val="0"/>
          <w:bCs w:val="0"/>
          <w:color w:val="auto"/>
          <w:sz w:val="32"/>
          <w:szCs w:val="32"/>
        </w:rPr>
        <w:t>准备金</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统计</w:t>
      </w:r>
      <w:r>
        <w:rPr>
          <w:rFonts w:hint="eastAsia" w:ascii="仿宋_GB2312" w:hAnsi="仿宋_GB2312" w:eastAsia="仿宋_GB2312" w:cs="仿宋_GB2312"/>
          <w:color w:val="auto"/>
          <w:sz w:val="32"/>
          <w:szCs w:val="32"/>
        </w:rPr>
        <w:t>期末与统计期初余额之差。</w:t>
      </w:r>
    </w:p>
    <w:p w14:paraId="4A0B1A4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[应收分保未到期责任准备金]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财产险公司</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统计期末</w:t>
      </w:r>
      <w:r>
        <w:rPr>
          <w:rFonts w:hint="eastAsia" w:ascii="仿宋_GB2312" w:hAnsi="仿宋_GB2312" w:eastAsia="仿宋_GB2312" w:cs="仿宋_GB2312"/>
          <w:color w:val="auto"/>
          <w:sz w:val="32"/>
          <w:szCs w:val="32"/>
        </w:rPr>
        <w:t>应向再保险接受人收取的，用以承担未到期责任的部分或全部赔偿责任提取的与保险责任相对应的资金准备。</w:t>
      </w:r>
    </w:p>
    <w:p w14:paraId="37DB68DD">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[未决赔款准备金]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财产险公司</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统计期末</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保险事故已经发生但</w:t>
      </w:r>
      <w:r>
        <w:rPr>
          <w:rFonts w:hint="eastAsia" w:ascii="仿宋_GB2312" w:hAnsi="仿宋_GB2312" w:eastAsia="仿宋_GB2312" w:cs="仿宋_GB2312"/>
          <w:color w:val="auto"/>
          <w:sz w:val="32"/>
          <w:szCs w:val="32"/>
        </w:rPr>
        <w:t>尚未</w:t>
      </w:r>
      <w:r>
        <w:rPr>
          <w:rFonts w:hint="eastAsia" w:ascii="仿宋_GB2312" w:hAnsi="仿宋_GB2312" w:eastAsia="仿宋_GB2312" w:cs="仿宋_GB2312"/>
          <w:color w:val="auto"/>
          <w:sz w:val="32"/>
          <w:szCs w:val="32"/>
          <w:lang w:val="en-US" w:eastAsia="zh-CN"/>
        </w:rPr>
        <w:t>最终</w:t>
      </w:r>
      <w:r>
        <w:rPr>
          <w:rFonts w:hint="eastAsia" w:ascii="仿宋_GB2312" w:hAnsi="仿宋_GB2312" w:eastAsia="仿宋_GB2312" w:cs="仿宋_GB2312"/>
          <w:color w:val="auto"/>
          <w:sz w:val="32"/>
          <w:szCs w:val="32"/>
        </w:rPr>
        <w:t>结案的</w:t>
      </w:r>
      <w:r>
        <w:rPr>
          <w:rFonts w:hint="eastAsia" w:ascii="仿宋_GB2312" w:hAnsi="仿宋_GB2312" w:eastAsia="仿宋_GB2312" w:cs="仿宋_GB2312"/>
          <w:color w:val="auto"/>
          <w:sz w:val="32"/>
          <w:szCs w:val="32"/>
          <w:lang w:val="en-US" w:eastAsia="zh-CN"/>
        </w:rPr>
        <w:t>损失</w:t>
      </w:r>
      <w:r>
        <w:rPr>
          <w:rFonts w:hint="eastAsia" w:ascii="仿宋_GB2312" w:hAnsi="仿宋_GB2312" w:eastAsia="仿宋_GB2312" w:cs="仿宋_GB2312"/>
          <w:color w:val="auto"/>
          <w:sz w:val="32"/>
          <w:szCs w:val="32"/>
        </w:rPr>
        <w:t>提取的准备金，包括已发生已报案未决赔款准备金、已发生未报案未决赔款准备金和理赔费用准备金。</w:t>
      </w:r>
    </w:p>
    <w:p w14:paraId="2EC53E9D">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[应收分保未决赔款准备金]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财产险公司</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统计期末</w:t>
      </w:r>
      <w:r>
        <w:rPr>
          <w:rFonts w:hint="eastAsia" w:ascii="仿宋_GB2312" w:hAnsi="仿宋_GB2312" w:eastAsia="仿宋_GB2312" w:cs="仿宋_GB2312"/>
          <w:color w:val="auto"/>
          <w:sz w:val="32"/>
          <w:szCs w:val="32"/>
        </w:rPr>
        <w:t>应向再保险接受人收取的根据已发生损失但还未赔付的金额确定的再保险准备金。</w:t>
      </w:r>
    </w:p>
    <w:p w14:paraId="42593D0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[提取未决赔款准备金]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财产险公司</w:t>
      </w:r>
      <w:r>
        <w:rPr>
          <w:rFonts w:hint="eastAsia" w:ascii="仿宋_GB2312" w:hAnsi="仿宋_GB2312" w:eastAsia="仿宋_GB2312" w:cs="仿宋_GB2312"/>
          <w:color w:val="auto"/>
          <w:sz w:val="32"/>
          <w:szCs w:val="32"/>
        </w:rPr>
        <w:t>未决赔款准备金的</w:t>
      </w:r>
      <w:r>
        <w:rPr>
          <w:rFonts w:hint="eastAsia" w:ascii="仿宋_GB2312" w:hAnsi="仿宋_GB2312" w:eastAsia="仿宋_GB2312" w:cs="仿宋_GB2312"/>
          <w:color w:val="auto"/>
          <w:sz w:val="32"/>
          <w:szCs w:val="32"/>
          <w:lang w:val="en-US" w:eastAsia="zh-CN"/>
        </w:rPr>
        <w:t>统计</w:t>
      </w:r>
      <w:r>
        <w:rPr>
          <w:rFonts w:hint="eastAsia" w:ascii="仿宋_GB2312" w:hAnsi="仿宋_GB2312" w:eastAsia="仿宋_GB2312" w:cs="仿宋_GB2312"/>
          <w:color w:val="auto"/>
          <w:sz w:val="32"/>
          <w:szCs w:val="32"/>
        </w:rPr>
        <w:t>期末与统计期初余额之差。</w:t>
      </w:r>
    </w:p>
    <w:p w14:paraId="5D5161E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[摊回未决赔款准备金]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财产险公司</w:t>
      </w:r>
      <w:r>
        <w:rPr>
          <w:rFonts w:hint="eastAsia" w:ascii="仿宋_GB2312" w:hAnsi="仿宋_GB2312" w:eastAsia="仿宋_GB2312" w:cs="仿宋_GB2312"/>
          <w:color w:val="auto"/>
          <w:sz w:val="32"/>
          <w:szCs w:val="32"/>
        </w:rPr>
        <w:t>应收分保未决赔款准备金的统计期末与统计期初余额之差。</w:t>
      </w:r>
    </w:p>
    <w:p w14:paraId="5DACF2D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[资产减值损失]</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财产险公司</w:t>
      </w:r>
      <w:r>
        <w:rPr>
          <w:rFonts w:hint="eastAsia" w:ascii="仿宋_GB2312" w:hAnsi="仿宋_GB2312" w:eastAsia="仿宋_GB2312" w:cs="仿宋_GB2312"/>
          <w:color w:val="auto"/>
          <w:sz w:val="32"/>
          <w:szCs w:val="32"/>
        </w:rPr>
        <w:t>在应收保费及应收分保账款等保险业务相关应收资产的信用风险减值损失，不含投资业务的资产减值损失。</w:t>
      </w:r>
    </w:p>
    <w:p w14:paraId="1CDB68E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[提取保费准备金]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val="en-US" w:eastAsia="zh-CN"/>
        </w:rPr>
        <w:t>财产险公司</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val="en-US" w:eastAsia="zh-CN"/>
        </w:rPr>
        <w:t>照相关</w:t>
      </w:r>
      <w:r>
        <w:rPr>
          <w:rFonts w:hint="eastAsia" w:ascii="仿宋_GB2312" w:hAnsi="仿宋_GB2312" w:eastAsia="仿宋_GB2312" w:cs="仿宋_GB2312"/>
          <w:color w:val="auto"/>
          <w:sz w:val="32"/>
          <w:szCs w:val="32"/>
          <w:highlight w:val="none"/>
        </w:rPr>
        <w:t>规定从农业保险、航空意外险、住宅地震巨灾保险等保费中提取，并按规定使用和转回的保费准备金。</w:t>
      </w:r>
    </w:p>
    <w:p w14:paraId="5A48A27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[承保利润]</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财产险公司</w:t>
      </w:r>
      <w:r>
        <w:rPr>
          <w:rFonts w:hint="eastAsia" w:ascii="仿宋_GB2312" w:hAnsi="仿宋_GB2312" w:eastAsia="仿宋_GB2312" w:cs="仿宋_GB2312"/>
          <w:color w:val="auto"/>
          <w:sz w:val="32"/>
          <w:szCs w:val="32"/>
        </w:rPr>
        <w:t>在统计期内经营</w:t>
      </w:r>
      <w:r>
        <w:rPr>
          <w:rFonts w:hint="eastAsia" w:ascii="仿宋_GB2312" w:hAnsi="仿宋_GB2312" w:eastAsia="仿宋_GB2312" w:cs="仿宋_GB2312"/>
          <w:color w:val="auto"/>
          <w:sz w:val="32"/>
          <w:szCs w:val="32"/>
          <w:lang w:val="en-US" w:eastAsia="zh-CN"/>
        </w:rPr>
        <w:t>非寿险</w:t>
      </w:r>
      <w:r>
        <w:rPr>
          <w:rFonts w:hint="eastAsia" w:ascii="仿宋_GB2312" w:hAnsi="仿宋_GB2312" w:eastAsia="仿宋_GB2312" w:cs="仿宋_GB2312"/>
          <w:color w:val="auto"/>
          <w:sz w:val="32"/>
          <w:szCs w:val="32"/>
        </w:rPr>
        <w:t>业务获得的</w:t>
      </w:r>
      <w:r>
        <w:rPr>
          <w:rFonts w:hint="eastAsia" w:ascii="仿宋_GB2312" w:hAnsi="仿宋_GB2312" w:eastAsia="仿宋_GB2312" w:cs="仿宋_GB2312"/>
          <w:color w:val="auto"/>
          <w:sz w:val="32"/>
          <w:szCs w:val="32"/>
          <w:lang w:val="en-US" w:eastAsia="zh-CN"/>
        </w:rPr>
        <w:t>收益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[承保利润]＝[已赚保费]－[综合赔付]－[综合费用]</w:t>
      </w:r>
      <w:r>
        <w:rPr>
          <w:rFonts w:hint="eastAsia" w:ascii="仿宋_GB2312" w:hAnsi="仿宋_GB2312" w:eastAsia="仿宋_GB2312" w:cs="仿宋_GB2312"/>
          <w:color w:val="auto"/>
          <w:sz w:val="32"/>
          <w:szCs w:val="32"/>
          <w:lang w:val="en-US" w:eastAsia="zh-CN"/>
        </w:rPr>
        <w:t>。</w:t>
      </w:r>
    </w:p>
    <w:p w14:paraId="27334DA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[应收保费]</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财产险公司在</w:t>
      </w:r>
      <w:r>
        <w:rPr>
          <w:rFonts w:hint="eastAsia" w:ascii="仿宋_GB2312" w:hAnsi="仿宋_GB2312" w:eastAsia="仿宋_GB2312" w:cs="仿宋_GB2312"/>
          <w:color w:val="auto"/>
          <w:sz w:val="32"/>
          <w:szCs w:val="32"/>
        </w:rPr>
        <w:t>统计期末</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保险合同约定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应向投保人收取但尚未收到的保费。</w:t>
      </w:r>
    </w:p>
    <w:p w14:paraId="435FC0D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[坏账准备]</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lang w:val="en-US" w:eastAsia="zh-CN"/>
        </w:rPr>
        <w:t>指财产险公司在统计期末按照企业会计准则计提的应收保费损失准备。</w:t>
      </w:r>
    </w:p>
    <w:p w14:paraId="4B0FC090">
      <w:pPr>
        <w:pStyle w:val="57"/>
        <w:keepNext w:val="0"/>
        <w:keepLines w:val="0"/>
        <w:pageBreakBefore w:val="0"/>
        <w:numPr>
          <w:ilvl w:val="0"/>
          <w:numId w:val="0"/>
        </w:numPr>
        <w:kinsoku/>
        <w:wordWrap/>
        <w:overflowPunct/>
        <w:topLinePunct w:val="0"/>
        <w:bidi w:val="0"/>
        <w:spacing w:after="0" w:line="600" w:lineRule="exact"/>
        <w:ind w:leftChars="0" w:firstLine="642"/>
        <w:jc w:val="left"/>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（三）长期业务专用统计指标</w:t>
      </w:r>
    </w:p>
    <w:p w14:paraId="2D3AF181">
      <w:pPr>
        <w:pStyle w:val="57"/>
        <w:keepNext w:val="0"/>
        <w:keepLines w:val="0"/>
        <w:pageBreakBefore w:val="0"/>
        <w:numPr>
          <w:ilvl w:val="0"/>
          <w:numId w:val="0"/>
        </w:numPr>
        <w:kinsoku/>
        <w:wordWrap/>
        <w:overflowPunct/>
        <w:topLinePunct w:val="0"/>
        <w:bidi w:val="0"/>
        <w:spacing w:after="0" w:line="600" w:lineRule="exact"/>
        <w:ind w:leftChars="0" w:firstLine="642"/>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对于人身险公司经营的长期</w:t>
      </w:r>
      <w:r>
        <w:rPr>
          <w:rFonts w:hint="eastAsia" w:ascii="仿宋_GB2312" w:hAnsi="仿宋_GB2312" w:eastAsia="仿宋_GB2312" w:cs="仿宋_GB2312"/>
          <w:b/>
          <w:bCs/>
          <w:color w:val="auto"/>
          <w:sz w:val="32"/>
          <w:szCs w:val="32"/>
        </w:rPr>
        <w:t>[意外伤害保险]、[健康保险]</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[人寿保险]、[年金保险]，需要统计[新单保费]、[续期保费]、</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个人</w:t>
      </w:r>
      <w:r>
        <w:rPr>
          <w:rFonts w:hint="eastAsia" w:ascii="仿宋_GB2312" w:hAnsi="仿宋_GB2312" w:eastAsia="仿宋_GB2312" w:cs="仿宋_GB2312"/>
          <w:b/>
          <w:bCs/>
          <w:color w:val="auto"/>
          <w:sz w:val="32"/>
          <w:szCs w:val="32"/>
        </w:rPr>
        <w:t>账户部分领取]</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[保单红利支出]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[退保金]</w:t>
      </w:r>
      <w:r>
        <w:rPr>
          <w:rFonts w:hint="eastAsia" w:ascii="仿宋_GB2312" w:hAnsi="仿宋_GB2312" w:eastAsia="仿宋_GB2312" w:cs="仿宋_GB2312"/>
          <w:b w:val="0"/>
          <w:bCs w:val="0"/>
          <w:color w:val="auto"/>
          <w:sz w:val="32"/>
          <w:szCs w:val="32"/>
          <w:lang w:eastAsia="zh-CN"/>
        </w:rPr>
        <w:t>，具体口径如下：</w:t>
      </w:r>
    </w:p>
    <w:p w14:paraId="2A553BF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[新单保费]</w:t>
      </w:r>
      <w:r>
        <w:rPr>
          <w:rFonts w:hint="eastAsia" w:ascii="仿宋_GB2312" w:hAnsi="仿宋_GB2312" w:eastAsia="仿宋_GB2312" w:cs="仿宋_GB2312"/>
          <w:color w:val="auto"/>
          <w:sz w:val="32"/>
          <w:szCs w:val="32"/>
          <w:lang w:val="en-US" w:eastAsia="zh-CN"/>
        </w:rPr>
        <w:t>是</w:t>
      </w:r>
      <w:r>
        <w:rPr>
          <w:rFonts w:hint="eastAsia" w:ascii="仿宋_GB2312" w:hAnsi="仿宋_GB2312" w:eastAsia="仿宋_GB2312" w:cs="仿宋_GB2312"/>
          <w:b/>
          <w:bCs/>
          <w:color w:val="auto"/>
          <w:sz w:val="32"/>
          <w:szCs w:val="32"/>
          <w:lang w:val="en-US" w:eastAsia="zh-CN"/>
        </w:rPr>
        <w:t>[保费]</w:t>
      </w:r>
      <w:r>
        <w:rPr>
          <w:rFonts w:hint="eastAsia" w:ascii="仿宋_GB2312" w:hAnsi="仿宋_GB2312" w:eastAsia="仿宋_GB2312" w:cs="仿宋_GB2312"/>
          <w:color w:val="auto"/>
          <w:sz w:val="32"/>
          <w:szCs w:val="32"/>
          <w:lang w:val="en-US" w:eastAsia="zh-CN"/>
        </w:rPr>
        <w:t>的下一级统计指标，是指缴费方式为</w:t>
      </w:r>
      <w:r>
        <w:rPr>
          <w:rFonts w:hint="eastAsia" w:ascii="仿宋_GB2312" w:hAnsi="仿宋_GB2312" w:eastAsia="仿宋_GB2312" w:cs="仿宋_GB2312"/>
          <w:b/>
          <w:bCs/>
          <w:color w:val="auto"/>
          <w:sz w:val="32"/>
          <w:szCs w:val="32"/>
          <w:lang w:val="en-US" w:eastAsia="zh-CN"/>
        </w:rPr>
        <w:t>[趸交]、[首年首期]、[首年续期]</w:t>
      </w:r>
      <w:r>
        <w:rPr>
          <w:rFonts w:hint="eastAsia" w:ascii="仿宋_GB2312" w:hAnsi="仿宋_GB2312" w:eastAsia="仿宋_GB2312" w:cs="仿宋_GB2312"/>
          <w:color w:val="auto"/>
          <w:sz w:val="32"/>
          <w:szCs w:val="32"/>
          <w:lang w:val="en-US" w:eastAsia="zh-CN"/>
        </w:rPr>
        <w:t>的长期业务的</w:t>
      </w:r>
      <w:r>
        <w:rPr>
          <w:rFonts w:hint="eastAsia" w:ascii="仿宋_GB2312" w:hAnsi="仿宋_GB2312" w:eastAsia="仿宋_GB2312" w:cs="仿宋_GB2312"/>
          <w:b/>
          <w:bCs/>
          <w:color w:val="auto"/>
          <w:sz w:val="32"/>
          <w:szCs w:val="32"/>
          <w:lang w:val="en-US" w:eastAsia="zh-CN"/>
        </w:rPr>
        <w:t>[保费]。</w:t>
      </w:r>
    </w:p>
    <w:p w14:paraId="69FB505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[续期保费]</w:t>
      </w:r>
      <w:r>
        <w:rPr>
          <w:rFonts w:hint="eastAsia" w:ascii="仿宋_GB2312" w:hAnsi="仿宋_GB2312" w:eastAsia="仿宋_GB2312" w:cs="仿宋_GB2312"/>
          <w:color w:val="auto"/>
          <w:sz w:val="32"/>
          <w:szCs w:val="32"/>
          <w:lang w:val="en-US" w:eastAsia="zh-CN"/>
        </w:rPr>
        <w:t>是</w:t>
      </w:r>
      <w:r>
        <w:rPr>
          <w:rFonts w:hint="eastAsia" w:ascii="仿宋_GB2312" w:hAnsi="仿宋_GB2312" w:eastAsia="仿宋_GB2312" w:cs="仿宋_GB2312"/>
          <w:b/>
          <w:bCs/>
          <w:color w:val="auto"/>
          <w:sz w:val="32"/>
          <w:szCs w:val="32"/>
          <w:lang w:val="en-US" w:eastAsia="zh-CN"/>
        </w:rPr>
        <w:t>[保费]</w:t>
      </w:r>
      <w:r>
        <w:rPr>
          <w:rFonts w:hint="eastAsia" w:ascii="仿宋_GB2312" w:hAnsi="仿宋_GB2312" w:eastAsia="仿宋_GB2312" w:cs="仿宋_GB2312"/>
          <w:color w:val="auto"/>
          <w:sz w:val="32"/>
          <w:szCs w:val="32"/>
          <w:lang w:val="en-US" w:eastAsia="zh-CN"/>
        </w:rPr>
        <w:t>的下一级统计指标，是指缴费方式为</w:t>
      </w:r>
      <w:r>
        <w:rPr>
          <w:rFonts w:hint="eastAsia" w:ascii="仿宋_GB2312" w:hAnsi="仿宋_GB2312" w:eastAsia="仿宋_GB2312" w:cs="仿宋_GB2312"/>
          <w:b/>
          <w:bCs/>
          <w:color w:val="auto"/>
          <w:sz w:val="32"/>
          <w:szCs w:val="32"/>
          <w:lang w:val="en-US" w:eastAsia="zh-CN"/>
        </w:rPr>
        <w:t>[续期]</w:t>
      </w:r>
      <w:r>
        <w:rPr>
          <w:rFonts w:hint="eastAsia" w:ascii="仿宋_GB2312" w:hAnsi="仿宋_GB2312" w:eastAsia="仿宋_GB2312" w:cs="仿宋_GB2312"/>
          <w:color w:val="auto"/>
          <w:sz w:val="32"/>
          <w:szCs w:val="32"/>
          <w:lang w:val="en-US" w:eastAsia="zh-CN"/>
        </w:rPr>
        <w:t>的长期业务的</w:t>
      </w:r>
      <w:r>
        <w:rPr>
          <w:rFonts w:hint="eastAsia" w:ascii="仿宋_GB2312" w:hAnsi="仿宋_GB2312" w:eastAsia="仿宋_GB2312" w:cs="仿宋_GB2312"/>
          <w:b/>
          <w:bCs/>
          <w:color w:val="auto"/>
          <w:sz w:val="32"/>
          <w:szCs w:val="32"/>
          <w:lang w:val="en-US" w:eastAsia="zh-CN"/>
        </w:rPr>
        <w:t>[保费]</w:t>
      </w:r>
      <w:r>
        <w:rPr>
          <w:rFonts w:hint="eastAsia" w:ascii="仿宋_GB2312" w:hAnsi="仿宋_GB2312" w:eastAsia="仿宋_GB2312" w:cs="仿宋_GB2312"/>
          <w:color w:val="auto"/>
          <w:sz w:val="32"/>
          <w:szCs w:val="32"/>
          <w:lang w:val="en-US" w:eastAsia="zh-CN"/>
        </w:rPr>
        <w:t>。</w:t>
      </w:r>
    </w:p>
    <w:p w14:paraId="78AB7952">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个人</w:t>
      </w:r>
      <w:r>
        <w:rPr>
          <w:rFonts w:hint="eastAsia" w:ascii="仿宋_GB2312" w:hAnsi="仿宋_GB2312" w:eastAsia="仿宋_GB2312" w:cs="仿宋_GB2312"/>
          <w:b/>
          <w:bCs/>
          <w:color w:val="auto"/>
          <w:sz w:val="32"/>
          <w:szCs w:val="32"/>
        </w:rPr>
        <w:t>账户部分领取]</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rPr>
        <w:t>指</w:t>
      </w:r>
      <w:r>
        <w:rPr>
          <w:rFonts w:hint="eastAsia" w:ascii="仿宋_GB2312" w:hAnsi="仿宋_GB2312" w:eastAsia="仿宋_GB2312" w:cs="仿宋_GB2312"/>
          <w:b w:val="0"/>
          <w:bCs w:val="0"/>
          <w:color w:val="auto"/>
          <w:sz w:val="32"/>
          <w:szCs w:val="32"/>
          <w:lang w:val="en-US" w:eastAsia="zh-CN"/>
        </w:rPr>
        <w:t>投保人在统计期内从万能险、</w:t>
      </w:r>
      <w:r>
        <w:rPr>
          <w:rFonts w:hint="eastAsia" w:ascii="仿宋_GB2312" w:hAnsi="仿宋_GB2312" w:eastAsia="仿宋_GB2312" w:cs="仿宋_GB2312"/>
          <w:b w:val="0"/>
          <w:bCs w:val="0"/>
          <w:color w:val="auto"/>
          <w:sz w:val="32"/>
          <w:szCs w:val="32"/>
        </w:rPr>
        <w:t>投</w:t>
      </w:r>
      <w:r>
        <w:rPr>
          <w:rFonts w:hint="eastAsia" w:ascii="仿宋_GB2312" w:hAnsi="仿宋_GB2312" w:eastAsia="仿宋_GB2312" w:cs="仿宋_GB2312"/>
          <w:b w:val="0"/>
          <w:bCs w:val="0"/>
          <w:color w:val="auto"/>
          <w:sz w:val="32"/>
          <w:szCs w:val="32"/>
          <w:lang w:val="en-US" w:eastAsia="zh-CN"/>
        </w:rPr>
        <w:t>连险等具有个人账户的保险合同中支取</w:t>
      </w:r>
      <w:r>
        <w:rPr>
          <w:rFonts w:hint="eastAsia" w:ascii="仿宋_GB2312" w:hAnsi="仿宋_GB2312" w:eastAsia="仿宋_GB2312" w:cs="仿宋_GB2312"/>
          <w:b w:val="0"/>
          <w:bCs w:val="0"/>
          <w:color w:val="auto"/>
          <w:sz w:val="32"/>
          <w:szCs w:val="32"/>
        </w:rPr>
        <w:t>的金额。</w:t>
      </w:r>
    </w:p>
    <w:p w14:paraId="6824615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[保单红利支出]</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人身险</w:t>
      </w:r>
      <w:r>
        <w:rPr>
          <w:rFonts w:hint="eastAsia" w:ascii="仿宋_GB2312" w:hAnsi="仿宋_GB2312" w:eastAsia="仿宋_GB2312" w:cs="仿宋_GB2312"/>
          <w:color w:val="auto"/>
          <w:sz w:val="32"/>
          <w:szCs w:val="32"/>
        </w:rPr>
        <w:t>公司</w:t>
      </w:r>
      <w:r>
        <w:rPr>
          <w:rFonts w:hint="eastAsia" w:ascii="仿宋_GB2312" w:hAnsi="仿宋_GB2312" w:eastAsia="仿宋_GB2312" w:cs="仿宋_GB2312"/>
          <w:color w:val="auto"/>
          <w:sz w:val="32"/>
          <w:szCs w:val="32"/>
          <w:lang w:val="en-US" w:eastAsia="zh-CN"/>
        </w:rPr>
        <w:t>在统计期内按照分红险保险合同</w:t>
      </w:r>
      <w:r>
        <w:rPr>
          <w:rFonts w:hint="eastAsia" w:ascii="仿宋_GB2312" w:hAnsi="仿宋_GB2312" w:eastAsia="仿宋_GB2312" w:cs="仿宋_GB2312"/>
          <w:color w:val="auto"/>
          <w:sz w:val="32"/>
          <w:szCs w:val="32"/>
        </w:rPr>
        <w:t>约定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w:t>
      </w:r>
      <w:r>
        <w:rPr>
          <w:rFonts w:hint="eastAsia" w:ascii="仿宋_GB2312" w:hAnsi="仿宋_GB2312" w:eastAsia="仿宋_GB2312" w:cs="仿宋_GB2312"/>
          <w:color w:val="auto"/>
          <w:sz w:val="32"/>
          <w:szCs w:val="32"/>
          <w:highlight w:val="none"/>
          <w:lang w:val="en-US" w:eastAsia="zh-CN"/>
        </w:rPr>
        <w:t>际以及应当支付</w:t>
      </w:r>
      <w:r>
        <w:rPr>
          <w:rFonts w:hint="eastAsia" w:ascii="仿宋_GB2312" w:hAnsi="仿宋_GB2312" w:eastAsia="仿宋_GB2312" w:cs="仿宋_GB2312"/>
          <w:color w:val="auto"/>
          <w:sz w:val="32"/>
          <w:szCs w:val="32"/>
          <w:highlight w:val="none"/>
        </w:rPr>
        <w:t>的红</w:t>
      </w:r>
      <w:r>
        <w:rPr>
          <w:rFonts w:hint="eastAsia" w:ascii="仿宋_GB2312" w:hAnsi="仿宋_GB2312" w:eastAsia="仿宋_GB2312" w:cs="仿宋_GB2312"/>
          <w:color w:val="auto"/>
          <w:sz w:val="32"/>
          <w:szCs w:val="32"/>
        </w:rPr>
        <w:t>利。</w:t>
      </w:r>
    </w:p>
    <w:p w14:paraId="4F5E1D9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[退保金]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color w:val="auto"/>
          <w:sz w:val="32"/>
          <w:szCs w:val="32"/>
          <w:lang w:val="en-US" w:eastAsia="zh-CN"/>
        </w:rPr>
        <w:t>人身险</w:t>
      </w:r>
      <w:r>
        <w:rPr>
          <w:rFonts w:hint="eastAsia" w:ascii="仿宋_GB2312" w:hAnsi="仿宋_GB2312" w:eastAsia="仿宋_GB2312" w:cs="仿宋_GB2312"/>
          <w:color w:val="auto"/>
          <w:sz w:val="32"/>
          <w:szCs w:val="32"/>
        </w:rPr>
        <w:t>公司</w:t>
      </w:r>
      <w:r>
        <w:rPr>
          <w:rFonts w:hint="eastAsia" w:ascii="仿宋_GB2312" w:hAnsi="仿宋_GB2312" w:eastAsia="仿宋_GB2312" w:cs="仿宋_GB2312"/>
          <w:color w:val="auto"/>
          <w:sz w:val="32"/>
          <w:szCs w:val="32"/>
          <w:lang w:val="en-US" w:eastAsia="zh-CN"/>
        </w:rPr>
        <w:t>承保的一年期以上的人身保险合同在统计期内</w:t>
      </w:r>
      <w:r>
        <w:rPr>
          <w:rFonts w:hint="eastAsia" w:ascii="仿宋_GB2312" w:hAnsi="仿宋_GB2312" w:eastAsia="仿宋_GB2312" w:cs="仿宋_GB2312"/>
          <w:color w:val="auto"/>
          <w:sz w:val="32"/>
          <w:szCs w:val="32"/>
        </w:rPr>
        <w:t>提前解除时，</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约定应当退</w:t>
      </w:r>
      <w:r>
        <w:rPr>
          <w:rFonts w:hint="eastAsia" w:ascii="仿宋_GB2312" w:hAnsi="仿宋_GB2312" w:eastAsia="仿宋_GB2312" w:cs="仿宋_GB2312"/>
          <w:color w:val="auto"/>
          <w:sz w:val="32"/>
          <w:szCs w:val="32"/>
          <w:lang w:val="en-US" w:eastAsia="zh-CN"/>
        </w:rPr>
        <w:t>还</w:t>
      </w:r>
      <w:r>
        <w:rPr>
          <w:rFonts w:hint="eastAsia" w:ascii="仿宋_GB2312" w:hAnsi="仿宋_GB2312" w:eastAsia="仿宋_GB2312" w:cs="仿宋_GB2312"/>
          <w:color w:val="auto"/>
          <w:sz w:val="32"/>
          <w:szCs w:val="32"/>
        </w:rPr>
        <w:t>的金额。</w:t>
      </w:r>
    </w:p>
    <w:p w14:paraId="25EC689D">
      <w:pPr>
        <w:pStyle w:val="57"/>
        <w:keepNext w:val="0"/>
        <w:keepLines w:val="0"/>
        <w:pageBreakBefore w:val="0"/>
        <w:numPr>
          <w:ilvl w:val="0"/>
          <w:numId w:val="0"/>
        </w:numPr>
        <w:kinsoku/>
        <w:wordWrap/>
        <w:overflowPunct/>
        <w:topLinePunct w:val="0"/>
        <w:bidi w:val="0"/>
        <w:spacing w:after="0" w:line="600" w:lineRule="exact"/>
        <w:ind w:lef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eastAsia="zh-CN"/>
        </w:rPr>
        <w:t>四</w:t>
      </w: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受托资产管理业务专用</w:t>
      </w:r>
      <w:r>
        <w:rPr>
          <w:rFonts w:hint="eastAsia" w:ascii="楷体_GB2312" w:hAnsi="楷体_GB2312" w:eastAsia="楷体_GB2312" w:cs="楷体_GB2312"/>
          <w:b w:val="0"/>
          <w:bCs w:val="0"/>
          <w:color w:val="auto"/>
          <w:sz w:val="32"/>
          <w:szCs w:val="32"/>
          <w:highlight w:val="none"/>
        </w:rPr>
        <w:t>统计指标</w:t>
      </w:r>
    </w:p>
    <w:p w14:paraId="4246CB91">
      <w:pPr>
        <w:pStyle w:val="57"/>
        <w:keepNext w:val="0"/>
        <w:keepLines w:val="0"/>
        <w:pageBreakBefore w:val="0"/>
        <w:numPr>
          <w:ilvl w:val="0"/>
          <w:numId w:val="0"/>
        </w:numPr>
        <w:kinsoku/>
        <w:wordWrap/>
        <w:overflowPunct/>
        <w:topLinePunct w:val="0"/>
        <w:bidi w:val="0"/>
        <w:spacing w:after="0" w:line="600" w:lineRule="exact"/>
        <w:ind w:leftChars="0" w:firstLine="640" w:firstLineChars="200"/>
        <w:jc w:val="both"/>
        <w:textAlignment w:val="auto"/>
        <w:rPr>
          <w:rFonts w:hint="eastAsia" w:ascii="楷体_GB2312" w:hAnsi="楷体_GB2312" w:eastAsia="仿宋_GB2312" w:cs="楷体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对于保险资产管理公司、养老险公司开展的受托资产管理业务，需要统计</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账面价值</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b/>
          <w:bCs/>
          <w:color w:val="auto"/>
          <w:sz w:val="32"/>
          <w:szCs w:val="32"/>
        </w:rPr>
        <w:t>[管理费]</w:t>
      </w:r>
      <w:r>
        <w:rPr>
          <w:rFonts w:hint="eastAsia" w:ascii="仿宋_GB2312" w:hAnsi="仿宋_GB2312" w:eastAsia="仿宋_GB2312" w:cs="仿宋_GB2312"/>
          <w:b w:val="0"/>
          <w:bCs w:val="0"/>
          <w:color w:val="auto"/>
          <w:sz w:val="32"/>
          <w:szCs w:val="32"/>
          <w:lang w:eastAsia="zh-CN"/>
        </w:rPr>
        <w:t>，具体口径如下：</w:t>
      </w:r>
    </w:p>
    <w:p w14:paraId="60899ACF">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账面价值</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olor w:val="auto"/>
          <w:sz w:val="32"/>
          <w:highlight w:val="none"/>
          <w:lang w:eastAsia="zh-CN"/>
        </w:rPr>
        <w:t>是指</w:t>
      </w:r>
      <w:r>
        <w:rPr>
          <w:rFonts w:hint="eastAsia" w:ascii="仿宋_GB2312" w:hAnsi="仿宋_GB2312" w:eastAsia="仿宋_GB2312"/>
          <w:color w:val="auto"/>
          <w:sz w:val="32"/>
          <w:highlight w:val="none"/>
        </w:rPr>
        <w:t>账面余额减去相关备抵项目后的净额，反映资产或负债在会计记录中的当前价值</w:t>
      </w:r>
      <w:r>
        <w:rPr>
          <w:rFonts w:hint="eastAsia" w:ascii="仿宋_GB2312" w:hAnsi="仿宋_GB2312" w:eastAsia="仿宋_GB2312"/>
          <w:color w:val="auto"/>
          <w:sz w:val="32"/>
          <w:highlight w:val="none"/>
          <w:lang w:eastAsia="zh-CN"/>
        </w:rPr>
        <w:t>。</w:t>
      </w:r>
      <w:r>
        <w:rPr>
          <w:rFonts w:hint="eastAsia" w:ascii="仿宋_GB2312" w:hAnsi="仿宋_GB2312" w:eastAsia="仿宋_GB2312" w:cs="仿宋_GB2312"/>
          <w:color w:val="auto"/>
          <w:sz w:val="32"/>
          <w:szCs w:val="32"/>
          <w:highlight w:val="none"/>
          <w:lang w:eastAsia="zh-CN"/>
        </w:rPr>
        <w:t>对于确实</w:t>
      </w:r>
      <w:r>
        <w:rPr>
          <w:rFonts w:hint="eastAsia" w:ascii="仿宋_GB2312" w:hAnsi="仿宋_GB2312" w:eastAsia="仿宋_GB2312" w:cs="仿宋_GB2312"/>
          <w:color w:val="auto"/>
          <w:sz w:val="32"/>
          <w:szCs w:val="32"/>
          <w:highlight w:val="none"/>
        </w:rPr>
        <w:t>无法确定</w:t>
      </w:r>
      <w:r>
        <w:rPr>
          <w:rFonts w:hint="eastAsia" w:ascii="仿宋_GB2312" w:hAnsi="仿宋_GB2312" w:eastAsia="仿宋_GB2312" w:cs="仿宋_GB2312"/>
          <w:color w:val="auto"/>
          <w:sz w:val="32"/>
          <w:szCs w:val="32"/>
          <w:highlight w:val="none"/>
          <w:lang w:eastAsia="zh-CN"/>
        </w:rPr>
        <w:t>账面价值</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可以按投资组合在统计期末的净值确定。比如，养老险公司</w:t>
      </w:r>
      <w:r>
        <w:rPr>
          <w:rFonts w:hint="eastAsia" w:ascii="仿宋_GB2312" w:hAnsi="仿宋_GB2312" w:eastAsia="仿宋_GB2312" w:cs="仿宋_GB2312"/>
          <w:color w:val="auto"/>
          <w:sz w:val="32"/>
          <w:szCs w:val="32"/>
          <w:highlight w:val="none"/>
        </w:rPr>
        <w:t>管理的受托计划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投资组合等业务。</w:t>
      </w:r>
    </w:p>
    <w:p w14:paraId="78C09232">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color w:val="auto"/>
          <w:sz w:val="32"/>
          <w:szCs w:val="32"/>
        </w:rPr>
        <w:t>[管理费]</w:t>
      </w:r>
      <w:r>
        <w:rPr>
          <w:rFonts w:hint="eastAsia" w:ascii="仿宋_GB2312" w:hAnsi="仿宋_GB2312" w:eastAsia="仿宋_GB2312" w:cs="仿宋_GB2312"/>
          <w:bCs/>
          <w:color w:val="auto"/>
          <w:sz w:val="32"/>
          <w:szCs w:val="32"/>
          <w:lang w:eastAsia="zh-CN"/>
        </w:rPr>
        <w:t>是指在</w:t>
      </w:r>
      <w:r>
        <w:rPr>
          <w:rFonts w:hint="eastAsia" w:ascii="仿宋_GB2312" w:hAnsi="仿宋_GB2312" w:eastAsia="仿宋_GB2312" w:cs="仿宋_GB2312"/>
          <w:bCs/>
          <w:color w:val="auto"/>
          <w:sz w:val="32"/>
          <w:szCs w:val="32"/>
          <w:lang w:val="en-US" w:eastAsia="zh-CN"/>
        </w:rPr>
        <w:t>统计期内经营受托管理业务</w:t>
      </w:r>
      <w:r>
        <w:rPr>
          <w:rFonts w:hint="eastAsia" w:ascii="仿宋_GB2312" w:hAnsi="仿宋_GB2312" w:eastAsia="仿宋_GB2312" w:cs="仿宋_GB2312"/>
          <w:bCs/>
          <w:color w:val="auto"/>
          <w:sz w:val="32"/>
          <w:szCs w:val="32"/>
        </w:rPr>
        <w:t>实际到账的管理费</w:t>
      </w:r>
      <w:r>
        <w:rPr>
          <w:rFonts w:hint="eastAsia" w:ascii="仿宋_GB2312" w:hAnsi="仿宋_GB2312" w:eastAsia="仿宋_GB2312" w:cs="仿宋_GB2312"/>
          <w:b w:val="0"/>
          <w:bCs/>
          <w:color w:val="auto"/>
          <w:sz w:val="32"/>
          <w:szCs w:val="32"/>
        </w:rPr>
        <w:t>，不包含风险准备金。</w:t>
      </w:r>
    </w:p>
    <w:p w14:paraId="37EB35DD">
      <w:pPr>
        <w:pStyle w:val="57"/>
        <w:keepNext w:val="0"/>
        <w:keepLines w:val="0"/>
        <w:pageBreakBefore w:val="0"/>
        <w:numPr>
          <w:ilvl w:val="0"/>
          <w:numId w:val="0"/>
        </w:numPr>
        <w:kinsoku/>
        <w:wordWrap/>
        <w:overflowPunct/>
        <w:topLinePunct w:val="0"/>
        <w:bidi w:val="0"/>
        <w:spacing w:after="0" w:line="600" w:lineRule="exact"/>
        <w:ind w:lef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五</w:t>
      </w: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资产管理专业服务业务专用</w:t>
      </w:r>
      <w:r>
        <w:rPr>
          <w:rFonts w:hint="eastAsia" w:ascii="楷体_GB2312" w:hAnsi="楷体_GB2312" w:eastAsia="楷体_GB2312" w:cs="楷体_GB2312"/>
          <w:b w:val="0"/>
          <w:bCs w:val="0"/>
          <w:color w:val="auto"/>
          <w:sz w:val="32"/>
          <w:szCs w:val="32"/>
          <w:highlight w:val="none"/>
        </w:rPr>
        <w:t>统计指标</w:t>
      </w:r>
    </w:p>
    <w:p w14:paraId="40E52E2E">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z w:val="32"/>
          <w:szCs w:val="32"/>
          <w:highlight w:val="none"/>
        </w:rPr>
        <w:t>保险资产管理公司应当根据《保险资产管理公司管理规定》（银保监令2022年第2号）要求，</w:t>
      </w:r>
      <w:r>
        <w:rPr>
          <w:rFonts w:hint="eastAsia" w:ascii="仿宋_GB2312" w:hAnsi="仿宋_GB2312" w:eastAsia="仿宋_GB2312" w:cs="仿宋_GB2312"/>
          <w:bCs/>
          <w:color w:val="auto"/>
          <w:sz w:val="32"/>
          <w:szCs w:val="32"/>
          <w:highlight w:val="none"/>
          <w:lang w:eastAsia="zh-CN"/>
        </w:rPr>
        <w:t>统计</w:t>
      </w:r>
      <w:r>
        <w:rPr>
          <w:rFonts w:hint="eastAsia" w:ascii="仿宋_GB2312" w:hAnsi="仿宋_GB2312" w:eastAsia="仿宋_GB2312" w:cs="仿宋_GB2312"/>
          <w:bCs/>
          <w:color w:val="auto"/>
          <w:sz w:val="32"/>
          <w:szCs w:val="32"/>
          <w:highlight w:val="none"/>
        </w:rPr>
        <w:t>各项专业服务的</w:t>
      </w:r>
      <w:r>
        <w:rPr>
          <w:rFonts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rPr>
        <w:t>服务规模]</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
          <w:bCs w:val="0"/>
          <w:color w:val="auto"/>
          <w:sz w:val="32"/>
          <w:szCs w:val="32"/>
          <w:highlight w:val="none"/>
        </w:rPr>
        <w:t>[服务对象</w:t>
      </w:r>
      <w:r>
        <w:rPr>
          <w:rFonts w:hint="eastAsia" w:ascii="仿宋_GB2312" w:hAnsi="仿宋_GB2312" w:eastAsia="仿宋_GB2312" w:cs="仿宋_GB2312"/>
          <w:b/>
          <w:bCs w:val="0"/>
          <w:color w:val="auto"/>
          <w:sz w:val="32"/>
          <w:szCs w:val="32"/>
          <w:highlight w:val="none"/>
          <w:lang w:val="en-US" w:eastAsia="zh-CN"/>
        </w:rPr>
        <w:t>数量</w:t>
      </w: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bCs w:val="0"/>
          <w:color w:val="auto"/>
          <w:sz w:val="32"/>
          <w:szCs w:val="32"/>
          <w:highlight w:val="none"/>
          <w:lang w:eastAsia="zh-CN"/>
        </w:rPr>
        <w:t>、</w:t>
      </w:r>
      <w:r>
        <w:rPr>
          <w:rFonts w:ascii="仿宋_GB2312" w:hAnsi="仿宋_GB2312" w:eastAsia="仿宋_GB2312" w:cs="仿宋_GB2312"/>
          <w:b/>
          <w:bCs/>
          <w:color w:val="auto"/>
          <w:sz w:val="32"/>
          <w:szCs w:val="32"/>
        </w:rPr>
        <w:t>[服务费]</w:t>
      </w:r>
      <w:r>
        <w:rPr>
          <w:rFonts w:hint="eastAsia" w:ascii="仿宋_GB2312" w:hAnsi="仿宋_GB2312" w:eastAsia="仿宋_GB2312" w:cs="仿宋_GB2312"/>
          <w:b w:val="0"/>
          <w:bCs w:val="0"/>
          <w:color w:val="auto"/>
          <w:sz w:val="32"/>
          <w:szCs w:val="32"/>
          <w:lang w:eastAsia="zh-CN"/>
        </w:rPr>
        <w:t>，具体口径如下：</w:t>
      </w:r>
    </w:p>
    <w:p w14:paraId="466165D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rPr>
        <w:t>服务规模]</w:t>
      </w:r>
      <w:r>
        <w:rPr>
          <w:rFonts w:hint="eastAsia" w:ascii="仿宋_GB2312" w:hAnsi="仿宋_GB2312" w:eastAsia="仿宋_GB2312" w:cs="仿宋_GB2312"/>
          <w:b w:val="0"/>
          <w:bCs/>
          <w:color w:val="auto"/>
          <w:sz w:val="32"/>
          <w:szCs w:val="32"/>
          <w:highlight w:val="none"/>
          <w:lang w:val="en-US" w:eastAsia="zh-CN"/>
        </w:rPr>
        <w:t>是指在统计期末的保险资产管理公司提供专业服务的规模，在确定</w:t>
      </w:r>
      <w:r>
        <w:rPr>
          <w:rFonts w:hint="eastAsia" w:ascii="仿宋_GB2312" w:hAnsi="仿宋_GB2312" w:eastAsia="仿宋_GB2312" w:cs="仿宋_GB2312"/>
          <w:b/>
          <w:bCs w:val="0"/>
          <w:color w:val="auto"/>
          <w:sz w:val="32"/>
          <w:szCs w:val="32"/>
          <w:highlight w:val="none"/>
          <w:lang w:val="en-US" w:eastAsia="zh-CN"/>
        </w:rPr>
        <w:t>[服务规模]</w:t>
      </w:r>
      <w:r>
        <w:rPr>
          <w:rFonts w:hint="eastAsia" w:ascii="仿宋_GB2312" w:hAnsi="仿宋_GB2312" w:eastAsia="仿宋_GB2312" w:cs="仿宋_GB2312"/>
          <w:b w:val="0"/>
          <w:bCs/>
          <w:color w:val="auto"/>
          <w:sz w:val="32"/>
          <w:szCs w:val="32"/>
          <w:highlight w:val="none"/>
          <w:lang w:val="en-US" w:eastAsia="zh-CN"/>
        </w:rPr>
        <w:t>时</w:t>
      </w:r>
      <w:r>
        <w:rPr>
          <w:rFonts w:hint="eastAsia" w:ascii="仿宋_GB2312" w:hAnsi="仿宋_GB2312" w:eastAsia="仿宋_GB2312" w:cs="仿宋_GB2312"/>
          <w:color w:val="auto"/>
          <w:sz w:val="32"/>
          <w:szCs w:val="32"/>
          <w:lang w:eastAsia="zh-CN"/>
        </w:rPr>
        <w:t>首先</w:t>
      </w:r>
      <w:r>
        <w:rPr>
          <w:rFonts w:hint="eastAsia" w:ascii="仿宋_GB2312" w:hAnsi="仿宋_GB2312" w:eastAsia="仿宋_GB2312" w:cs="仿宋_GB2312"/>
          <w:color w:val="auto"/>
          <w:sz w:val="32"/>
          <w:szCs w:val="32"/>
        </w:rPr>
        <w:t>按照专业服务合同规定的计费基准确定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无法确定的，</w:t>
      </w:r>
      <w:r>
        <w:rPr>
          <w:rFonts w:hint="eastAsia" w:ascii="仿宋_GB2312" w:hAnsi="仿宋_GB2312" w:eastAsia="仿宋_GB2312" w:cs="仿宋_GB2312"/>
          <w:color w:val="auto"/>
          <w:sz w:val="32"/>
          <w:szCs w:val="32"/>
          <w:lang w:val="en-US" w:eastAsia="zh-CN"/>
        </w:rPr>
        <w:t>可</w:t>
      </w:r>
      <w:r>
        <w:rPr>
          <w:rFonts w:hint="eastAsia" w:ascii="仿宋_GB2312" w:hAnsi="仿宋_GB2312" w:eastAsia="仿宋_GB2312" w:cs="仿宋_GB2312"/>
          <w:color w:val="auto"/>
          <w:sz w:val="32"/>
          <w:szCs w:val="32"/>
        </w:rPr>
        <w:t>按照以下方式确定：（1）单独签署专业服务协议的金额；（2）投资顾问或咨询业务的服务合同上注明的资产总规模；（3）若投资顾问或咨询业务的服务合同中未明确具体金额，则表示为实际存续规模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专业服务合同</w:t>
      </w:r>
      <w:r>
        <w:rPr>
          <w:rFonts w:hint="eastAsia" w:ascii="仿宋_GB2312" w:hAnsi="仿宋_GB2312" w:eastAsia="仿宋_GB2312" w:cs="仿宋_GB2312"/>
          <w:color w:val="auto"/>
          <w:sz w:val="32"/>
          <w:szCs w:val="32"/>
          <w:highlight w:val="none"/>
          <w:lang w:val="en-US" w:eastAsia="zh-CN"/>
        </w:rPr>
        <w:t>不涉及</w:t>
      </w:r>
      <w:r>
        <w:rPr>
          <w:rFonts w:hint="eastAsia" w:ascii="仿宋_GB2312" w:hAnsi="仿宋_GB2312" w:eastAsia="仿宋_GB2312" w:cs="仿宋_GB2312"/>
          <w:color w:val="auto"/>
          <w:sz w:val="32"/>
          <w:szCs w:val="32"/>
          <w:lang w:val="en-US" w:eastAsia="zh-CN"/>
        </w:rPr>
        <w:t>服务规模的，不用填报。</w:t>
      </w:r>
    </w:p>
    <w:p w14:paraId="36EC7A8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val="0"/>
          <w:color w:val="auto"/>
          <w:sz w:val="32"/>
          <w:szCs w:val="32"/>
          <w:highlight w:val="none"/>
        </w:rPr>
        <w:t>[服务对象</w:t>
      </w:r>
      <w:r>
        <w:rPr>
          <w:rFonts w:hint="eastAsia" w:ascii="仿宋_GB2312" w:hAnsi="仿宋_GB2312" w:eastAsia="仿宋_GB2312" w:cs="仿宋_GB2312"/>
          <w:b/>
          <w:bCs w:val="0"/>
          <w:color w:val="auto"/>
          <w:sz w:val="32"/>
          <w:szCs w:val="32"/>
          <w:highlight w:val="none"/>
          <w:lang w:val="en-US" w:eastAsia="zh-CN"/>
        </w:rPr>
        <w:t>数量</w:t>
      </w: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Cs/>
          <w:color w:val="auto"/>
          <w:sz w:val="32"/>
          <w:szCs w:val="32"/>
          <w:lang w:val="en-US" w:eastAsia="zh-CN"/>
        </w:rPr>
        <w:t>是指在统计期内</w:t>
      </w:r>
      <w:r>
        <w:rPr>
          <w:rFonts w:hint="eastAsia" w:ascii="仿宋_GB2312" w:hAnsi="仿宋_GB2312" w:eastAsia="仿宋_GB2312" w:cs="仿宋_GB2312"/>
          <w:bCs/>
          <w:color w:val="auto"/>
          <w:sz w:val="32"/>
          <w:szCs w:val="32"/>
          <w:highlight w:val="none"/>
        </w:rPr>
        <w:t>提供专业服务的客户数量。</w:t>
      </w:r>
    </w:p>
    <w:p w14:paraId="62C67CC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[服务费]</w:t>
      </w:r>
      <w:r>
        <w:rPr>
          <w:rFonts w:hint="eastAsia" w:ascii="仿宋_GB2312" w:hAnsi="仿宋_GB2312" w:eastAsia="仿宋_GB2312" w:cs="仿宋_GB2312"/>
          <w:color w:val="auto"/>
          <w:sz w:val="32"/>
          <w:szCs w:val="32"/>
          <w:lang w:val="en-US" w:eastAsia="zh-CN"/>
        </w:rPr>
        <w:t>是指在</w:t>
      </w:r>
      <w:r>
        <w:rPr>
          <w:rFonts w:hint="eastAsia" w:ascii="仿宋_GB2312" w:hAnsi="仿宋_GB2312" w:eastAsia="仿宋_GB2312" w:cs="仿宋_GB2312"/>
          <w:b w:val="0"/>
          <w:color w:val="auto"/>
          <w:sz w:val="32"/>
          <w:szCs w:val="32"/>
          <w:lang w:val="en-US" w:eastAsia="zh-CN"/>
        </w:rPr>
        <w:t>统计期内</w:t>
      </w:r>
      <w:r>
        <w:rPr>
          <w:rFonts w:hint="eastAsia" w:ascii="仿宋_GB2312" w:hAnsi="仿宋_GB2312" w:eastAsia="仿宋_GB2312" w:cs="仿宋_GB2312"/>
          <w:color w:val="auto"/>
          <w:sz w:val="32"/>
          <w:szCs w:val="32"/>
        </w:rPr>
        <w:t>因提供专业服务</w:t>
      </w:r>
      <w:r>
        <w:rPr>
          <w:rFonts w:hint="eastAsia" w:ascii="仿宋_GB2312" w:hAnsi="仿宋_GB2312" w:eastAsia="仿宋_GB2312" w:cs="仿宋_GB2312"/>
          <w:color w:val="auto"/>
          <w:sz w:val="32"/>
          <w:szCs w:val="32"/>
          <w:lang w:eastAsia="zh-CN"/>
        </w:rPr>
        <w:t>，按照权责发生制确认应收取</w:t>
      </w:r>
      <w:r>
        <w:rPr>
          <w:rFonts w:hint="eastAsia" w:ascii="仿宋_GB2312" w:hAnsi="仿宋_GB2312" w:eastAsia="仿宋_GB2312" w:cs="仿宋_GB2312"/>
          <w:color w:val="auto"/>
          <w:sz w:val="32"/>
          <w:szCs w:val="32"/>
        </w:rPr>
        <w:t>的服务费。</w:t>
      </w:r>
    </w:p>
    <w:p w14:paraId="4754583E">
      <w:pPr>
        <w:keepNext w:val="0"/>
        <w:keepLines w:val="0"/>
        <w:pageBreakBefore w:val="0"/>
        <w:kinsoku/>
        <w:wordWrap/>
        <w:overflowPunct/>
        <w:topLinePunct w:val="0"/>
        <w:bidi w:val="0"/>
        <w:spacing w:after="0" w:line="600" w:lineRule="exact"/>
        <w:ind w:firstLine="640" w:firstLineChars="200"/>
        <w:textAlignment w:val="auto"/>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、统计维度</w:t>
      </w:r>
      <w:r>
        <w:rPr>
          <w:rFonts w:hint="eastAsia" w:ascii="黑体" w:hAnsi="黑体" w:eastAsia="黑体" w:cs="黑体"/>
          <w:color w:val="auto"/>
          <w:sz w:val="32"/>
          <w:szCs w:val="32"/>
          <w:lang w:val="en-US" w:eastAsia="zh-CN"/>
        </w:rPr>
        <w:t>及分类标准</w:t>
      </w:r>
    </w:p>
    <w:p w14:paraId="4423B9CB">
      <w:pPr>
        <w:keepNext w:val="0"/>
        <w:keepLines w:val="0"/>
        <w:pageBreakBefore w:val="0"/>
        <w:kinsoku/>
        <w:wordWrap/>
        <w:overflowPunct/>
        <w:topLinePunct w:val="0"/>
        <w:bidi w:val="0"/>
        <w:spacing w:after="0" w:line="600" w:lineRule="exact"/>
        <w:ind w:firstLine="640" w:firstLineChars="200"/>
        <w:textAlignment w:val="auto"/>
        <w:outlineLvl w:val="2"/>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rPr>
        <w:t>（一）地区</w:t>
      </w:r>
      <w:r>
        <w:rPr>
          <w:rFonts w:hint="eastAsia" w:ascii="楷体_GB2312" w:hAnsi="楷体_GB2312" w:eastAsia="楷体_GB2312" w:cs="楷体_GB2312"/>
          <w:b w:val="0"/>
          <w:bCs/>
          <w:color w:val="auto"/>
          <w:sz w:val="32"/>
          <w:szCs w:val="32"/>
          <w:lang w:val="en-US" w:eastAsia="zh-CN"/>
        </w:rPr>
        <w:t>维度</w:t>
      </w:r>
    </w:p>
    <w:p w14:paraId="5BB4425C">
      <w:pPr>
        <w:keepNext w:val="0"/>
        <w:keepLines w:val="0"/>
        <w:pageBreakBefore w:val="0"/>
        <w:kinsoku/>
        <w:wordWrap/>
        <w:overflowPunct/>
        <w:topLinePunct w:val="0"/>
        <w:bidi w:val="0"/>
        <w:spacing w:after="0"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指</w:t>
      </w:r>
      <w:r>
        <w:rPr>
          <w:rFonts w:hint="eastAsia" w:ascii="仿宋_GB2312" w:hAnsi="仿宋_GB2312" w:eastAsia="仿宋_GB2312" w:cs="仿宋_GB2312"/>
          <w:color w:val="auto"/>
          <w:sz w:val="32"/>
          <w:szCs w:val="32"/>
        </w:rPr>
        <w:t>保险公司应</w:t>
      </w:r>
      <w:r>
        <w:rPr>
          <w:rFonts w:hint="eastAsia" w:ascii="仿宋_GB2312" w:hAnsi="仿宋_GB2312" w:eastAsia="仿宋_GB2312" w:cs="仿宋_GB2312"/>
          <w:color w:val="auto"/>
          <w:sz w:val="32"/>
          <w:szCs w:val="32"/>
          <w:lang w:val="en-US" w:eastAsia="zh-CN"/>
        </w:rPr>
        <w:t>按照本制度相关规定填报全国合计、</w:t>
      </w:r>
      <w:r>
        <w:rPr>
          <w:rFonts w:hint="eastAsia" w:ascii="仿宋_GB2312" w:hAnsi="仿宋_GB2312" w:eastAsia="仿宋_GB2312" w:cs="仿宋_GB2312"/>
          <w:color w:val="auto"/>
          <w:sz w:val="32"/>
          <w:szCs w:val="32"/>
        </w:rPr>
        <w:t>省（自治区、直辖市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计划单列市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、县（区、县级市）的相关数据。</w:t>
      </w:r>
      <w:r>
        <w:rPr>
          <w:rFonts w:hint="eastAsia" w:ascii="仿宋_GB2312" w:hAnsi="仿宋_GB2312" w:eastAsia="仿宋_GB2312" w:cs="仿宋_GB2312"/>
          <w:color w:val="auto"/>
          <w:sz w:val="32"/>
          <w:szCs w:val="32"/>
          <w:highlight w:val="none"/>
          <w:lang w:val="en-US" w:eastAsia="zh-CN"/>
        </w:rPr>
        <w:t>原则上应以出单机构注册地为准，全国</w:t>
      </w:r>
      <w:r>
        <w:rPr>
          <w:rFonts w:hint="eastAsia" w:ascii="仿宋_GB2312" w:hAnsi="仿宋_GB2312" w:eastAsia="仿宋_GB2312" w:cs="仿宋_GB2312"/>
          <w:color w:val="auto"/>
          <w:sz w:val="32"/>
          <w:szCs w:val="32"/>
          <w:highlight w:val="none"/>
        </w:rPr>
        <w:t>汇总数据应等于总公司本级数据与各省数据的加总，各省汇总数据应等于该省各市数据的加总，各市汇总数据应等于该市各县数据的加总。</w:t>
      </w:r>
    </w:p>
    <w:p w14:paraId="2DDAAFC3">
      <w:pPr>
        <w:keepNext w:val="0"/>
        <w:keepLines w:val="0"/>
        <w:pageBreakBefore w:val="0"/>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eastAsia="zh-CN"/>
        </w:rPr>
        <w:t>二</w:t>
      </w: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eastAsia="zh-CN"/>
        </w:rPr>
        <w:t>保险业务</w:t>
      </w:r>
      <w:r>
        <w:rPr>
          <w:rFonts w:hint="eastAsia" w:ascii="楷体_GB2312" w:hAnsi="楷体_GB2312" w:eastAsia="楷体_GB2312" w:cs="楷体_GB2312"/>
          <w:b w:val="0"/>
          <w:bCs/>
          <w:color w:val="auto"/>
          <w:sz w:val="32"/>
          <w:szCs w:val="32"/>
          <w:highlight w:val="none"/>
        </w:rPr>
        <w:t>险种</w:t>
      </w:r>
      <w:r>
        <w:rPr>
          <w:rFonts w:hint="eastAsia" w:ascii="楷体_GB2312" w:hAnsi="楷体_GB2312" w:eastAsia="楷体_GB2312" w:cs="楷体_GB2312"/>
          <w:b w:val="0"/>
          <w:bCs/>
          <w:color w:val="auto"/>
          <w:sz w:val="32"/>
          <w:szCs w:val="32"/>
          <w:highlight w:val="none"/>
          <w:lang w:val="en-US" w:eastAsia="zh-CN"/>
        </w:rPr>
        <w:t>维度</w:t>
      </w:r>
      <w:r>
        <w:rPr>
          <w:rFonts w:hint="eastAsia" w:ascii="楷体_GB2312" w:hAnsi="楷体_GB2312" w:eastAsia="楷体_GB2312" w:cs="楷体_GB2312"/>
          <w:b/>
          <w:bCs w:val="0"/>
          <w:color w:val="auto"/>
          <w:sz w:val="32"/>
          <w:szCs w:val="32"/>
          <w:highlight w:val="none"/>
          <w:lang w:val="en-US" w:eastAsia="zh-CN"/>
        </w:rPr>
        <w:t>☆</w:t>
      </w:r>
    </w:p>
    <w:p w14:paraId="6F0BD983">
      <w:pPr>
        <w:pStyle w:val="57"/>
        <w:keepNext w:val="0"/>
        <w:keepLines w:val="0"/>
        <w:pageBreakBefore w:val="0"/>
        <w:widowControl w:val="0"/>
        <w:kinsoku/>
        <w:wordWrap/>
        <w:overflowPunct/>
        <w:topLinePunct w:val="0"/>
        <w:autoSpaceDE w:val="0"/>
        <w:autoSpaceDN w:val="0"/>
        <w:bidi w:val="0"/>
        <w:adjustRightInd w:val="0"/>
        <w:snapToGrid/>
        <w:spacing w:after="0"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保险业务的</w:t>
      </w:r>
      <w:r>
        <w:rPr>
          <w:rFonts w:hint="eastAsia" w:ascii="仿宋_GB2312" w:hAnsi="仿宋_GB2312" w:eastAsia="仿宋_GB2312" w:cs="仿宋_GB2312"/>
          <w:b w:val="0"/>
          <w:bCs w:val="0"/>
          <w:color w:val="auto"/>
          <w:sz w:val="32"/>
          <w:szCs w:val="32"/>
          <w:lang w:val="en-US" w:eastAsia="zh-CN"/>
        </w:rPr>
        <w:t>险种维度</w:t>
      </w:r>
      <w:r>
        <w:rPr>
          <w:rFonts w:hint="eastAsia" w:ascii="仿宋_GB2312" w:hAnsi="仿宋_GB2312" w:eastAsia="仿宋_GB2312" w:cs="仿宋_GB2312"/>
          <w:color w:val="auto"/>
          <w:sz w:val="32"/>
          <w:szCs w:val="32"/>
          <w:lang w:val="en-US" w:eastAsia="zh-CN"/>
        </w:rPr>
        <w:t>分为</w:t>
      </w:r>
      <w:r>
        <w:rPr>
          <w:rFonts w:hint="eastAsia" w:ascii="仿宋_GB2312" w:hAnsi="仿宋_GB2312" w:eastAsia="仿宋_GB2312" w:cs="仿宋_GB2312"/>
          <w:b/>
          <w:bCs/>
          <w:color w:val="auto"/>
          <w:sz w:val="32"/>
          <w:szCs w:val="32"/>
        </w:rPr>
        <w:t>[企业财产保险]、[家庭财产保险]、[机动车辆保险]、[工程保险]、[责任保险]、[信用保险]、[保证保险]、[船舶保险]、[货物运输保险]、[特殊风险保险]、[农业保险]、[意外伤害保险]、[健康保险]</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[人寿保险]、[年金保险]</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[其他]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财产保险公司适用于除</w:t>
      </w:r>
      <w:r>
        <w:rPr>
          <w:rFonts w:hint="eastAsia" w:ascii="仿宋_GB2312" w:hAnsi="仿宋_GB2312" w:eastAsia="仿宋_GB2312" w:cs="仿宋_GB2312"/>
          <w:b/>
          <w:bCs/>
          <w:color w:val="auto"/>
          <w:sz w:val="32"/>
          <w:szCs w:val="32"/>
        </w:rPr>
        <w:t>[人寿保险]、[年金保险]</w:t>
      </w:r>
      <w:r>
        <w:rPr>
          <w:rFonts w:hint="eastAsia" w:ascii="仿宋_GB2312" w:hAnsi="仿宋_GB2312" w:eastAsia="仿宋_GB2312" w:cs="仿宋_GB2312"/>
          <w:color w:val="auto"/>
          <w:sz w:val="32"/>
          <w:szCs w:val="32"/>
          <w:lang w:eastAsia="zh-CN"/>
        </w:rPr>
        <w:t>以外的其他所有险种，人身保险公司适用于</w:t>
      </w:r>
      <w:r>
        <w:rPr>
          <w:rFonts w:hint="eastAsia" w:ascii="仿宋_GB2312" w:hAnsi="仿宋_GB2312" w:eastAsia="仿宋_GB2312" w:cs="仿宋_GB2312"/>
          <w:b/>
          <w:bCs/>
          <w:color w:val="auto"/>
          <w:sz w:val="32"/>
          <w:szCs w:val="32"/>
        </w:rPr>
        <w:t>[意外伤害保险]、[健康保险]</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[人寿保险]、[年金保险]。</w:t>
      </w:r>
    </w:p>
    <w:p w14:paraId="5197B6B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color w:val="auto"/>
          <w:sz w:val="32"/>
          <w:szCs w:val="32"/>
          <w:highlight w:val="none"/>
        </w:rPr>
        <w:t>[机动车辆保险]</w:t>
      </w:r>
      <w:r>
        <w:rPr>
          <w:rFonts w:hint="eastAsia" w:ascii="仿宋_GB2312" w:hAnsi="仿宋_GB2312" w:eastAsia="仿宋_GB2312" w:cs="仿宋_GB2312"/>
          <w:b w:val="0"/>
          <w:bCs/>
          <w:color w:val="auto"/>
          <w:sz w:val="32"/>
          <w:szCs w:val="32"/>
          <w:highlight w:val="none"/>
          <w:lang w:eastAsia="zh-CN"/>
        </w:rPr>
        <w:t>的二级类型</w:t>
      </w:r>
      <w:r>
        <w:rPr>
          <w:rFonts w:hint="eastAsia" w:ascii="仿宋_GB2312" w:hAnsi="仿宋_GB2312" w:eastAsia="仿宋_GB2312" w:cs="仿宋_GB2312"/>
          <w:b w:val="0"/>
          <w:bCs/>
          <w:color w:val="auto"/>
          <w:sz w:val="32"/>
          <w:szCs w:val="32"/>
          <w:highlight w:val="none"/>
          <w:lang w:val="en-US" w:eastAsia="zh-CN"/>
        </w:rPr>
        <w:t>分为</w:t>
      </w:r>
      <w:r>
        <w:rPr>
          <w:rFonts w:hint="eastAsia" w:ascii="仿宋_GB2312" w:hAnsi="仿宋_GB2312" w:eastAsia="仿宋_GB2312" w:cs="仿宋_GB2312"/>
          <w:b/>
          <w:color w:val="auto"/>
          <w:sz w:val="32"/>
          <w:szCs w:val="32"/>
          <w:highlight w:val="none"/>
        </w:rPr>
        <w:t>[商业险]、[交强险]。</w:t>
      </w:r>
      <w:r>
        <w:rPr>
          <w:rFonts w:hint="eastAsia" w:ascii="仿宋_GB2312" w:hAnsi="仿宋_GB2312" w:eastAsia="仿宋_GB2312" w:cs="仿宋_GB2312"/>
          <w:b/>
          <w:color w:val="auto"/>
          <w:sz w:val="32"/>
          <w:szCs w:val="32"/>
          <w:highlight w:val="none"/>
          <w:lang w:val="en-US" w:eastAsia="zh-CN"/>
        </w:rPr>
        <w:t>其中，</w:t>
      </w:r>
      <w:r>
        <w:rPr>
          <w:rFonts w:hint="eastAsia" w:ascii="仿宋_GB2312" w:hAnsi="仿宋_GB2312" w:eastAsia="仿宋_GB2312" w:cs="仿宋_GB2312"/>
          <w:b/>
          <w:color w:val="auto"/>
          <w:sz w:val="32"/>
          <w:szCs w:val="32"/>
          <w:highlight w:val="none"/>
        </w:rPr>
        <w:t>[商业险]</w:t>
      </w:r>
      <w:r>
        <w:rPr>
          <w:rFonts w:hint="eastAsia" w:ascii="仿宋_GB2312" w:hAnsi="仿宋_GB2312" w:eastAsia="仿宋_GB2312" w:cs="仿宋_GB2312"/>
          <w:b w:val="0"/>
          <w:bCs/>
          <w:color w:val="auto"/>
          <w:sz w:val="32"/>
          <w:szCs w:val="32"/>
          <w:highlight w:val="none"/>
          <w:lang w:eastAsia="zh-CN"/>
        </w:rPr>
        <w:t>的三级类型</w:t>
      </w:r>
      <w:r>
        <w:rPr>
          <w:rFonts w:hint="eastAsia" w:ascii="仿宋_GB2312" w:hAnsi="仿宋_GB2312" w:eastAsia="仿宋_GB2312" w:cs="仿宋_GB2312"/>
          <w:b w:val="0"/>
          <w:bCs/>
          <w:color w:val="auto"/>
          <w:sz w:val="32"/>
          <w:szCs w:val="32"/>
          <w:highlight w:val="none"/>
          <w:lang w:val="en-US" w:eastAsia="zh-CN"/>
        </w:rPr>
        <w:t>分为</w:t>
      </w:r>
      <w:r>
        <w:rPr>
          <w:rFonts w:hint="eastAsia" w:ascii="仿宋_GB2312" w:hAnsi="仿宋_GB2312" w:eastAsia="仿宋_GB2312" w:cs="仿宋_GB2312"/>
          <w:b/>
          <w:color w:val="auto"/>
          <w:sz w:val="32"/>
          <w:szCs w:val="32"/>
          <w:highlight w:val="none"/>
        </w:rPr>
        <w:t>[商业车损险]、[商业三者险]、[其他]</w:t>
      </w:r>
      <w:r>
        <w:rPr>
          <w:rFonts w:hint="eastAsia" w:ascii="仿宋_GB2312" w:hAnsi="仿宋_GB2312" w:eastAsia="仿宋_GB2312" w:cs="仿宋_GB2312"/>
          <w:b/>
          <w:color w:val="auto"/>
          <w:sz w:val="32"/>
          <w:szCs w:val="32"/>
          <w:highlight w:val="none"/>
          <w:lang w:eastAsia="zh-CN"/>
        </w:rPr>
        <w:t>。</w:t>
      </w:r>
    </w:p>
    <w:p w14:paraId="0041D82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[责任保险]</w:t>
      </w:r>
      <w:r>
        <w:rPr>
          <w:rFonts w:hint="eastAsia" w:ascii="仿宋_GB2312" w:hAnsi="仿宋_GB2312" w:eastAsia="仿宋_GB2312" w:cs="仿宋_GB2312"/>
          <w:b w:val="0"/>
          <w:bCs/>
          <w:color w:val="auto"/>
          <w:sz w:val="32"/>
          <w:szCs w:val="32"/>
          <w:highlight w:val="none"/>
          <w:lang w:eastAsia="zh-CN"/>
        </w:rPr>
        <w:t>的二级类型</w:t>
      </w:r>
      <w:r>
        <w:rPr>
          <w:rFonts w:hint="eastAsia" w:ascii="仿宋_GB2312" w:hAnsi="仿宋_GB2312" w:eastAsia="仿宋_GB2312" w:cs="仿宋_GB2312"/>
          <w:color w:val="auto"/>
          <w:sz w:val="32"/>
          <w:szCs w:val="32"/>
        </w:rPr>
        <w:t>分为</w:t>
      </w:r>
      <w:r>
        <w:rPr>
          <w:rFonts w:hint="eastAsia" w:ascii="仿宋_GB2312" w:hAnsi="仿宋_GB2312" w:eastAsia="仿宋_GB2312" w:cs="仿宋_GB2312"/>
          <w:b/>
          <w:bCs/>
          <w:color w:val="auto"/>
          <w:sz w:val="32"/>
          <w:szCs w:val="32"/>
        </w:rPr>
        <w:t>[公众责任保险]、[产品责任保险]、[雇主责任保险]、[职业责任保险]及[其他责任保险]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b/>
          <w:bCs/>
          <w:color w:val="auto"/>
          <w:sz w:val="32"/>
          <w:szCs w:val="32"/>
        </w:rPr>
        <w:t>[雇主责任保险]</w:t>
      </w:r>
      <w:r>
        <w:rPr>
          <w:rFonts w:hint="eastAsia" w:ascii="仿宋_GB2312" w:hAnsi="仿宋_GB2312" w:eastAsia="仿宋_GB2312" w:cs="仿宋_GB2312"/>
          <w:b w:val="0"/>
          <w:bCs/>
          <w:color w:val="auto"/>
          <w:sz w:val="32"/>
          <w:szCs w:val="32"/>
          <w:highlight w:val="none"/>
          <w:lang w:eastAsia="zh-CN"/>
        </w:rPr>
        <w:t>的三级类型</w:t>
      </w:r>
      <w:r>
        <w:rPr>
          <w:rFonts w:hint="eastAsia" w:ascii="仿宋_GB2312" w:hAnsi="仿宋_GB2312" w:eastAsia="仿宋_GB2312" w:cs="仿宋_GB2312"/>
          <w:b w:val="0"/>
          <w:bCs w:val="0"/>
          <w:color w:val="auto"/>
          <w:sz w:val="32"/>
          <w:szCs w:val="32"/>
          <w:lang w:val="en-US" w:eastAsia="zh-CN"/>
        </w:rPr>
        <w:t>包括</w:t>
      </w:r>
      <w:r>
        <w:rPr>
          <w:rFonts w:hint="eastAsia" w:ascii="仿宋_GB2312" w:hAnsi="仿宋_GB2312" w:eastAsia="仿宋_GB2312" w:cs="仿宋_GB2312"/>
          <w:b/>
          <w:bCs/>
          <w:color w:val="auto"/>
          <w:sz w:val="32"/>
          <w:szCs w:val="32"/>
        </w:rPr>
        <w:t>[雇主责任保险产品]</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[安全生产责任保险产品]</w:t>
      </w:r>
      <w:r>
        <w:rPr>
          <w:rFonts w:hint="eastAsia" w:ascii="仿宋_GB2312" w:hAnsi="仿宋_GB2312" w:eastAsia="仿宋_GB2312" w:cs="仿宋_GB2312"/>
          <w:b w:val="0"/>
          <w:bCs w:val="0"/>
          <w:color w:val="auto"/>
          <w:sz w:val="32"/>
          <w:szCs w:val="32"/>
          <w:lang w:eastAsia="zh-CN"/>
        </w:rPr>
        <w:t>。</w:t>
      </w:r>
    </w:p>
    <w:p w14:paraId="36D0282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rPr>
        <w:t>[农业保险]</w:t>
      </w:r>
      <w:r>
        <w:rPr>
          <w:rFonts w:hint="eastAsia" w:ascii="仿宋_GB2312" w:hAnsi="仿宋_GB2312" w:eastAsia="仿宋_GB2312" w:cs="仿宋_GB2312"/>
          <w:b w:val="0"/>
          <w:bCs/>
          <w:color w:val="auto"/>
          <w:sz w:val="32"/>
          <w:szCs w:val="32"/>
          <w:highlight w:val="none"/>
          <w:lang w:eastAsia="zh-CN"/>
        </w:rPr>
        <w:t>的二级类型</w:t>
      </w:r>
      <w:r>
        <w:rPr>
          <w:rFonts w:hint="eastAsia" w:ascii="仿宋_GB2312" w:hAnsi="仿宋_GB2312" w:eastAsia="仿宋_GB2312" w:cs="仿宋_GB2312"/>
          <w:color w:val="auto"/>
          <w:sz w:val="32"/>
          <w:szCs w:val="32"/>
          <w:lang w:val="en-US" w:eastAsia="zh-CN"/>
        </w:rPr>
        <w:t>分为</w:t>
      </w:r>
      <w:r>
        <w:rPr>
          <w:rFonts w:hint="eastAsia" w:ascii="仿宋_GB2312" w:hAnsi="仿宋_GB2312" w:eastAsia="仿宋_GB2312" w:cs="仿宋_GB2312"/>
          <w:b/>
          <w:bCs/>
          <w:color w:val="auto"/>
          <w:sz w:val="32"/>
          <w:szCs w:val="32"/>
        </w:rPr>
        <w:t>[种植业保险]、[养殖业保险]、[林木保险]</w:t>
      </w:r>
      <w:r>
        <w:rPr>
          <w:rFonts w:hint="eastAsia" w:ascii="仿宋_GB2312" w:hAnsi="仿宋_GB2312" w:eastAsia="仿宋_GB2312" w:cs="仿宋_GB2312"/>
          <w:color w:val="auto"/>
          <w:sz w:val="32"/>
          <w:szCs w:val="32"/>
        </w:rPr>
        <w:t>。</w:t>
      </w:r>
    </w:p>
    <w:p w14:paraId="0DABAE03">
      <w:pPr>
        <w:keepNext w:val="0"/>
        <w:keepLines w:val="0"/>
        <w:pageBreakBefore w:val="0"/>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退货运费保险</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highlight w:val="none"/>
          <w:lang w:val="en-US" w:eastAsia="zh-CN"/>
        </w:rPr>
        <w:t>指财产险公司按照约定为网络购物退货或换货所产生的运费损失提供保障的保险。其中，数字商品、票务产品、旅游服务类产品等非实物类商品交易不属于退货运费保险约定的网络购物范围。</w:t>
      </w:r>
    </w:p>
    <w:p w14:paraId="07758E71">
      <w:pPr>
        <w:keepNext w:val="0"/>
        <w:keepLines w:val="0"/>
        <w:pageBreakBefore w:val="0"/>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rPr>
        <w:t>健康保险</w:t>
      </w:r>
      <w:r>
        <w:rPr>
          <w:rFonts w:hint="eastAsia"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的二级险种包括</w:t>
      </w:r>
      <w:r>
        <w:rPr>
          <w:rFonts w:hint="eastAsia" w:ascii="仿宋_GB2312" w:hAnsi="仿宋_GB2312" w:eastAsia="仿宋_GB2312" w:cs="仿宋_GB2312"/>
          <w:b/>
          <w:color w:val="auto"/>
          <w:sz w:val="32"/>
          <w:szCs w:val="32"/>
          <w:highlight w:val="none"/>
        </w:rPr>
        <w:t>[医疗保险]、[疾病保险]、[失能收入损失保险]、[护理保险]、[医疗意外保险]</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根据设计类型不同，</w:t>
      </w:r>
      <w:r>
        <w:rPr>
          <w:rFonts w:hint="eastAsia" w:ascii="仿宋_GB2312" w:hAnsi="仿宋_GB2312" w:eastAsia="仿宋_GB2312" w:cs="仿宋_GB2312"/>
          <w:b/>
          <w:bCs w:val="0"/>
          <w:color w:val="auto"/>
          <w:sz w:val="32"/>
          <w:szCs w:val="32"/>
          <w:highlight w:val="none"/>
          <w:lang w:val="en-US" w:eastAsia="zh-CN"/>
        </w:rPr>
        <w:t>[健康保险]</w:t>
      </w:r>
      <w:r>
        <w:rPr>
          <w:rFonts w:hint="eastAsia" w:ascii="仿宋_GB2312" w:hAnsi="仿宋_GB2312" w:eastAsia="仿宋_GB2312" w:cs="仿宋_GB2312"/>
          <w:b w:val="0"/>
          <w:bCs/>
          <w:color w:val="auto"/>
          <w:sz w:val="32"/>
          <w:szCs w:val="32"/>
          <w:highlight w:val="none"/>
          <w:lang w:eastAsia="zh-CN"/>
        </w:rPr>
        <w:t>可分为</w:t>
      </w:r>
      <w:r>
        <w:rPr>
          <w:rFonts w:hint="eastAsia" w:ascii="仿宋_GB2312" w:hAnsi="仿宋_GB2312" w:eastAsia="仿宋_GB2312" w:cs="仿宋_GB2312"/>
          <w:b/>
          <w:color w:val="auto"/>
          <w:sz w:val="32"/>
          <w:szCs w:val="32"/>
          <w:highlight w:val="none"/>
        </w:rPr>
        <w:t>[普通型]、[分红型]</w:t>
      </w:r>
      <w:r>
        <w:rPr>
          <w:rFonts w:hint="eastAsia" w:ascii="仿宋_GB2312" w:hAnsi="仿宋_GB2312" w:eastAsia="仿宋_GB2312" w:cs="仿宋_GB2312"/>
          <w:b w:val="0"/>
          <w:bCs/>
          <w:color w:val="auto"/>
          <w:sz w:val="32"/>
          <w:szCs w:val="32"/>
          <w:highlight w:val="none"/>
        </w:rPr>
        <w:t>。</w:t>
      </w:r>
    </w:p>
    <w:p w14:paraId="398F12A6">
      <w:pPr>
        <w:keepNext w:val="0"/>
        <w:keepLines w:val="0"/>
        <w:pageBreakBefore w:val="0"/>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rPr>
        <w:t>人寿保险</w:t>
      </w:r>
      <w:r>
        <w:rPr>
          <w:rFonts w:hint="eastAsia"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的二级险种分类包括</w:t>
      </w:r>
      <w:r>
        <w:rPr>
          <w:rFonts w:hint="eastAsia" w:ascii="仿宋_GB2312" w:hAnsi="仿宋_GB2312" w:eastAsia="仿宋_GB2312" w:cs="仿宋_GB2312"/>
          <w:b/>
          <w:color w:val="auto"/>
          <w:sz w:val="32"/>
          <w:szCs w:val="32"/>
          <w:highlight w:val="none"/>
        </w:rPr>
        <w:t>[定期寿险]、[终身寿险]、[两全保险]</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根据设计类型不同，</w:t>
      </w:r>
      <w:r>
        <w:rPr>
          <w:rFonts w:hint="eastAsia" w:ascii="仿宋_GB2312" w:hAnsi="仿宋_GB2312" w:eastAsia="仿宋_GB2312" w:cs="仿宋_GB2312"/>
          <w:b/>
          <w:bCs w:val="0"/>
          <w:color w:val="auto"/>
          <w:sz w:val="32"/>
          <w:szCs w:val="32"/>
          <w:highlight w:val="none"/>
          <w:lang w:val="en-US" w:eastAsia="zh-CN"/>
        </w:rPr>
        <w:t>[人寿保险]</w:t>
      </w:r>
      <w:r>
        <w:rPr>
          <w:rFonts w:hint="eastAsia" w:ascii="仿宋_GB2312" w:hAnsi="仿宋_GB2312" w:eastAsia="仿宋_GB2312" w:cs="仿宋_GB2312"/>
          <w:b w:val="0"/>
          <w:bCs/>
          <w:color w:val="auto"/>
          <w:sz w:val="32"/>
          <w:szCs w:val="32"/>
          <w:highlight w:val="none"/>
          <w:lang w:eastAsia="zh-CN"/>
        </w:rPr>
        <w:t>可分为</w:t>
      </w:r>
      <w:r>
        <w:rPr>
          <w:rFonts w:hint="eastAsia" w:ascii="仿宋_GB2312" w:hAnsi="仿宋_GB2312" w:eastAsia="仿宋_GB2312" w:cs="仿宋_GB2312"/>
          <w:b/>
          <w:color w:val="auto"/>
          <w:sz w:val="32"/>
          <w:szCs w:val="32"/>
          <w:highlight w:val="none"/>
        </w:rPr>
        <w:t>[普通型]、[分红型]、[万能型]、[投资连结型]</w:t>
      </w:r>
      <w:r>
        <w:rPr>
          <w:rFonts w:hint="eastAsia" w:ascii="仿宋_GB2312" w:hAnsi="仿宋_GB2312" w:eastAsia="仿宋_GB2312" w:cs="仿宋_GB2312"/>
          <w:b w:val="0"/>
          <w:bCs/>
          <w:color w:val="auto"/>
          <w:sz w:val="32"/>
          <w:szCs w:val="32"/>
          <w:highlight w:val="none"/>
        </w:rPr>
        <w:t>。</w:t>
      </w:r>
    </w:p>
    <w:p w14:paraId="6D007A31">
      <w:pPr>
        <w:keepNext w:val="0"/>
        <w:keepLines w:val="0"/>
        <w:pageBreakBefore w:val="0"/>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bookmarkStart w:id="27" w:name="OLE_LINK3"/>
      <w:r>
        <w:rPr>
          <w:rFonts w:hint="eastAsia" w:ascii="楷体_GB2312" w:hAnsi="楷体_GB2312" w:eastAsia="楷体_GB2312" w:cs="楷体_GB2312"/>
          <w:b w:val="0"/>
          <w:bCs/>
          <w:color w:val="auto"/>
          <w:sz w:val="32"/>
          <w:szCs w:val="32"/>
          <w:highlight w:val="none"/>
        </w:rPr>
        <w:t>（三）再保险业务维度</w:t>
      </w:r>
    </w:p>
    <w:p w14:paraId="3E7848BD">
      <w:pPr>
        <w:keepNext w:val="0"/>
        <w:keepLines w:val="0"/>
        <w:pageBreakBefore w:val="0"/>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1.再保险安排方式。</w:t>
      </w:r>
      <w:r>
        <w:rPr>
          <w:rFonts w:hint="eastAsia" w:ascii="仿宋_GB2312" w:hAnsi="仿宋_GB2312" w:eastAsia="仿宋_GB2312" w:cs="仿宋_GB2312"/>
          <w:b w:val="0"/>
          <w:bCs/>
          <w:color w:val="auto"/>
          <w:sz w:val="32"/>
          <w:szCs w:val="32"/>
          <w:highlight w:val="none"/>
        </w:rPr>
        <w:t>根据再保险的安排方式，再保险安排方式维度分为</w:t>
      </w:r>
      <w:r>
        <w:rPr>
          <w:rFonts w:hint="eastAsia" w:ascii="仿宋_GB2312" w:hAnsi="仿宋_GB2312" w:eastAsia="仿宋_GB2312" w:cs="仿宋_GB2312"/>
          <w:b/>
          <w:bCs w:val="0"/>
          <w:color w:val="auto"/>
          <w:sz w:val="32"/>
          <w:szCs w:val="32"/>
          <w:highlight w:val="none"/>
        </w:rPr>
        <w:t>[合约分保]、[临时分保]</w:t>
      </w:r>
      <w:r>
        <w:rPr>
          <w:rFonts w:hint="eastAsia" w:ascii="仿宋_GB2312" w:hAnsi="仿宋_GB2312" w:eastAsia="仿宋_GB2312" w:cs="仿宋_GB2312"/>
          <w:b w:val="0"/>
          <w:bCs/>
          <w:color w:val="auto"/>
          <w:sz w:val="32"/>
          <w:szCs w:val="32"/>
          <w:highlight w:val="none"/>
        </w:rPr>
        <w:t>。其中，</w:t>
      </w:r>
      <w:r>
        <w:rPr>
          <w:rFonts w:hint="eastAsia" w:ascii="仿宋_GB2312" w:hAnsi="仿宋_GB2312" w:eastAsia="仿宋_GB2312" w:cs="仿宋_GB2312"/>
          <w:b/>
          <w:bCs w:val="0"/>
          <w:color w:val="auto"/>
          <w:sz w:val="32"/>
          <w:szCs w:val="32"/>
          <w:highlight w:val="none"/>
        </w:rPr>
        <w:t>[合约分保]</w:t>
      </w:r>
      <w:r>
        <w:rPr>
          <w:rFonts w:hint="eastAsia" w:ascii="仿宋_GB2312" w:hAnsi="仿宋_GB2312" w:eastAsia="仿宋_GB2312" w:cs="仿宋_GB2312"/>
          <w:b w:val="0"/>
          <w:bCs/>
          <w:color w:val="auto"/>
          <w:sz w:val="32"/>
          <w:szCs w:val="32"/>
          <w:highlight w:val="none"/>
          <w:lang w:eastAsia="zh-CN"/>
        </w:rPr>
        <w:t>是</w:t>
      </w:r>
      <w:r>
        <w:rPr>
          <w:rFonts w:hint="eastAsia" w:ascii="仿宋_GB2312" w:hAnsi="仿宋_GB2312" w:eastAsia="仿宋_GB2312" w:cs="仿宋_GB2312"/>
          <w:b w:val="0"/>
          <w:bCs/>
          <w:color w:val="auto"/>
          <w:sz w:val="32"/>
          <w:szCs w:val="32"/>
          <w:highlight w:val="none"/>
        </w:rPr>
        <w:t>指保险人与其他保险人预先订立合同，约定将一定时期内其承担的保险业务，部分向其他保险人办理再保险，再保险接受人需按照约定分保条件承担再保险责任的经营行为。</w:t>
      </w:r>
      <w:r>
        <w:rPr>
          <w:rFonts w:hint="eastAsia" w:ascii="仿宋_GB2312" w:hAnsi="仿宋_GB2312" w:eastAsia="仿宋_GB2312" w:cs="仿宋_GB2312"/>
          <w:b/>
          <w:bCs w:val="0"/>
          <w:color w:val="auto"/>
          <w:sz w:val="32"/>
          <w:szCs w:val="32"/>
          <w:highlight w:val="none"/>
        </w:rPr>
        <w:t>[临时分保]</w:t>
      </w:r>
      <w:r>
        <w:rPr>
          <w:rFonts w:hint="eastAsia" w:ascii="仿宋_GB2312" w:hAnsi="仿宋_GB2312" w:eastAsia="仿宋_GB2312" w:cs="仿宋_GB2312"/>
          <w:b w:val="0"/>
          <w:bCs/>
          <w:color w:val="auto"/>
          <w:sz w:val="32"/>
          <w:szCs w:val="32"/>
          <w:highlight w:val="none"/>
          <w:lang w:eastAsia="zh-CN"/>
        </w:rPr>
        <w:t>是</w:t>
      </w:r>
      <w:r>
        <w:rPr>
          <w:rFonts w:hint="eastAsia" w:ascii="仿宋_GB2312" w:hAnsi="仿宋_GB2312" w:eastAsia="仿宋_GB2312" w:cs="仿宋_GB2312"/>
          <w:b w:val="0"/>
          <w:bCs/>
          <w:color w:val="auto"/>
          <w:sz w:val="32"/>
          <w:szCs w:val="32"/>
          <w:highlight w:val="none"/>
        </w:rPr>
        <w:t>指保险人临时与其他保险人约定，将其承担的保险业务，部分向其他保险人逐保单办理再保险，再保险接受人需逐保单约定分保条件并承担再保险责任的经营行为。</w:t>
      </w:r>
    </w:p>
    <w:p w14:paraId="557E73BB">
      <w:pPr>
        <w:keepNext w:val="0"/>
        <w:keepLines w:val="0"/>
        <w:pageBreakBefore w:val="0"/>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rPr>
        <w:t>2.境内外标识维度。</w:t>
      </w:r>
      <w:r>
        <w:rPr>
          <w:rFonts w:hint="eastAsia" w:ascii="仿宋_GB2312" w:hAnsi="仿宋_GB2312" w:eastAsia="仿宋_GB2312" w:cs="仿宋_GB2312"/>
          <w:b w:val="0"/>
          <w:bCs/>
          <w:color w:val="auto"/>
          <w:sz w:val="32"/>
          <w:szCs w:val="32"/>
          <w:highlight w:val="none"/>
        </w:rPr>
        <w:t>根据再保险接受人所在地区，再保险境内外标识维度分为</w:t>
      </w:r>
      <w:r>
        <w:rPr>
          <w:rFonts w:hint="eastAsia" w:ascii="仿宋_GB2312" w:hAnsi="仿宋_GB2312" w:eastAsia="仿宋_GB2312" w:cs="仿宋_GB2312"/>
          <w:b/>
          <w:bCs w:val="0"/>
          <w:color w:val="auto"/>
          <w:sz w:val="32"/>
          <w:szCs w:val="32"/>
          <w:highlight w:val="none"/>
        </w:rPr>
        <w:t>[境内分入]、[境外分入]、[分出境内]、[分出境外]</w:t>
      </w:r>
      <w:r>
        <w:rPr>
          <w:rFonts w:hint="eastAsia" w:ascii="仿宋_GB2312" w:hAnsi="仿宋_GB2312" w:eastAsia="仿宋_GB2312" w:cs="仿宋_GB2312"/>
          <w:b w:val="0"/>
          <w:bCs/>
          <w:color w:val="auto"/>
          <w:sz w:val="32"/>
          <w:szCs w:val="32"/>
          <w:highlight w:val="none"/>
        </w:rPr>
        <w:t>。其中，</w:t>
      </w:r>
      <w:r>
        <w:rPr>
          <w:rFonts w:hint="eastAsia" w:ascii="仿宋_GB2312" w:hAnsi="仿宋_GB2312" w:eastAsia="仿宋_GB2312" w:cs="仿宋_GB2312"/>
          <w:b/>
          <w:bCs w:val="0"/>
          <w:color w:val="auto"/>
          <w:sz w:val="32"/>
          <w:szCs w:val="32"/>
          <w:highlight w:val="none"/>
        </w:rPr>
        <w:t>[境内分入]</w:t>
      </w:r>
      <w:r>
        <w:rPr>
          <w:rFonts w:hint="eastAsia" w:ascii="仿宋_GB2312" w:hAnsi="仿宋_GB2312" w:eastAsia="仿宋_GB2312" w:cs="仿宋_GB2312"/>
          <w:b w:val="0"/>
          <w:bCs/>
          <w:color w:val="auto"/>
          <w:sz w:val="32"/>
          <w:szCs w:val="32"/>
          <w:highlight w:val="none"/>
        </w:rPr>
        <w:t>指境内再保险接受人从境内（不包括中国香港、中国澳门和中国台湾）其他保险公司分入的业务。</w:t>
      </w:r>
      <w:r>
        <w:rPr>
          <w:rFonts w:hint="eastAsia" w:ascii="仿宋_GB2312" w:hAnsi="仿宋_GB2312" w:eastAsia="仿宋_GB2312" w:cs="仿宋_GB2312"/>
          <w:b/>
          <w:bCs w:val="0"/>
          <w:color w:val="auto"/>
          <w:sz w:val="32"/>
          <w:szCs w:val="32"/>
          <w:highlight w:val="none"/>
        </w:rPr>
        <w:t>[境外分入]</w:t>
      </w:r>
      <w:r>
        <w:rPr>
          <w:rFonts w:hint="eastAsia" w:ascii="仿宋_GB2312" w:hAnsi="仿宋_GB2312" w:eastAsia="仿宋_GB2312" w:cs="仿宋_GB2312"/>
          <w:b w:val="0"/>
          <w:bCs/>
          <w:color w:val="auto"/>
          <w:sz w:val="32"/>
          <w:szCs w:val="32"/>
          <w:highlight w:val="none"/>
        </w:rPr>
        <w:t>指境内再保险接受人从境外保险公司分入的业务。</w:t>
      </w:r>
      <w:r>
        <w:rPr>
          <w:rFonts w:hint="eastAsia" w:ascii="仿宋_GB2312" w:hAnsi="仿宋_GB2312" w:eastAsia="仿宋_GB2312" w:cs="仿宋_GB2312"/>
          <w:b/>
          <w:bCs w:val="0"/>
          <w:color w:val="auto"/>
          <w:sz w:val="32"/>
          <w:szCs w:val="32"/>
          <w:highlight w:val="none"/>
        </w:rPr>
        <w:t>[分出境内]</w:t>
      </w:r>
      <w:r>
        <w:rPr>
          <w:rFonts w:hint="eastAsia" w:ascii="仿宋_GB2312" w:hAnsi="仿宋_GB2312" w:eastAsia="仿宋_GB2312" w:cs="仿宋_GB2312"/>
          <w:b w:val="0"/>
          <w:bCs/>
          <w:color w:val="auto"/>
          <w:sz w:val="32"/>
          <w:szCs w:val="32"/>
          <w:highlight w:val="none"/>
        </w:rPr>
        <w:t>指境内保险公司将自身承保的部分风险和责任，分出给境内再保险接受人的业务。</w:t>
      </w:r>
      <w:r>
        <w:rPr>
          <w:rFonts w:hint="eastAsia" w:ascii="仿宋_GB2312" w:hAnsi="仿宋_GB2312" w:eastAsia="仿宋_GB2312" w:cs="仿宋_GB2312"/>
          <w:b/>
          <w:bCs w:val="0"/>
          <w:color w:val="auto"/>
          <w:sz w:val="32"/>
          <w:szCs w:val="32"/>
          <w:highlight w:val="none"/>
        </w:rPr>
        <w:t>[分出境外]</w:t>
      </w:r>
      <w:r>
        <w:rPr>
          <w:rFonts w:hint="eastAsia" w:ascii="仿宋_GB2312" w:hAnsi="仿宋_GB2312" w:eastAsia="仿宋_GB2312" w:cs="仿宋_GB2312"/>
          <w:b w:val="0"/>
          <w:bCs/>
          <w:color w:val="auto"/>
          <w:sz w:val="32"/>
          <w:szCs w:val="32"/>
          <w:highlight w:val="none"/>
        </w:rPr>
        <w:t>指境内保险公司将自身承保的部分风险和责任，分出给境外再保险接受人的业务。</w:t>
      </w:r>
    </w:p>
    <w:p w14:paraId="476F77C9">
      <w:pPr>
        <w:keepNext w:val="0"/>
        <w:keepLines w:val="0"/>
        <w:pageBreakBefore w:val="0"/>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eastAsia="zh-CN"/>
        </w:rPr>
        <w:t>四</w:t>
      </w: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eastAsia="zh-CN"/>
        </w:rPr>
        <w:t>保险</w:t>
      </w:r>
      <w:r>
        <w:rPr>
          <w:rFonts w:hint="eastAsia" w:ascii="楷体_GB2312" w:hAnsi="楷体_GB2312" w:eastAsia="楷体_GB2312" w:cs="楷体_GB2312"/>
          <w:b w:val="0"/>
          <w:bCs/>
          <w:color w:val="auto"/>
          <w:sz w:val="32"/>
          <w:szCs w:val="32"/>
          <w:highlight w:val="none"/>
        </w:rPr>
        <w:t>销售渠道</w:t>
      </w:r>
      <w:bookmarkEnd w:id="27"/>
      <w:r>
        <w:rPr>
          <w:rFonts w:hint="eastAsia" w:ascii="楷体_GB2312" w:hAnsi="楷体_GB2312" w:eastAsia="楷体_GB2312" w:cs="楷体_GB2312"/>
          <w:b w:val="0"/>
          <w:bCs/>
          <w:color w:val="auto"/>
          <w:sz w:val="32"/>
          <w:szCs w:val="32"/>
          <w:highlight w:val="none"/>
          <w:lang w:val="en-US" w:eastAsia="zh-CN"/>
        </w:rPr>
        <w:t>维度</w:t>
      </w:r>
    </w:p>
    <w:p w14:paraId="054C4AD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bCs/>
          <w:color w:val="auto"/>
          <w:sz w:val="32"/>
          <w:szCs w:val="32"/>
          <w:highlight w:val="yellow"/>
        </w:rPr>
      </w:pPr>
      <w:r>
        <w:rPr>
          <w:rFonts w:hint="eastAsia" w:ascii="仿宋_GB2312" w:hAnsi="仿宋_GB2312" w:eastAsia="仿宋_GB2312" w:cs="仿宋_GB2312"/>
          <w:color w:val="auto"/>
          <w:sz w:val="32"/>
          <w:szCs w:val="32"/>
        </w:rPr>
        <w:t>根据销售保险业务的人员或机构类型，保险销售渠道分为</w:t>
      </w:r>
      <w:r>
        <w:rPr>
          <w:rFonts w:hint="eastAsia" w:ascii="仿宋_GB2312" w:hAnsi="仿宋_GB2312" w:eastAsia="仿宋_GB2312" w:cs="仿宋_GB2312"/>
          <w:b/>
          <w:bCs/>
          <w:color w:val="auto"/>
          <w:sz w:val="32"/>
          <w:szCs w:val="32"/>
        </w:rPr>
        <w:t>[公司直销]、[个人代理]、[专业代理]、[兼业代理]、[经纪业务]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b/>
          <w:bCs/>
          <w:color w:val="auto"/>
          <w:sz w:val="32"/>
          <w:szCs w:val="32"/>
        </w:rPr>
        <w:t>[兼业代理]</w:t>
      </w:r>
      <w:r>
        <w:rPr>
          <w:rFonts w:hint="eastAsia" w:ascii="仿宋_GB2312" w:hAnsi="仿宋_GB2312" w:eastAsia="仿宋_GB2312" w:cs="仿宋_GB2312"/>
          <w:b w:val="0"/>
          <w:bCs w:val="0"/>
          <w:color w:val="auto"/>
          <w:sz w:val="32"/>
          <w:szCs w:val="32"/>
          <w:lang w:val="en-US" w:eastAsia="zh-CN"/>
        </w:rPr>
        <w:t>分为</w:t>
      </w:r>
      <w:r>
        <w:rPr>
          <w:rFonts w:hint="eastAsia" w:ascii="仿宋_GB2312" w:hAnsi="仿宋_GB2312" w:eastAsia="仿宋_GB2312" w:cs="仿宋_GB2312"/>
          <w:b/>
          <w:bCs/>
          <w:color w:val="auto"/>
          <w:sz w:val="32"/>
          <w:szCs w:val="32"/>
        </w:rPr>
        <w:t>[银邮代理]</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[其他兼业代理]</w:t>
      </w:r>
      <w:r>
        <w:rPr>
          <w:rFonts w:hint="eastAsia" w:ascii="仿宋_GB2312" w:hAnsi="仿宋_GB2312" w:eastAsia="仿宋_GB2312" w:cs="仿宋_GB2312"/>
          <w:color w:val="auto"/>
          <w:sz w:val="32"/>
          <w:szCs w:val="32"/>
        </w:rPr>
        <w:t>。</w:t>
      </w:r>
    </w:p>
    <w:p w14:paraId="14E929DB">
      <w:pPr>
        <w:keepNext w:val="0"/>
        <w:keepLines w:val="0"/>
        <w:pageBreakBefore w:val="0"/>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lang w:val="en-US" w:eastAsia="zh-CN"/>
        </w:rPr>
        <w:t>五</w:t>
      </w:r>
      <w:r>
        <w:rPr>
          <w:rFonts w:hint="eastAsia" w:ascii="楷体_GB2312" w:hAnsi="楷体_GB2312" w:eastAsia="楷体_GB2312" w:cs="楷体_GB2312"/>
          <w:b w:val="0"/>
          <w:bCs/>
          <w:color w:val="auto"/>
          <w:sz w:val="32"/>
          <w:szCs w:val="32"/>
          <w:highlight w:val="none"/>
          <w:lang w:eastAsia="zh-CN"/>
        </w:rPr>
        <w:t>）保险</w:t>
      </w:r>
      <w:r>
        <w:rPr>
          <w:rFonts w:hint="eastAsia" w:ascii="楷体_GB2312" w:hAnsi="楷体_GB2312" w:eastAsia="楷体_GB2312" w:cs="楷体_GB2312"/>
          <w:b w:val="0"/>
          <w:bCs/>
          <w:color w:val="auto"/>
          <w:sz w:val="32"/>
          <w:szCs w:val="32"/>
          <w:highlight w:val="none"/>
        </w:rPr>
        <w:t>保障期限</w:t>
      </w:r>
      <w:r>
        <w:rPr>
          <w:rFonts w:hint="eastAsia" w:ascii="楷体_GB2312" w:hAnsi="楷体_GB2312" w:eastAsia="楷体_GB2312" w:cs="楷体_GB2312"/>
          <w:b w:val="0"/>
          <w:bCs/>
          <w:color w:val="auto"/>
          <w:sz w:val="32"/>
          <w:szCs w:val="32"/>
          <w:highlight w:val="none"/>
          <w:lang w:val="en-US" w:eastAsia="zh-CN"/>
        </w:rPr>
        <w:t>维度</w:t>
      </w:r>
    </w:p>
    <w:p w14:paraId="56F7BEA1">
      <w:pPr>
        <w:keepNext w:val="0"/>
        <w:keepLines w:val="0"/>
        <w:pageBreakBefore w:val="0"/>
        <w:kinsoku/>
        <w:wordWrap/>
        <w:overflowPunct/>
        <w:topLinePunct w:val="0"/>
        <w:bidi w:val="0"/>
        <w:spacing w:after="0" w:line="600" w:lineRule="exact"/>
        <w:ind w:firstLine="640" w:firstLineChars="200"/>
        <w:jc w:val="both"/>
        <w:textAlignment w:val="auto"/>
        <w:rPr>
          <w:rFonts w:hint="eastAsia" w:ascii="楷体_GB2312" w:hAnsi="楷体_GB2312" w:eastAsia="仿宋_GB2312" w:cs="楷体_GB2312"/>
          <w:b/>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根据保险合同约定</w:t>
      </w:r>
      <w:r>
        <w:rPr>
          <w:rFonts w:hint="eastAsia" w:ascii="仿宋_GB2312" w:hAnsi="仿宋_GB2312" w:eastAsia="仿宋_GB2312" w:cs="仿宋_GB2312"/>
          <w:color w:val="auto"/>
          <w:sz w:val="32"/>
          <w:szCs w:val="32"/>
          <w:highlight w:val="none"/>
          <w:lang w:eastAsia="zh-CN"/>
        </w:rPr>
        <w:t>，人身保险公司经营的业务按</w:t>
      </w:r>
      <w:r>
        <w:rPr>
          <w:rFonts w:hint="eastAsia" w:ascii="仿宋_GB2312" w:hAnsi="仿宋_GB2312" w:eastAsia="仿宋_GB2312" w:cs="仿宋_GB2312"/>
          <w:color w:val="auto"/>
          <w:sz w:val="32"/>
          <w:szCs w:val="32"/>
          <w:highlight w:val="none"/>
        </w:rPr>
        <w:t>保障期限</w:t>
      </w:r>
      <w:r>
        <w:rPr>
          <w:rFonts w:hint="eastAsia" w:ascii="仿宋_GB2312" w:hAnsi="仿宋_GB2312" w:eastAsia="仿宋_GB2312" w:cs="仿宋_GB2312"/>
          <w:color w:val="auto"/>
          <w:sz w:val="32"/>
          <w:szCs w:val="32"/>
          <w:highlight w:val="none"/>
          <w:lang w:eastAsia="zh-CN"/>
        </w:rPr>
        <w:t>维度</w:t>
      </w:r>
      <w:r>
        <w:rPr>
          <w:rFonts w:hint="eastAsia" w:ascii="仿宋_GB2312" w:hAnsi="仿宋_GB2312" w:eastAsia="仿宋_GB2312" w:cs="仿宋_GB2312"/>
          <w:color w:val="auto"/>
          <w:sz w:val="32"/>
          <w:szCs w:val="32"/>
          <w:highlight w:val="none"/>
        </w:rPr>
        <w:t>划分为</w:t>
      </w:r>
      <w:r>
        <w:rPr>
          <w:rFonts w:hint="eastAsia" w:ascii="仿宋_GB2312" w:hAnsi="仿宋_GB2312" w:eastAsia="仿宋_GB2312" w:cs="仿宋_GB2312"/>
          <w:b/>
          <w:bCs/>
          <w:color w:val="auto"/>
          <w:sz w:val="32"/>
          <w:szCs w:val="32"/>
          <w:highlight w:val="none"/>
        </w:rPr>
        <w:t>[一年期以内]、[一年期]、[一年期以上]</w:t>
      </w:r>
      <w:r>
        <w:rPr>
          <w:rFonts w:hint="eastAsia" w:ascii="仿宋_GB2312" w:hAnsi="仿宋_GB2312" w:eastAsia="仿宋_GB2312" w:cs="仿宋_GB2312"/>
          <w:b w:val="0"/>
          <w:bCs w:val="0"/>
          <w:color w:val="auto"/>
          <w:sz w:val="32"/>
          <w:szCs w:val="32"/>
          <w:highlight w:val="none"/>
          <w:lang w:eastAsia="zh-CN"/>
        </w:rPr>
        <w:t>，其中</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[一年期以内]、[一年期]</w:t>
      </w:r>
      <w:r>
        <w:rPr>
          <w:rFonts w:hint="eastAsia" w:ascii="仿宋_GB2312" w:hAnsi="仿宋_GB2312" w:eastAsia="仿宋_GB2312" w:cs="仿宋_GB2312"/>
          <w:b w:val="0"/>
          <w:bCs w:val="0"/>
          <w:color w:val="auto"/>
          <w:sz w:val="32"/>
          <w:szCs w:val="32"/>
          <w:highlight w:val="none"/>
          <w:lang w:eastAsia="zh-CN"/>
        </w:rPr>
        <w:t>的业务</w:t>
      </w:r>
      <w:r>
        <w:rPr>
          <w:rFonts w:hint="eastAsia" w:ascii="仿宋_GB2312" w:hAnsi="仿宋_GB2312" w:eastAsia="仿宋_GB2312" w:cs="仿宋_GB2312"/>
          <w:b w:val="0"/>
          <w:bCs w:val="0"/>
          <w:color w:val="auto"/>
          <w:sz w:val="32"/>
          <w:szCs w:val="32"/>
          <w:highlight w:val="none"/>
          <w:lang w:val="en-US" w:eastAsia="zh-CN"/>
        </w:rPr>
        <w:t>为短期业务，</w:t>
      </w:r>
      <w:r>
        <w:rPr>
          <w:rFonts w:hint="eastAsia" w:ascii="仿宋_GB2312" w:hAnsi="仿宋_GB2312" w:eastAsia="仿宋_GB2312" w:cs="仿宋_GB2312"/>
          <w:b/>
          <w:bCs/>
          <w:color w:val="auto"/>
          <w:sz w:val="32"/>
          <w:szCs w:val="32"/>
          <w:highlight w:val="none"/>
          <w:lang w:val="en-US" w:eastAsia="zh-CN"/>
        </w:rPr>
        <w:t>[一年期以上]</w:t>
      </w:r>
      <w:r>
        <w:rPr>
          <w:rFonts w:hint="eastAsia" w:ascii="仿宋_GB2312" w:hAnsi="仿宋_GB2312" w:eastAsia="仿宋_GB2312" w:cs="仿宋_GB2312"/>
          <w:b w:val="0"/>
          <w:bCs w:val="0"/>
          <w:color w:val="auto"/>
          <w:sz w:val="32"/>
          <w:szCs w:val="32"/>
          <w:highlight w:val="none"/>
          <w:lang w:val="en-US" w:eastAsia="zh-CN"/>
        </w:rPr>
        <w:t>的业务为长期险业务。</w:t>
      </w:r>
      <w:r>
        <w:rPr>
          <w:rFonts w:hint="eastAsia" w:ascii="仿宋_GB2312" w:hAnsi="仿宋_GB2312" w:eastAsia="仿宋_GB2312" w:cs="仿宋_GB2312"/>
          <w:color w:val="auto"/>
          <w:sz w:val="32"/>
          <w:szCs w:val="32"/>
          <w:highlight w:val="none"/>
          <w:lang w:eastAsia="zh-CN"/>
        </w:rPr>
        <w:t>适用于人身保险公司。</w:t>
      </w:r>
    </w:p>
    <w:p w14:paraId="03BF36C9">
      <w:pPr>
        <w:pStyle w:val="57"/>
        <w:keepNext w:val="0"/>
        <w:keepLines w:val="0"/>
        <w:pageBreakBefore w:val="0"/>
        <w:kinsoku/>
        <w:wordWrap/>
        <w:overflowPunct/>
        <w:topLinePunct w:val="0"/>
        <w:bidi w:val="0"/>
        <w:spacing w:after="0" w:line="600" w:lineRule="exact"/>
        <w:ind w:firstLine="643"/>
        <w:jc w:val="both"/>
        <w:textAlignment w:val="auto"/>
        <w:outlineLvl w:val="2"/>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（六）缴费方式和期限维度</w:t>
      </w:r>
    </w:p>
    <w:p w14:paraId="60097C40">
      <w:pPr>
        <w:pStyle w:val="57"/>
        <w:keepNext w:val="0"/>
        <w:keepLines w:val="0"/>
        <w:pageBreakBefore w:val="0"/>
        <w:kinsoku/>
        <w:wordWrap/>
        <w:overflowPunct/>
        <w:topLinePunct w:val="0"/>
        <w:bidi w:val="0"/>
        <w:spacing w:after="0" w:line="600" w:lineRule="exact"/>
        <w:ind w:firstLine="643"/>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根据保险合同约定，人身保险公司经营的业务按缴费方式维度分为</w:t>
      </w:r>
      <w:r>
        <w:rPr>
          <w:rFonts w:hint="eastAsia" w:ascii="仿宋_GB2312" w:hAnsi="仿宋_GB2312" w:eastAsia="仿宋_GB2312" w:cs="仿宋_GB2312"/>
          <w:b/>
          <w:bCs/>
          <w:color w:val="auto"/>
          <w:kern w:val="2"/>
          <w:sz w:val="32"/>
          <w:szCs w:val="32"/>
          <w:highlight w:val="none"/>
          <w:lang w:val="en-US" w:eastAsia="zh-CN" w:bidi="ar-SA"/>
        </w:rPr>
        <w:t>[趸交]、[期交]</w:t>
      </w:r>
      <w:r>
        <w:rPr>
          <w:rFonts w:hint="eastAsia" w:ascii="仿宋_GB2312" w:hAnsi="仿宋_GB2312" w:eastAsia="仿宋_GB2312" w:cs="仿宋_GB2312"/>
          <w:b w:val="0"/>
          <w:bCs w:val="0"/>
          <w:color w:val="auto"/>
          <w:kern w:val="2"/>
          <w:sz w:val="32"/>
          <w:szCs w:val="32"/>
          <w:highlight w:val="none"/>
          <w:lang w:val="en-US" w:eastAsia="zh-CN" w:bidi="ar-SA"/>
        </w:rPr>
        <w:t>。其中，</w:t>
      </w:r>
      <w:r>
        <w:rPr>
          <w:rFonts w:hint="eastAsia" w:ascii="仿宋_GB2312" w:hAnsi="仿宋_GB2312" w:eastAsia="仿宋_GB2312" w:cs="仿宋_GB2312"/>
          <w:b/>
          <w:bCs/>
          <w:color w:val="auto"/>
          <w:kern w:val="2"/>
          <w:sz w:val="32"/>
          <w:szCs w:val="32"/>
          <w:highlight w:val="none"/>
          <w:lang w:val="en-US" w:eastAsia="zh-CN" w:bidi="ar-SA"/>
        </w:rPr>
        <w:t>[期交]</w:t>
      </w:r>
      <w:r>
        <w:rPr>
          <w:rFonts w:hint="eastAsia" w:ascii="仿宋_GB2312" w:hAnsi="仿宋_GB2312" w:eastAsia="仿宋_GB2312" w:cs="仿宋_GB2312"/>
          <w:b w:val="0"/>
          <w:bCs w:val="0"/>
          <w:color w:val="auto"/>
          <w:kern w:val="2"/>
          <w:sz w:val="32"/>
          <w:szCs w:val="32"/>
          <w:highlight w:val="none"/>
          <w:lang w:val="en-US" w:eastAsia="zh-CN" w:bidi="ar-SA"/>
        </w:rPr>
        <w:t>细分为</w:t>
      </w:r>
      <w:r>
        <w:rPr>
          <w:rFonts w:hint="eastAsia" w:ascii="仿宋_GB2312" w:hAnsi="仿宋_GB2312" w:eastAsia="仿宋_GB2312" w:cs="仿宋_GB2312"/>
          <w:b/>
          <w:bCs/>
          <w:color w:val="auto"/>
          <w:kern w:val="2"/>
          <w:sz w:val="32"/>
          <w:szCs w:val="32"/>
          <w:highlight w:val="none"/>
          <w:lang w:val="en-US" w:eastAsia="zh-CN" w:bidi="ar-SA"/>
        </w:rPr>
        <w:t>[首年首期]、[首年续期]、[续期]</w:t>
      </w:r>
      <w:r>
        <w:rPr>
          <w:rFonts w:hint="eastAsia" w:ascii="仿宋_GB2312" w:hAnsi="仿宋_GB2312" w:eastAsia="仿宋_GB2312" w:cs="仿宋_GB2312"/>
          <w:color w:val="auto"/>
          <w:kern w:val="2"/>
          <w:sz w:val="32"/>
          <w:szCs w:val="32"/>
          <w:highlight w:val="none"/>
          <w:lang w:val="en-US" w:eastAsia="zh-CN" w:bidi="ar-SA"/>
        </w:rPr>
        <w:t>。适用于人身保险公司。</w:t>
      </w:r>
    </w:p>
    <w:p w14:paraId="0A401A72">
      <w:pPr>
        <w:pStyle w:val="57"/>
        <w:keepNext w:val="0"/>
        <w:keepLines w:val="0"/>
        <w:pageBreakBefore w:val="0"/>
        <w:kinsoku/>
        <w:wordWrap/>
        <w:overflowPunct/>
        <w:topLinePunct w:val="0"/>
        <w:bidi w:val="0"/>
        <w:spacing w:after="0" w:line="600" w:lineRule="exact"/>
        <w:ind w:firstLine="643"/>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根据保险合同约定的缴纳保费期限，长期险的</w:t>
      </w:r>
      <w:r>
        <w:rPr>
          <w:rFonts w:hint="eastAsia" w:ascii="仿宋_GB2312" w:hAnsi="仿宋_GB2312" w:eastAsia="仿宋_GB2312" w:cs="仿宋_GB2312"/>
          <w:b/>
          <w:bCs/>
          <w:color w:val="auto"/>
          <w:kern w:val="2"/>
          <w:sz w:val="32"/>
          <w:szCs w:val="32"/>
          <w:highlight w:val="none"/>
          <w:lang w:val="en-US" w:eastAsia="zh-CN" w:bidi="ar-SA"/>
        </w:rPr>
        <w:t>[期交]</w:t>
      </w:r>
      <w:r>
        <w:rPr>
          <w:rFonts w:hint="eastAsia" w:ascii="仿宋_GB2312" w:hAnsi="仿宋_GB2312" w:eastAsia="仿宋_GB2312" w:cs="仿宋_GB2312"/>
          <w:color w:val="auto"/>
          <w:kern w:val="2"/>
          <w:sz w:val="32"/>
          <w:szCs w:val="32"/>
          <w:highlight w:val="none"/>
          <w:lang w:val="en-US" w:eastAsia="zh-CN" w:bidi="ar-SA"/>
        </w:rPr>
        <w:t>划分为</w:t>
      </w:r>
      <w:r>
        <w:rPr>
          <w:rFonts w:hint="eastAsia" w:ascii="仿宋_GB2312" w:hAnsi="仿宋_GB2312" w:eastAsia="仿宋_GB2312" w:cs="仿宋_GB2312"/>
          <w:b/>
          <w:bCs/>
          <w:color w:val="auto"/>
          <w:kern w:val="2"/>
          <w:sz w:val="32"/>
          <w:szCs w:val="32"/>
          <w:highlight w:val="none"/>
          <w:lang w:val="en-US" w:eastAsia="zh-CN" w:bidi="ar-SA"/>
        </w:rPr>
        <w:t>[1年期]、[2年期]、[3年期]、[4年期]、[5年期]、[6年期]、[7年期]、[8年期]、[9年期]、[10年期及以上]</w:t>
      </w:r>
      <w:r>
        <w:rPr>
          <w:rFonts w:hint="eastAsia" w:ascii="仿宋_GB2312" w:hAnsi="仿宋_GB2312" w:eastAsia="仿宋_GB2312" w:cs="仿宋_GB2312"/>
          <w:color w:val="auto"/>
          <w:kern w:val="2"/>
          <w:sz w:val="32"/>
          <w:szCs w:val="32"/>
          <w:highlight w:val="none"/>
          <w:lang w:val="en-US" w:eastAsia="zh-CN" w:bidi="ar-SA"/>
        </w:rPr>
        <w:t>。适用于人身保险公司。</w:t>
      </w:r>
    </w:p>
    <w:p w14:paraId="5F9E6809">
      <w:pPr>
        <w:pStyle w:val="57"/>
        <w:keepNext w:val="0"/>
        <w:keepLines w:val="0"/>
        <w:pageBreakBefore w:val="0"/>
        <w:kinsoku/>
        <w:wordWrap/>
        <w:overflowPunct/>
        <w:topLinePunct w:val="0"/>
        <w:bidi w:val="0"/>
        <w:spacing w:after="0" w:line="600" w:lineRule="exact"/>
        <w:ind w:firstLine="643"/>
        <w:jc w:val="both"/>
        <w:textAlignment w:val="auto"/>
        <w:outlineLvl w:val="2"/>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七</w:t>
      </w:r>
      <w:r>
        <w:rPr>
          <w:rFonts w:hint="eastAsia" w:ascii="楷体_GB2312" w:hAnsi="楷体_GB2312" w:eastAsia="楷体_GB2312" w:cs="楷体_GB2312"/>
          <w:b w:val="0"/>
          <w:bCs/>
          <w:color w:val="auto"/>
          <w:sz w:val="32"/>
          <w:szCs w:val="32"/>
          <w:highlight w:val="none"/>
        </w:rPr>
        <w:t>）应收保费账龄</w:t>
      </w:r>
      <w:r>
        <w:rPr>
          <w:rFonts w:hint="eastAsia" w:ascii="楷体_GB2312" w:hAnsi="楷体_GB2312" w:eastAsia="楷体_GB2312" w:cs="楷体_GB2312"/>
          <w:b w:val="0"/>
          <w:bCs/>
          <w:color w:val="auto"/>
          <w:sz w:val="32"/>
          <w:szCs w:val="32"/>
          <w:highlight w:val="none"/>
          <w:lang w:val="en-US" w:eastAsia="zh-CN"/>
        </w:rPr>
        <w:t>维度</w:t>
      </w:r>
    </w:p>
    <w:p w14:paraId="35BE68D7">
      <w:pPr>
        <w:pStyle w:val="57"/>
        <w:keepNext w:val="0"/>
        <w:keepLines w:val="0"/>
        <w:pageBreakBefore w:val="0"/>
        <w:kinsoku/>
        <w:wordWrap/>
        <w:overflowPunct/>
        <w:topLinePunct w:val="0"/>
        <w:autoSpaceDE w:val="0"/>
        <w:autoSpaceDN w:val="0"/>
        <w:bidi w:val="0"/>
        <w:adjustRightInd w:val="0"/>
        <w:spacing w:line="600" w:lineRule="exact"/>
        <w:ind w:firstLine="643"/>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应收保费按照账龄分为</w:t>
      </w:r>
      <w:r>
        <w:rPr>
          <w:rFonts w:hint="eastAsia" w:ascii="仿宋_GB2312" w:hAnsi="仿宋_GB2312" w:eastAsia="仿宋_GB2312" w:cs="仿宋_GB2312"/>
          <w:b/>
          <w:bCs w:val="0"/>
          <w:color w:val="auto"/>
          <w:sz w:val="32"/>
          <w:szCs w:val="32"/>
          <w:highlight w:val="none"/>
        </w:rPr>
        <w:t>[３个月以内（含３个月）]、[３个月至１年</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含１年</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]、[１年以上]</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bCs w:val="0"/>
          <w:color w:val="auto"/>
          <w:sz w:val="32"/>
          <w:szCs w:val="32"/>
          <w:highlight w:val="none"/>
        </w:rPr>
        <w:t>[３个月以内（含３个月）]</w:t>
      </w:r>
      <w:r>
        <w:rPr>
          <w:rFonts w:hint="eastAsia" w:ascii="仿宋_GB2312" w:hAnsi="仿宋_GB2312" w:eastAsia="仿宋_GB2312" w:cs="仿宋_GB2312"/>
          <w:b w:val="0"/>
          <w:bCs/>
          <w:color w:val="auto"/>
          <w:sz w:val="32"/>
          <w:szCs w:val="32"/>
          <w:highlight w:val="none"/>
          <w:lang w:val="en-US" w:eastAsia="zh-CN"/>
        </w:rPr>
        <w:t>包含</w:t>
      </w:r>
      <w:r>
        <w:rPr>
          <w:rFonts w:hint="eastAsia" w:ascii="仿宋_GB2312" w:hAnsi="仿宋_GB2312" w:eastAsia="仿宋_GB2312" w:cs="仿宋_GB2312"/>
          <w:bCs/>
          <w:color w:val="auto"/>
          <w:sz w:val="32"/>
          <w:szCs w:val="32"/>
          <w:highlight w:val="none"/>
        </w:rPr>
        <w:t>未逾期应收保费。</w:t>
      </w:r>
      <w:r>
        <w:rPr>
          <w:rFonts w:hint="eastAsia" w:ascii="仿宋_GB2312" w:hAnsi="仿宋_GB2312" w:eastAsia="仿宋_GB2312" w:cs="仿宋_GB2312"/>
          <w:b w:val="0"/>
          <w:bCs/>
          <w:color w:val="auto"/>
          <w:sz w:val="32"/>
          <w:szCs w:val="32"/>
          <w:highlight w:val="none"/>
          <w:lang w:eastAsia="zh-CN"/>
        </w:rPr>
        <w:t>人身险公司经营的长期险业务</w:t>
      </w:r>
      <w:r>
        <w:rPr>
          <w:rFonts w:hint="eastAsia" w:ascii="仿宋_GB2312" w:hAnsi="仿宋_GB2312" w:eastAsia="仿宋_GB2312" w:cs="仿宋_GB2312"/>
          <w:bCs/>
          <w:color w:val="auto"/>
          <w:sz w:val="32"/>
          <w:szCs w:val="32"/>
          <w:highlight w:val="none"/>
          <w:lang w:eastAsia="zh-CN"/>
        </w:rPr>
        <w:t>不适用。</w:t>
      </w:r>
    </w:p>
    <w:p w14:paraId="1A5590F2">
      <w:pPr>
        <w:pStyle w:val="57"/>
        <w:keepNext w:val="0"/>
        <w:keepLines w:val="0"/>
        <w:pageBreakBefore w:val="0"/>
        <w:kinsoku/>
        <w:wordWrap/>
        <w:overflowPunct/>
        <w:topLinePunct w:val="0"/>
        <w:bidi w:val="0"/>
        <w:spacing w:after="0" w:line="600" w:lineRule="exact"/>
        <w:ind w:firstLine="643"/>
        <w:jc w:val="both"/>
        <w:textAlignment w:val="auto"/>
        <w:outlineLvl w:val="2"/>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八</w:t>
      </w: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受托管理资产重点</w:t>
      </w:r>
      <w:r>
        <w:rPr>
          <w:rFonts w:hint="eastAsia" w:ascii="楷体_GB2312" w:hAnsi="楷体_GB2312" w:eastAsia="楷体_GB2312" w:cs="楷体_GB2312"/>
          <w:b w:val="0"/>
          <w:bCs/>
          <w:color w:val="auto"/>
          <w:sz w:val="32"/>
          <w:szCs w:val="32"/>
          <w:highlight w:val="none"/>
        </w:rPr>
        <w:t>维度</w:t>
      </w:r>
    </w:p>
    <w:p w14:paraId="3F8AEA66">
      <w:pPr>
        <w:pStyle w:val="57"/>
        <w:keepNext w:val="0"/>
        <w:keepLines w:val="0"/>
        <w:pageBreakBefore w:val="0"/>
        <w:kinsoku/>
        <w:wordWrap/>
        <w:overflowPunct/>
        <w:topLinePunct w:val="0"/>
        <w:bidi w:val="0"/>
        <w:spacing w:after="0" w:line="600" w:lineRule="exact"/>
        <w:ind w:firstLine="643"/>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1.受托管理资产类型维度。</w:t>
      </w:r>
      <w:r>
        <w:rPr>
          <w:rFonts w:hint="eastAsia" w:ascii="仿宋_GB2312" w:hAnsi="仿宋_GB2312" w:eastAsia="仿宋_GB2312" w:cs="仿宋_GB2312"/>
          <w:color w:val="auto"/>
          <w:sz w:val="32"/>
          <w:szCs w:val="32"/>
          <w:highlight w:val="none"/>
        </w:rPr>
        <w:t>保险资产管理公司</w:t>
      </w:r>
      <w:r>
        <w:rPr>
          <w:rFonts w:hint="eastAsia" w:ascii="仿宋_GB2312" w:hAnsi="仿宋_GB2312" w:eastAsia="仿宋_GB2312" w:cs="仿宋_GB2312"/>
          <w:color w:val="auto"/>
          <w:sz w:val="32"/>
          <w:szCs w:val="32"/>
          <w:highlight w:val="none"/>
          <w:lang w:val="en-US" w:eastAsia="zh-CN"/>
        </w:rPr>
        <w:t>和养老险公司的受托管理资产</w:t>
      </w:r>
      <w:r>
        <w:rPr>
          <w:rFonts w:hint="eastAsia" w:ascii="仿宋_GB2312" w:hAnsi="仿宋_GB2312" w:eastAsia="仿宋_GB2312" w:cs="仿宋_GB2312"/>
          <w:color w:val="auto"/>
          <w:sz w:val="32"/>
          <w:szCs w:val="32"/>
          <w:highlight w:val="none"/>
        </w:rPr>
        <w:t>业务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b/>
          <w:bCs/>
          <w:color w:val="auto"/>
          <w:sz w:val="32"/>
          <w:szCs w:val="32"/>
          <w:highlight w:val="none"/>
        </w:rPr>
        <w:t>[受托专户业务]、[保险资产管理产品]、[其他受托管理产品]、[</w:t>
      </w:r>
      <w:r>
        <w:rPr>
          <w:rFonts w:hint="eastAsia" w:ascii="仿宋_GB2312" w:hAnsi="仿宋_GB2312" w:eastAsia="仿宋_GB2312" w:cs="仿宋_GB2312"/>
          <w:b/>
          <w:bCs/>
          <w:color w:val="auto"/>
          <w:sz w:val="32"/>
          <w:szCs w:val="32"/>
          <w:highlight w:val="none"/>
          <w:lang w:eastAsia="zh-CN"/>
        </w:rPr>
        <w:t>受托</w:t>
      </w:r>
      <w:r>
        <w:rPr>
          <w:rFonts w:hint="eastAsia" w:ascii="仿宋_GB2312" w:hAnsi="仿宋_GB2312" w:eastAsia="仿宋_GB2312" w:cs="仿宋_GB2312"/>
          <w:b/>
          <w:bCs/>
          <w:color w:val="auto"/>
          <w:sz w:val="32"/>
          <w:szCs w:val="32"/>
          <w:highlight w:val="none"/>
          <w:lang w:val="en-US" w:eastAsia="zh-CN"/>
        </w:rPr>
        <w:t>管理</w:t>
      </w:r>
      <w:r>
        <w:rPr>
          <w:rFonts w:hint="eastAsia" w:ascii="仿宋_GB2312" w:hAnsi="仿宋_GB2312" w:eastAsia="仿宋_GB2312" w:cs="仿宋_GB2312"/>
          <w:b/>
          <w:bCs/>
          <w:color w:val="auto"/>
          <w:sz w:val="32"/>
          <w:szCs w:val="32"/>
          <w:highlight w:val="none"/>
        </w:rPr>
        <w:t>内部互投]、[</w:t>
      </w:r>
      <w:r>
        <w:rPr>
          <w:rFonts w:hint="eastAsia" w:ascii="仿宋_GB2312" w:hAnsi="仿宋_GB2312" w:eastAsia="仿宋_GB2312" w:cs="仿宋_GB2312"/>
          <w:b/>
          <w:bCs/>
          <w:color w:val="auto"/>
          <w:sz w:val="32"/>
          <w:szCs w:val="32"/>
          <w:highlight w:val="none"/>
          <w:lang w:eastAsia="zh-CN"/>
        </w:rPr>
        <w:t>受托</w:t>
      </w:r>
      <w:r>
        <w:rPr>
          <w:rFonts w:hint="eastAsia" w:ascii="仿宋_GB2312" w:hAnsi="仿宋_GB2312" w:eastAsia="仿宋_GB2312" w:cs="仿宋_GB2312"/>
          <w:b/>
          <w:bCs/>
          <w:color w:val="auto"/>
          <w:sz w:val="32"/>
          <w:szCs w:val="32"/>
          <w:highlight w:val="none"/>
          <w:lang w:val="en-US" w:eastAsia="zh-CN"/>
        </w:rPr>
        <w:t>管理</w:t>
      </w:r>
      <w:r>
        <w:rPr>
          <w:rFonts w:hint="eastAsia" w:ascii="仿宋_GB2312" w:hAnsi="仿宋_GB2312" w:eastAsia="仿宋_GB2312" w:cs="仿宋_GB2312"/>
          <w:b/>
          <w:bCs/>
          <w:color w:val="auto"/>
          <w:sz w:val="32"/>
          <w:szCs w:val="32"/>
          <w:highlight w:val="none"/>
        </w:rPr>
        <w:t>正回购]、[</w:t>
      </w:r>
      <w:r>
        <w:rPr>
          <w:rFonts w:hint="eastAsia" w:ascii="仿宋_GB2312" w:hAnsi="仿宋_GB2312" w:eastAsia="仿宋_GB2312" w:cs="仿宋_GB2312"/>
          <w:b/>
          <w:bCs/>
          <w:color w:val="auto"/>
          <w:sz w:val="32"/>
          <w:szCs w:val="32"/>
          <w:highlight w:val="none"/>
          <w:lang w:eastAsia="zh-CN"/>
        </w:rPr>
        <w:t>受托</w:t>
      </w:r>
      <w:r>
        <w:rPr>
          <w:rFonts w:hint="eastAsia" w:ascii="仿宋_GB2312" w:hAnsi="仿宋_GB2312" w:eastAsia="仿宋_GB2312" w:cs="仿宋_GB2312"/>
          <w:b/>
          <w:bCs/>
          <w:color w:val="auto"/>
          <w:sz w:val="32"/>
          <w:szCs w:val="32"/>
          <w:highlight w:val="none"/>
          <w:lang w:val="en-US" w:eastAsia="zh-CN"/>
        </w:rPr>
        <w:t>管理</w:t>
      </w:r>
      <w:r>
        <w:rPr>
          <w:rFonts w:hint="eastAsia" w:ascii="仿宋_GB2312" w:hAnsi="仿宋_GB2312" w:eastAsia="仿宋_GB2312" w:cs="仿宋_GB2312"/>
          <w:b/>
          <w:bCs/>
          <w:color w:val="auto"/>
          <w:sz w:val="32"/>
          <w:szCs w:val="32"/>
          <w:highlight w:val="none"/>
          <w:lang w:eastAsia="zh-CN"/>
        </w:rPr>
        <w:t>减值</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其中，</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受托管理</w:t>
      </w:r>
      <w:r>
        <w:rPr>
          <w:rFonts w:hint="eastAsia" w:ascii="仿宋_GB2312" w:hAnsi="仿宋_GB2312" w:eastAsia="仿宋_GB2312" w:cs="仿宋_GB2312"/>
          <w:b/>
          <w:bCs/>
          <w:color w:val="auto"/>
          <w:sz w:val="32"/>
          <w:szCs w:val="32"/>
          <w:highlight w:val="none"/>
        </w:rPr>
        <w:t>内部互投]、[</w:t>
      </w:r>
      <w:r>
        <w:rPr>
          <w:rFonts w:hint="eastAsia" w:ascii="仿宋_GB2312" w:hAnsi="仿宋_GB2312" w:eastAsia="仿宋_GB2312" w:cs="仿宋_GB2312"/>
          <w:b/>
          <w:bCs/>
          <w:color w:val="auto"/>
          <w:sz w:val="32"/>
          <w:szCs w:val="32"/>
          <w:highlight w:val="none"/>
          <w:lang w:eastAsia="zh-CN"/>
        </w:rPr>
        <w:t>受托管理</w:t>
      </w:r>
      <w:r>
        <w:rPr>
          <w:rFonts w:hint="eastAsia" w:ascii="仿宋_GB2312" w:hAnsi="仿宋_GB2312" w:eastAsia="仿宋_GB2312" w:cs="仿宋_GB2312"/>
          <w:b/>
          <w:bCs/>
          <w:color w:val="auto"/>
          <w:sz w:val="32"/>
          <w:szCs w:val="32"/>
          <w:highlight w:val="none"/>
        </w:rPr>
        <w:t>正回购]、[</w:t>
      </w:r>
      <w:r>
        <w:rPr>
          <w:rFonts w:hint="eastAsia" w:ascii="仿宋_GB2312" w:hAnsi="仿宋_GB2312" w:eastAsia="仿宋_GB2312" w:cs="仿宋_GB2312"/>
          <w:b/>
          <w:bCs/>
          <w:color w:val="auto"/>
          <w:sz w:val="32"/>
          <w:szCs w:val="32"/>
          <w:highlight w:val="none"/>
          <w:lang w:eastAsia="zh-CN"/>
        </w:rPr>
        <w:t>受托</w:t>
      </w:r>
      <w:r>
        <w:rPr>
          <w:rFonts w:hint="eastAsia" w:ascii="仿宋_GB2312" w:hAnsi="仿宋_GB2312" w:eastAsia="仿宋_GB2312" w:cs="仿宋_GB2312"/>
          <w:b/>
          <w:bCs/>
          <w:color w:val="auto"/>
          <w:sz w:val="32"/>
          <w:szCs w:val="32"/>
          <w:highlight w:val="none"/>
          <w:lang w:val="en-US" w:eastAsia="zh-CN"/>
        </w:rPr>
        <w:t>管理</w:t>
      </w:r>
      <w:r>
        <w:rPr>
          <w:rFonts w:hint="eastAsia" w:ascii="仿宋_GB2312" w:hAnsi="仿宋_GB2312" w:eastAsia="仿宋_GB2312" w:cs="仿宋_GB2312"/>
          <w:b/>
          <w:bCs/>
          <w:color w:val="auto"/>
          <w:sz w:val="32"/>
          <w:szCs w:val="32"/>
          <w:highlight w:val="none"/>
          <w:lang w:eastAsia="zh-CN"/>
        </w:rPr>
        <w:t>减值</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是调整项目，不构成</w:t>
      </w:r>
      <w:r>
        <w:rPr>
          <w:rFonts w:hint="eastAsia" w:ascii="仿宋_GB2312" w:hAnsi="仿宋_GB2312" w:eastAsia="仿宋_GB2312" w:cs="仿宋_GB2312"/>
          <w:color w:val="auto"/>
          <w:sz w:val="32"/>
          <w:szCs w:val="32"/>
          <w:highlight w:val="none"/>
          <w:lang w:val="en-US" w:eastAsia="zh-CN"/>
        </w:rPr>
        <w:t>受托资产管理</w:t>
      </w:r>
      <w:r>
        <w:rPr>
          <w:rFonts w:hint="eastAsia" w:ascii="仿宋_GB2312" w:hAnsi="仿宋_GB2312" w:eastAsia="仿宋_GB2312" w:cs="仿宋_GB2312"/>
          <w:color w:val="auto"/>
          <w:sz w:val="32"/>
          <w:szCs w:val="32"/>
          <w:highlight w:val="none"/>
        </w:rPr>
        <w:t>业务，而是基于以下目的进行的调整：（1）不同</w:t>
      </w:r>
      <w:r>
        <w:rPr>
          <w:rFonts w:hint="eastAsia" w:ascii="仿宋_GB2312" w:hAnsi="仿宋_GB2312" w:eastAsia="仿宋_GB2312" w:cs="仿宋_GB2312"/>
          <w:color w:val="auto"/>
          <w:sz w:val="32"/>
          <w:szCs w:val="32"/>
          <w:highlight w:val="none"/>
          <w:lang w:val="en-US" w:eastAsia="zh-CN"/>
        </w:rPr>
        <w:t>受托资产管理</w:t>
      </w:r>
      <w:r>
        <w:rPr>
          <w:rFonts w:hint="eastAsia" w:ascii="仿宋_GB2312" w:hAnsi="仿宋_GB2312" w:eastAsia="仿宋_GB2312" w:cs="仿宋_GB2312"/>
          <w:color w:val="auto"/>
          <w:sz w:val="32"/>
          <w:szCs w:val="32"/>
          <w:highlight w:val="none"/>
        </w:rPr>
        <w:t>业务类型间的互投和内部购买，难以在具体</w:t>
      </w:r>
      <w:r>
        <w:rPr>
          <w:rFonts w:hint="eastAsia" w:ascii="仿宋_GB2312" w:hAnsi="仿宋_GB2312" w:eastAsia="仿宋_GB2312" w:cs="仿宋_GB2312"/>
          <w:color w:val="auto"/>
          <w:sz w:val="32"/>
          <w:szCs w:val="32"/>
          <w:highlight w:val="none"/>
          <w:lang w:eastAsia="zh-CN"/>
        </w:rPr>
        <w:t>受托资产管理</w:t>
      </w:r>
      <w:r>
        <w:rPr>
          <w:rFonts w:hint="eastAsia" w:ascii="仿宋_GB2312" w:hAnsi="仿宋_GB2312" w:eastAsia="仿宋_GB2312" w:cs="仿宋_GB2312"/>
          <w:color w:val="auto"/>
          <w:sz w:val="32"/>
          <w:szCs w:val="32"/>
          <w:highlight w:val="none"/>
        </w:rPr>
        <w:t>业务（产品）类型上进行调整或明确的；（2）由于保险资产管理的业务模式特性，难以在具体</w:t>
      </w:r>
      <w:r>
        <w:rPr>
          <w:rFonts w:hint="eastAsia" w:ascii="仿宋_GB2312" w:hAnsi="仿宋_GB2312" w:eastAsia="仿宋_GB2312" w:cs="仿宋_GB2312"/>
          <w:color w:val="auto"/>
          <w:sz w:val="32"/>
          <w:szCs w:val="32"/>
          <w:highlight w:val="none"/>
          <w:lang w:eastAsia="zh-CN"/>
        </w:rPr>
        <w:t>受托资产管理</w:t>
      </w:r>
      <w:r>
        <w:rPr>
          <w:rFonts w:hint="eastAsia" w:ascii="仿宋_GB2312" w:hAnsi="仿宋_GB2312" w:eastAsia="仿宋_GB2312" w:cs="仿宋_GB2312"/>
          <w:color w:val="auto"/>
          <w:sz w:val="32"/>
          <w:szCs w:val="32"/>
          <w:highlight w:val="none"/>
        </w:rPr>
        <w:t>业务（产品）类型上进行拆分的。</w:t>
      </w:r>
      <w:r>
        <w:rPr>
          <w:rFonts w:hint="eastAsia" w:ascii="仿宋_GB2312" w:hAnsi="仿宋_GB2312" w:eastAsia="仿宋_GB2312" w:cs="仿宋_GB2312"/>
          <w:color w:val="auto"/>
          <w:sz w:val="32"/>
          <w:szCs w:val="32"/>
          <w:highlight w:val="none"/>
          <w:lang w:eastAsia="zh-CN"/>
        </w:rPr>
        <w:t>仅适用于保险资产管理公司和经营受托业务的养老险公司。</w:t>
      </w:r>
    </w:p>
    <w:p w14:paraId="4CF20A6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受托专户业务</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w:t>
      </w:r>
      <w:r>
        <w:rPr>
          <w:rFonts w:hint="eastAsia" w:ascii="仿宋_GB2312" w:hAnsi="仿宋_GB2312" w:eastAsia="仿宋_GB2312" w:cs="仿宋_GB2312"/>
          <w:b w:val="0"/>
          <w:bCs w:val="0"/>
          <w:color w:val="auto"/>
          <w:sz w:val="32"/>
          <w:szCs w:val="32"/>
        </w:rPr>
        <w:t>受托管理委托人的资金及其形成的各类资产合计。</w:t>
      </w:r>
    </w:p>
    <w:p w14:paraId="215BC14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[保险资产管理产品]</w:t>
      </w:r>
      <w:r>
        <w:rPr>
          <w:rFonts w:hint="eastAsia" w:ascii="仿宋_GB2312" w:hAnsi="仿宋_GB2312" w:eastAsia="仿宋_GB2312" w:cs="仿宋_GB2312"/>
          <w:color w:val="auto"/>
          <w:sz w:val="32"/>
          <w:szCs w:val="32"/>
          <w:highlight w:val="none"/>
        </w:rPr>
        <w:t>保险资产管理公司发行金融产品，</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级类型包括</w:t>
      </w:r>
      <w:r>
        <w:rPr>
          <w:rFonts w:hint="eastAsia" w:ascii="仿宋_GB2312" w:hAnsi="仿宋_GB2312" w:eastAsia="仿宋_GB2312" w:cs="仿宋_GB2312"/>
          <w:b/>
          <w:bCs/>
          <w:color w:val="auto"/>
          <w:sz w:val="32"/>
          <w:szCs w:val="32"/>
          <w:highlight w:val="none"/>
        </w:rPr>
        <w:t>[债权投资计划]、[股权投资计划]、[组合类资管产品]、[保险资管公司发行的专项产品]、[资产支持计划]、[其他保险资产管理产品]</w:t>
      </w:r>
      <w:r>
        <w:rPr>
          <w:rFonts w:hint="eastAsia" w:ascii="仿宋_GB2312" w:hAnsi="仿宋_GB2312" w:eastAsia="仿宋_GB2312" w:cs="仿宋_GB2312"/>
          <w:color w:val="auto"/>
          <w:sz w:val="32"/>
          <w:szCs w:val="32"/>
          <w:highlight w:val="none"/>
        </w:rPr>
        <w:t>。</w:t>
      </w:r>
    </w:p>
    <w:p w14:paraId="0C27179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highlight w:val="none"/>
        </w:rPr>
        <w:t>[其他受托管理产品]</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highlight w:val="none"/>
        </w:rPr>
        <w:t>指除</w:t>
      </w:r>
      <w:r>
        <w:rPr>
          <w:rFonts w:hint="eastAsia" w:ascii="仿宋_GB2312" w:hAnsi="仿宋_GB2312" w:eastAsia="仿宋_GB2312" w:cs="仿宋_GB2312"/>
          <w:b/>
          <w:bCs/>
          <w:color w:val="auto"/>
          <w:sz w:val="32"/>
          <w:szCs w:val="32"/>
          <w:highlight w:val="none"/>
        </w:rPr>
        <w:t>[受托专户业务]、[保险资产管理产品]</w:t>
      </w:r>
      <w:r>
        <w:rPr>
          <w:rFonts w:hint="eastAsia" w:ascii="仿宋_GB2312" w:hAnsi="仿宋_GB2312" w:eastAsia="仿宋_GB2312" w:cs="仿宋_GB2312"/>
          <w:color w:val="auto"/>
          <w:sz w:val="32"/>
          <w:szCs w:val="32"/>
          <w:highlight w:val="none"/>
        </w:rPr>
        <w:t>外，保险资产管理公司</w:t>
      </w:r>
      <w:r>
        <w:rPr>
          <w:rFonts w:hint="eastAsia" w:ascii="仿宋_GB2312" w:hAnsi="仿宋_GB2312" w:eastAsia="仿宋_GB2312" w:cs="仿宋_GB2312"/>
          <w:color w:val="auto"/>
          <w:sz w:val="32"/>
          <w:szCs w:val="32"/>
          <w:highlight w:val="none"/>
          <w:lang w:val="en-US" w:eastAsia="zh-CN"/>
        </w:rPr>
        <w:t>和养老险公司</w:t>
      </w:r>
      <w:r>
        <w:rPr>
          <w:rFonts w:hint="eastAsia" w:ascii="仿宋_GB2312" w:hAnsi="仿宋_GB2312" w:eastAsia="仿宋_GB2312" w:cs="仿宋_GB2312"/>
          <w:color w:val="auto"/>
          <w:sz w:val="32"/>
          <w:szCs w:val="32"/>
          <w:highlight w:val="none"/>
        </w:rPr>
        <w:t>受托管理的其他各项资产。</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级类型包括</w:t>
      </w:r>
      <w:r>
        <w:rPr>
          <w:rFonts w:hint="eastAsia" w:ascii="仿宋_GB2312" w:hAnsi="仿宋_GB2312" w:eastAsia="仿宋_GB2312" w:cs="仿宋_GB2312"/>
          <w:b/>
          <w:bCs/>
          <w:color w:val="auto"/>
          <w:sz w:val="32"/>
          <w:szCs w:val="32"/>
        </w:rPr>
        <w:t>[第一支柱公共养老金]、[第二支柱职业养老金]、[第三支柱个人养老金]、[养老金产品]</w:t>
      </w:r>
      <w:r>
        <w:rPr>
          <w:rFonts w:hint="eastAsia" w:ascii="仿宋_GB2312" w:hAnsi="仿宋_GB2312" w:eastAsia="仿宋_GB2312" w:cs="仿宋_GB2312"/>
          <w:b/>
          <w:bCs/>
          <w:color w:val="auto"/>
          <w:sz w:val="32"/>
          <w:szCs w:val="32"/>
          <w:highlight w:val="none"/>
        </w:rPr>
        <w:t>、[公募基金]、[私募证券投资基金]、[保险私募基金]、[交易所资产支持证券]</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[其他产品]</w:t>
      </w:r>
      <w:r>
        <w:rPr>
          <w:rFonts w:hint="eastAsia" w:ascii="仿宋_GB2312" w:hAnsi="仿宋_GB2312" w:eastAsia="仿宋_GB2312" w:cs="仿宋_GB2312"/>
          <w:color w:val="auto"/>
          <w:sz w:val="32"/>
          <w:szCs w:val="32"/>
          <w:highlight w:val="none"/>
        </w:rPr>
        <w:t>。</w:t>
      </w:r>
    </w:p>
    <w:p w14:paraId="40F2FDB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bCs/>
          <w:color w:val="auto"/>
          <w:sz w:val="32"/>
          <w:szCs w:val="32"/>
        </w:rPr>
        <w:t>[第一支柱]</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color w:val="auto"/>
          <w:sz w:val="32"/>
          <w:szCs w:val="32"/>
        </w:rPr>
        <w:t>指政府主导的强制性、普惠性养老保障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三级类型</w:t>
      </w:r>
      <w:r>
        <w:rPr>
          <w:rFonts w:hint="eastAsia" w:ascii="仿宋_GB2312" w:hAnsi="仿宋_GB2312" w:eastAsia="仿宋_GB2312" w:cs="仿宋_GB2312"/>
          <w:bCs/>
          <w:color w:val="auto"/>
          <w:sz w:val="32"/>
          <w:szCs w:val="32"/>
        </w:rPr>
        <w:t>包括</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基本养老保险基金</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color w:val="auto"/>
          <w:sz w:val="32"/>
          <w:szCs w:val="32"/>
        </w:rPr>
        <w:t>指通过法定渠道筹集的，用于支付退休人员基本养老金的专项基金。</w:t>
      </w:r>
    </w:p>
    <w:p w14:paraId="0A92602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[第二支柱]</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color w:val="auto"/>
          <w:sz w:val="32"/>
          <w:szCs w:val="32"/>
        </w:rPr>
        <w:t>指用人单位主导的补充养老金</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三级类型</w:t>
      </w:r>
      <w:r>
        <w:rPr>
          <w:rFonts w:hint="eastAsia" w:ascii="仿宋_GB2312" w:hAnsi="仿宋_GB2312" w:eastAsia="仿宋_GB2312" w:cs="仿宋_GB2312"/>
          <w:bCs/>
          <w:color w:val="auto"/>
          <w:sz w:val="32"/>
          <w:szCs w:val="32"/>
        </w:rPr>
        <w:t>包括</w:t>
      </w:r>
      <w:r>
        <w:rPr>
          <w:rFonts w:ascii="仿宋_GB2312" w:hAnsi="仿宋_GB2312" w:eastAsia="仿宋_GB2312" w:cs="仿宋_GB2312"/>
          <w:b/>
          <w:bCs/>
          <w:color w:val="auto"/>
          <w:sz w:val="32"/>
          <w:szCs w:val="32"/>
        </w:rPr>
        <w:t>[企业年金]</w:t>
      </w:r>
      <w:r>
        <w:rPr>
          <w:rFonts w:hint="eastAsia" w:ascii="仿宋_GB2312" w:hAnsi="仿宋_GB2312" w:eastAsia="仿宋_GB2312" w:cs="仿宋_GB2312"/>
          <w:b/>
          <w:bCs/>
          <w:color w:val="auto"/>
          <w:sz w:val="32"/>
          <w:szCs w:val="32"/>
          <w:lang w:eastAsia="zh-CN"/>
        </w:rPr>
        <w:t>、</w:t>
      </w:r>
      <w:r>
        <w:rPr>
          <w:rFonts w:ascii="仿宋_GB2312" w:hAnsi="仿宋_GB2312" w:eastAsia="仿宋_GB2312" w:cs="仿宋_GB2312"/>
          <w:b/>
          <w:bCs/>
          <w:color w:val="auto"/>
          <w:sz w:val="32"/>
          <w:szCs w:val="32"/>
        </w:rPr>
        <w:t>[职</w:t>
      </w:r>
      <w:r>
        <w:rPr>
          <w:rFonts w:hint="eastAsia" w:ascii="仿宋_GB2312" w:hAnsi="仿宋_GB2312" w:eastAsia="仿宋_GB2312" w:cs="仿宋_GB2312"/>
          <w:b/>
          <w:bCs/>
          <w:color w:val="auto"/>
          <w:sz w:val="32"/>
          <w:szCs w:val="32"/>
        </w:rPr>
        <w:t>业年金</w:t>
      </w:r>
      <w:r>
        <w:rPr>
          <w:rFonts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eastAsia="zh-CN"/>
        </w:rPr>
        <w:t>。</w:t>
      </w:r>
      <w:r>
        <w:rPr>
          <w:rFonts w:ascii="仿宋_GB2312" w:hAnsi="仿宋_GB2312" w:eastAsia="仿宋_GB2312" w:cs="仿宋_GB2312"/>
          <w:b/>
          <w:bCs/>
          <w:color w:val="auto"/>
          <w:sz w:val="32"/>
          <w:szCs w:val="32"/>
        </w:rPr>
        <w:t>[企业年金]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lang w:val="en-US" w:eastAsia="zh-CN"/>
        </w:rPr>
        <w:t>指</w:t>
      </w:r>
      <w:r>
        <w:rPr>
          <w:rFonts w:hint="eastAsia" w:ascii="仿宋_GB2312" w:hAnsi="仿宋_GB2312" w:eastAsia="仿宋_GB2312" w:cs="仿宋_GB2312"/>
          <w:bCs/>
          <w:color w:val="auto"/>
          <w:sz w:val="32"/>
          <w:szCs w:val="32"/>
        </w:rPr>
        <w:t>企业及其职工在</w:t>
      </w:r>
      <w:r>
        <w:rPr>
          <w:rFonts w:hint="eastAsia" w:ascii="仿宋_GB2312" w:hAnsi="仿宋_GB2312" w:eastAsia="仿宋_GB2312" w:cs="仿宋_GB2312"/>
          <w:bCs/>
          <w:color w:val="auto"/>
          <w:sz w:val="32"/>
          <w:szCs w:val="32"/>
          <w:highlight w:val="none"/>
        </w:rPr>
        <w:t>依法</w:t>
      </w:r>
      <w:r>
        <w:rPr>
          <w:rFonts w:hint="eastAsia" w:ascii="仿宋_GB2312" w:hAnsi="仿宋_GB2312" w:eastAsia="仿宋_GB2312" w:cs="仿宋_GB2312"/>
          <w:bCs/>
          <w:color w:val="auto"/>
          <w:sz w:val="32"/>
          <w:szCs w:val="32"/>
        </w:rPr>
        <w:t>参加基本养老保险的基础上，</w:t>
      </w:r>
      <w:r>
        <w:rPr>
          <w:rFonts w:hint="eastAsia" w:ascii="仿宋_GB2312" w:hAnsi="仿宋_GB2312" w:eastAsia="仿宋_GB2312" w:cs="仿宋_GB2312"/>
          <w:bCs/>
          <w:color w:val="auto"/>
          <w:sz w:val="32"/>
          <w:szCs w:val="32"/>
          <w:highlight w:val="none"/>
        </w:rPr>
        <w:t>自主</w:t>
      </w:r>
      <w:r>
        <w:rPr>
          <w:rFonts w:hint="eastAsia" w:ascii="仿宋_GB2312" w:hAnsi="仿宋_GB2312" w:eastAsia="仿宋_GB2312" w:cs="仿宋_GB2312"/>
          <w:bCs/>
          <w:color w:val="auto"/>
          <w:sz w:val="32"/>
          <w:szCs w:val="32"/>
        </w:rPr>
        <w:t>建立的补充养老保险制度</w:t>
      </w:r>
      <w:r>
        <w:rPr>
          <w:rFonts w:hint="eastAsia" w:ascii="仿宋_GB2312" w:hAnsi="仿宋_GB2312" w:eastAsia="仿宋_GB2312" w:cs="仿宋_GB2312"/>
          <w:bCs/>
          <w:color w:val="auto"/>
          <w:sz w:val="32"/>
          <w:szCs w:val="32"/>
          <w:lang w:eastAsia="zh-CN"/>
        </w:rPr>
        <w:t>；</w:t>
      </w:r>
      <w:r>
        <w:rPr>
          <w:rFonts w:ascii="仿宋_GB2312" w:hAnsi="仿宋_GB2312" w:eastAsia="仿宋_GB2312" w:cs="仿宋_GB2312"/>
          <w:b/>
          <w:bCs/>
          <w:color w:val="auto"/>
          <w:sz w:val="32"/>
          <w:szCs w:val="32"/>
        </w:rPr>
        <w:t>[职</w:t>
      </w:r>
      <w:r>
        <w:rPr>
          <w:rFonts w:hint="eastAsia" w:ascii="仿宋_GB2312" w:hAnsi="仿宋_GB2312" w:eastAsia="仿宋_GB2312" w:cs="仿宋_GB2312"/>
          <w:b/>
          <w:bCs/>
          <w:color w:val="auto"/>
          <w:sz w:val="32"/>
          <w:szCs w:val="32"/>
        </w:rPr>
        <w:t>业年金</w:t>
      </w:r>
      <w:r>
        <w:rPr>
          <w:rFonts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Cs/>
          <w:color w:val="auto"/>
          <w:sz w:val="32"/>
          <w:szCs w:val="32"/>
        </w:rPr>
        <w:t>指机关事业单位及其工作人员在参加机关事业单位基本养老保险的基础上，建立的补充养老保险制度。</w:t>
      </w:r>
    </w:p>
    <w:p w14:paraId="0EC13D96">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[第三支柱]</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color w:val="auto"/>
          <w:sz w:val="32"/>
          <w:szCs w:val="32"/>
        </w:rPr>
        <w:t>指个人养老金及其他个人商业养老金融业务</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三级类型</w:t>
      </w:r>
      <w:r>
        <w:rPr>
          <w:rFonts w:hint="eastAsia" w:ascii="仿宋_GB2312" w:hAnsi="仿宋_GB2312" w:eastAsia="仿宋_GB2312" w:cs="仿宋_GB2312"/>
          <w:bCs/>
          <w:color w:val="auto"/>
          <w:sz w:val="32"/>
          <w:szCs w:val="32"/>
        </w:rPr>
        <w:t>包括</w:t>
      </w:r>
      <w:r>
        <w:rPr>
          <w:rFonts w:ascii="仿宋_GB2312" w:hAnsi="仿宋_GB2312" w:eastAsia="仿宋_GB2312" w:cs="仿宋_GB2312"/>
          <w:b/>
          <w:bCs/>
          <w:color w:val="auto"/>
          <w:sz w:val="32"/>
          <w:szCs w:val="32"/>
        </w:rPr>
        <w:t>[商业养老金]</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[其他个人养老金]</w:t>
      </w:r>
      <w:r>
        <w:rPr>
          <w:rFonts w:hint="eastAsia" w:ascii="仿宋_GB2312" w:hAnsi="仿宋_GB2312" w:eastAsia="仿宋_GB2312" w:cs="仿宋_GB2312"/>
          <w:b/>
          <w:bCs/>
          <w:color w:val="auto"/>
          <w:sz w:val="32"/>
          <w:szCs w:val="32"/>
          <w:lang w:eastAsia="zh-CN"/>
        </w:rPr>
        <w:t>。</w:t>
      </w:r>
      <w:r>
        <w:rPr>
          <w:rFonts w:ascii="仿宋_GB2312" w:hAnsi="仿宋_GB2312" w:eastAsia="仿宋_GB2312" w:cs="仿宋_GB2312"/>
          <w:b/>
          <w:bCs/>
          <w:color w:val="auto"/>
          <w:sz w:val="32"/>
          <w:szCs w:val="32"/>
        </w:rPr>
        <w:t>[商业养老金]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color w:val="auto"/>
          <w:sz w:val="32"/>
          <w:szCs w:val="32"/>
        </w:rPr>
        <w:t>指</w:t>
      </w:r>
      <w:r>
        <w:rPr>
          <w:rFonts w:hint="eastAsia" w:ascii="仿宋_GB2312" w:hAnsi="仿宋_GB2312" w:eastAsia="仿宋_GB2312" w:cs="仿宋_GB2312"/>
          <w:bCs/>
          <w:color w:val="auto"/>
          <w:sz w:val="32"/>
          <w:szCs w:val="32"/>
        </w:rPr>
        <w:t>养老险公司为个人客户开立商业养老金账户，并提供账户管理、养老规划、资金管理和风险管理等服务的创新型养老金融业务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bCs/>
          <w:color w:val="auto"/>
          <w:sz w:val="32"/>
          <w:szCs w:val="32"/>
        </w:rPr>
        <w:t>[其他个人养老金]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color w:val="auto"/>
          <w:sz w:val="32"/>
          <w:szCs w:val="32"/>
        </w:rPr>
        <w:t>指</w:t>
      </w:r>
      <w:r>
        <w:rPr>
          <w:rFonts w:hint="eastAsia" w:ascii="仿宋_GB2312" w:hAnsi="仿宋_GB2312" w:eastAsia="仿宋_GB2312" w:cs="仿宋_GB2312"/>
          <w:bCs/>
          <w:color w:val="auto"/>
          <w:sz w:val="32"/>
          <w:szCs w:val="32"/>
        </w:rPr>
        <w:t>其他个人自主参与的养老金融产品。</w:t>
      </w:r>
    </w:p>
    <w:p w14:paraId="1D12E09F">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[养老金产品]</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highlight w:val="none"/>
        </w:rPr>
        <w:t>指由年金基金投资管理人发行的、面向年金基金定向销售的年金基金标准投资组合。</w:t>
      </w:r>
    </w:p>
    <w:p w14:paraId="53E319D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[公募基金]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highlight w:val="none"/>
        </w:rPr>
        <w:t>指保险资产管理</w:t>
      </w:r>
      <w:r>
        <w:rPr>
          <w:rFonts w:hint="eastAsia" w:ascii="仿宋_GB2312" w:hAnsi="仿宋_GB2312" w:eastAsia="仿宋_GB2312" w:cs="仿宋_GB2312"/>
          <w:color w:val="auto"/>
          <w:sz w:val="32"/>
          <w:szCs w:val="32"/>
          <w:highlight w:val="none"/>
          <w:lang w:val="en-US" w:eastAsia="zh-CN"/>
        </w:rPr>
        <w:t>公司</w:t>
      </w:r>
      <w:r>
        <w:rPr>
          <w:rFonts w:hint="eastAsia" w:ascii="仿宋_GB2312" w:hAnsi="仿宋_GB2312" w:eastAsia="仿宋_GB2312" w:cs="仿宋_GB2312"/>
          <w:color w:val="auto"/>
          <w:sz w:val="32"/>
          <w:szCs w:val="32"/>
          <w:highlight w:val="none"/>
        </w:rPr>
        <w:t>开展公募证券投资基金管理业务，作为管理人发行设立公募证券投资基金。</w:t>
      </w:r>
    </w:p>
    <w:p w14:paraId="7EBBB4F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[私募证券投资基金]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highlight w:val="none"/>
        </w:rPr>
        <w:t>指保险资产管理</w:t>
      </w:r>
      <w:r>
        <w:rPr>
          <w:rFonts w:hint="eastAsia" w:ascii="仿宋_GB2312" w:hAnsi="仿宋_GB2312" w:eastAsia="仿宋_GB2312" w:cs="仿宋_GB2312"/>
          <w:color w:val="auto"/>
          <w:sz w:val="32"/>
          <w:szCs w:val="32"/>
          <w:highlight w:val="none"/>
          <w:lang w:val="en-US" w:eastAsia="zh-CN"/>
        </w:rPr>
        <w:t>公司</w:t>
      </w:r>
      <w:r>
        <w:rPr>
          <w:rFonts w:hint="eastAsia" w:ascii="仿宋_GB2312" w:hAnsi="仿宋_GB2312" w:eastAsia="仿宋_GB2312" w:cs="仿宋_GB2312"/>
          <w:color w:val="auto"/>
          <w:sz w:val="32"/>
          <w:szCs w:val="32"/>
          <w:highlight w:val="none"/>
        </w:rPr>
        <w:t>开展私募证券投资基金管理业务，作为管理人发行设立私募证券投资基金。</w:t>
      </w:r>
    </w:p>
    <w:p w14:paraId="078A032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[保险私募基金]</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highlight w:val="none"/>
        </w:rPr>
        <w:t>指由保险资产管理</w:t>
      </w:r>
      <w:r>
        <w:rPr>
          <w:rFonts w:hint="eastAsia" w:ascii="仿宋_GB2312" w:hAnsi="仿宋_GB2312" w:eastAsia="仿宋_GB2312" w:cs="仿宋_GB2312"/>
          <w:color w:val="auto"/>
          <w:sz w:val="32"/>
          <w:szCs w:val="32"/>
          <w:highlight w:val="none"/>
          <w:lang w:val="en-US" w:eastAsia="zh-CN"/>
        </w:rPr>
        <w:t>公司</w:t>
      </w:r>
      <w:r>
        <w:rPr>
          <w:rFonts w:hint="eastAsia" w:ascii="仿宋_GB2312" w:hAnsi="仿宋_GB2312" w:eastAsia="仿宋_GB2312" w:cs="仿宋_GB2312"/>
          <w:color w:val="auto"/>
          <w:sz w:val="32"/>
          <w:szCs w:val="32"/>
          <w:highlight w:val="none"/>
        </w:rPr>
        <w:t>作为基金管理人管理的保险资金设立的私募基金。</w:t>
      </w:r>
    </w:p>
    <w:p w14:paraId="79A228A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highlight w:val="none"/>
        </w:rPr>
        <w:t>[交易所资产支持证券]</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highlight w:val="none"/>
        </w:rPr>
        <w:t>指在证券交易所挂牌转让的资产证券化产品。</w:t>
      </w:r>
    </w:p>
    <w:p w14:paraId="4ABC90F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[其他产品]</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color w:val="auto"/>
          <w:sz w:val="32"/>
          <w:szCs w:val="32"/>
        </w:rPr>
        <w:t>指无法归集到以上类型中的其他受托管理资产。</w:t>
      </w:r>
    </w:p>
    <w:p w14:paraId="62C0AD8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ascii="仿宋_GB2312" w:hAnsi="仿宋_GB2312" w:eastAsia="仿宋_GB2312" w:cs="仿宋_GB2312"/>
          <w:b w:val="0"/>
          <w:bCs/>
          <w:color w:val="auto"/>
          <w:sz w:val="32"/>
          <w:szCs w:val="32"/>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受托管理</w:t>
      </w:r>
      <w:r>
        <w:rPr>
          <w:rFonts w:hint="eastAsia" w:ascii="仿宋_GB2312" w:hAnsi="仿宋_GB2312" w:eastAsia="仿宋_GB2312" w:cs="仿宋_GB2312"/>
          <w:b/>
          <w:bCs/>
          <w:color w:val="auto"/>
          <w:sz w:val="32"/>
          <w:szCs w:val="32"/>
          <w:highlight w:val="none"/>
        </w:rPr>
        <w:t>内部互投]</w:t>
      </w:r>
      <w:r>
        <w:rPr>
          <w:rFonts w:hint="eastAsia" w:ascii="仿宋_GB2312" w:hAnsi="仿宋_GB2312" w:eastAsia="仿宋_GB2312" w:cs="仿宋_GB2312"/>
          <w:color w:val="auto"/>
          <w:sz w:val="32"/>
          <w:szCs w:val="32"/>
        </w:rPr>
        <w:t>是调整项目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指受托专户、保险资产管理产品和其他</w:t>
      </w:r>
      <w:r>
        <w:rPr>
          <w:rFonts w:hint="eastAsia" w:ascii="仿宋_GB2312" w:hAnsi="仿宋_GB2312" w:eastAsia="仿宋_GB2312" w:cs="仿宋_GB2312"/>
          <w:color w:val="auto"/>
          <w:sz w:val="32"/>
          <w:szCs w:val="32"/>
          <w:highlight w:val="none"/>
          <w:lang w:val="en-US" w:eastAsia="zh-CN"/>
        </w:rPr>
        <w:t>受托管理</w:t>
      </w:r>
      <w:r>
        <w:rPr>
          <w:rFonts w:hint="eastAsia" w:ascii="仿宋_GB2312" w:hAnsi="仿宋_GB2312" w:eastAsia="仿宋_GB2312" w:cs="仿宋_GB2312"/>
          <w:color w:val="auto"/>
          <w:sz w:val="32"/>
          <w:szCs w:val="32"/>
          <w:highlight w:val="none"/>
        </w:rPr>
        <w:t>产品之间</w:t>
      </w:r>
      <w:r>
        <w:rPr>
          <w:rFonts w:hint="eastAsia" w:ascii="仿宋_GB2312" w:hAnsi="仿宋_GB2312" w:eastAsia="仿宋_GB2312" w:cs="仿宋_GB2312"/>
          <w:color w:val="auto"/>
          <w:sz w:val="32"/>
          <w:szCs w:val="32"/>
        </w:rPr>
        <w:t>内部互投</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b/>
          <w:bCs/>
          <w:color w:val="auto"/>
          <w:sz w:val="32"/>
          <w:szCs w:val="32"/>
          <w:lang w:val="en-US" w:eastAsia="zh-CN"/>
        </w:rPr>
        <w:t>[账面价值]</w:t>
      </w:r>
      <w:r>
        <w:rPr>
          <w:rFonts w:hint="eastAsia" w:ascii="仿宋_GB2312" w:hAnsi="仿宋_GB2312" w:eastAsia="仿宋_GB2312" w:cs="仿宋_GB2312"/>
          <w:color w:val="auto"/>
          <w:sz w:val="32"/>
          <w:szCs w:val="32"/>
          <w:lang w:eastAsia="zh-CN"/>
        </w:rPr>
        <w:t>是指</w:t>
      </w:r>
      <w:r>
        <w:rPr>
          <w:rFonts w:hint="eastAsia" w:ascii="仿宋_GB2312" w:hAnsi="仿宋_GB2312" w:eastAsia="仿宋_GB2312" w:cs="仿宋_GB2312"/>
          <w:color w:val="auto"/>
          <w:sz w:val="32"/>
          <w:szCs w:val="32"/>
        </w:rPr>
        <w:t>购买方持有</w:t>
      </w:r>
      <w:r>
        <w:rPr>
          <w:rFonts w:hint="eastAsia" w:ascii="仿宋_GB2312" w:hAnsi="仿宋_GB2312" w:eastAsia="仿宋_GB2312" w:cs="仿宋_GB2312"/>
          <w:color w:val="auto"/>
          <w:sz w:val="32"/>
          <w:szCs w:val="32"/>
          <w:lang w:eastAsia="zh-CN"/>
        </w:rPr>
        <w:t>资产的</w:t>
      </w:r>
      <w:r>
        <w:rPr>
          <w:rFonts w:hint="eastAsia" w:ascii="仿宋_GB2312" w:hAnsi="仿宋_GB2312" w:eastAsia="仿宋_GB2312" w:cs="仿宋_GB2312"/>
          <w:color w:val="auto"/>
          <w:sz w:val="32"/>
          <w:szCs w:val="32"/>
        </w:rPr>
        <w:t>账面价值</w:t>
      </w:r>
      <w:r>
        <w:rPr>
          <w:rFonts w:hint="eastAsia" w:ascii="仿宋_GB2312" w:hAnsi="仿宋_GB2312" w:eastAsia="仿宋_GB2312" w:cs="仿宋_GB2312"/>
          <w:color w:val="auto"/>
          <w:sz w:val="32"/>
          <w:szCs w:val="32"/>
          <w:highlight w:val="none"/>
        </w:rPr>
        <w:t>。</w:t>
      </w:r>
    </w:p>
    <w:p w14:paraId="1E68E4B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受托管理</w:t>
      </w:r>
      <w:r>
        <w:rPr>
          <w:rFonts w:hint="eastAsia" w:ascii="仿宋_GB2312" w:hAnsi="仿宋_GB2312" w:eastAsia="仿宋_GB2312" w:cs="仿宋_GB2312"/>
          <w:b/>
          <w:bCs/>
          <w:color w:val="auto"/>
          <w:sz w:val="32"/>
          <w:szCs w:val="32"/>
        </w:rPr>
        <w:t>正回购]</w:t>
      </w:r>
      <w:r>
        <w:rPr>
          <w:rFonts w:hint="eastAsia" w:ascii="仿宋_GB2312" w:hAnsi="仿宋_GB2312" w:eastAsia="仿宋_GB2312" w:cs="仿宋_GB2312"/>
          <w:color w:val="auto"/>
          <w:sz w:val="32"/>
          <w:szCs w:val="32"/>
        </w:rPr>
        <w:t>是调整项目，指保险资产管理公司与其他金融机构或企业按合同或协议约定，以一定价格卖出其有价证券、贷款或票据，到合同约定日期，再以约定价格从该金融机构或企业进行购回的项目。对于暂未执行《企业会计准则第22号—金融工具确认和计量》（财会〔2017〕7号）、《企业会计准则第23号—金融资产转移》（财会〔2017〕8号）、《企业会计准则第24号—套期会计》（财会〔2017〕9号）、《企业会计准则第37号—金融工具列报》（财会〔2017〕14号）的保险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[受托管理正回购]</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账面价值</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eastAsia="zh-CN"/>
        </w:rPr>
        <w:t>包含</w:t>
      </w:r>
      <w:r>
        <w:rPr>
          <w:rFonts w:hint="eastAsia" w:ascii="仿宋_GB2312" w:hAnsi="仿宋_GB2312" w:eastAsia="仿宋_GB2312" w:cs="仿宋_GB2312"/>
          <w:color w:val="auto"/>
          <w:sz w:val="32"/>
          <w:szCs w:val="32"/>
        </w:rPr>
        <w:t>应付利息</w:t>
      </w:r>
      <w:r>
        <w:rPr>
          <w:rFonts w:hint="eastAsia" w:ascii="仿宋_GB2312" w:hAnsi="仿宋_GB2312" w:eastAsia="仿宋_GB2312" w:cs="仿宋_GB2312"/>
          <w:color w:val="auto"/>
          <w:sz w:val="32"/>
          <w:szCs w:val="32"/>
          <w:lang w:val="en-US" w:eastAsia="zh-CN"/>
        </w:rPr>
        <w:t>，否则包含</w:t>
      </w:r>
      <w:r>
        <w:rPr>
          <w:rFonts w:hint="eastAsia" w:ascii="仿宋_GB2312" w:hAnsi="仿宋_GB2312" w:eastAsia="仿宋_GB2312" w:cs="仿宋_GB2312"/>
          <w:color w:val="auto"/>
          <w:sz w:val="32"/>
          <w:szCs w:val="32"/>
        </w:rPr>
        <w:t>应付利息。</w:t>
      </w:r>
    </w:p>
    <w:p w14:paraId="6623B96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rPr>
      </w:pPr>
      <w:r>
        <w:rPr>
          <w:rFonts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eastAsia="zh-CN"/>
        </w:rPr>
        <w:t>受托管理</w:t>
      </w:r>
      <w:r>
        <w:rPr>
          <w:rFonts w:hint="eastAsia" w:ascii="仿宋_GB2312" w:hAnsi="仿宋_GB2312" w:eastAsia="仿宋_GB2312" w:cs="仿宋_GB2312"/>
          <w:b/>
          <w:color w:val="auto"/>
          <w:sz w:val="32"/>
          <w:szCs w:val="32"/>
        </w:rPr>
        <w:t>资产规模</w:t>
      </w:r>
      <w:r>
        <w:rPr>
          <w:rFonts w:ascii="仿宋_GB2312" w:hAnsi="仿宋_GB2312" w:eastAsia="仿宋_GB2312" w:cs="仿宋_GB2312"/>
          <w:b/>
          <w:color w:val="auto"/>
          <w:sz w:val="32"/>
          <w:szCs w:val="32"/>
        </w:rPr>
        <w:t>]</w:t>
      </w:r>
      <w:r>
        <w:rPr>
          <w:rFonts w:hint="eastAsia" w:ascii="仿宋_GB2312" w:hAnsi="仿宋_GB2312" w:eastAsia="仿宋_GB2312" w:cs="仿宋_GB2312"/>
          <w:b w:val="0"/>
          <w:color w:val="auto"/>
          <w:sz w:val="32"/>
          <w:szCs w:val="32"/>
        </w:rPr>
        <w:t>是汇总值，指</w:t>
      </w:r>
      <w:r>
        <w:rPr>
          <w:rFonts w:hint="eastAsia" w:ascii="仿宋_GB2312" w:hAnsi="仿宋_GB2312" w:eastAsia="仿宋_GB2312" w:cs="仿宋_GB2312"/>
          <w:color w:val="auto"/>
          <w:sz w:val="32"/>
          <w:szCs w:val="32"/>
          <w:highlight w:val="none"/>
        </w:rPr>
        <w:t>保险资产管理公司</w:t>
      </w:r>
      <w:r>
        <w:rPr>
          <w:rFonts w:hint="eastAsia" w:ascii="仿宋_GB2312" w:hAnsi="仿宋_GB2312" w:eastAsia="仿宋_GB2312" w:cs="仿宋_GB2312"/>
          <w:color w:val="auto"/>
          <w:sz w:val="32"/>
          <w:szCs w:val="32"/>
          <w:highlight w:val="none"/>
          <w:lang w:val="en-US" w:eastAsia="zh-CN"/>
        </w:rPr>
        <w:t>和养老险公司</w:t>
      </w:r>
      <w:r>
        <w:rPr>
          <w:rFonts w:hint="eastAsia" w:ascii="仿宋_GB2312" w:hAnsi="仿宋_GB2312" w:eastAsia="仿宋_GB2312" w:cs="仿宋_GB2312"/>
          <w:color w:val="auto"/>
          <w:sz w:val="32"/>
          <w:szCs w:val="32"/>
        </w:rPr>
        <w:t>所</w:t>
      </w:r>
      <w:r>
        <w:rPr>
          <w:rFonts w:hint="eastAsia" w:ascii="仿宋_GB2312" w:hAnsi="仿宋_GB2312" w:eastAsia="仿宋_GB2312" w:cs="仿宋_GB2312"/>
          <w:color w:val="auto"/>
          <w:sz w:val="32"/>
          <w:szCs w:val="32"/>
          <w:lang w:eastAsia="zh-CN"/>
        </w:rPr>
        <w:t>受托管理</w:t>
      </w:r>
      <w:r>
        <w:rPr>
          <w:rFonts w:hint="eastAsia" w:ascii="仿宋_GB2312" w:hAnsi="仿宋_GB2312" w:eastAsia="仿宋_GB2312" w:cs="仿宋_GB2312"/>
          <w:color w:val="auto"/>
          <w:sz w:val="32"/>
          <w:szCs w:val="32"/>
        </w:rPr>
        <w:t>的资产总规模。</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受托</w:t>
      </w:r>
      <w:r>
        <w:rPr>
          <w:rFonts w:hint="eastAsia" w:ascii="仿宋_GB2312" w:hAnsi="仿宋_GB2312" w:eastAsia="仿宋_GB2312" w:cs="仿宋_GB2312"/>
          <w:b/>
          <w:bCs/>
          <w:color w:val="auto"/>
          <w:sz w:val="32"/>
          <w:szCs w:val="32"/>
          <w:highlight w:val="none"/>
        </w:rPr>
        <w:t>管理资产规模]＝[受托</w:t>
      </w:r>
      <w:r>
        <w:rPr>
          <w:rFonts w:hint="eastAsia" w:ascii="仿宋_GB2312" w:hAnsi="仿宋_GB2312" w:eastAsia="仿宋_GB2312" w:cs="仿宋_GB2312"/>
          <w:b/>
          <w:bCs/>
          <w:color w:val="auto"/>
          <w:sz w:val="32"/>
          <w:szCs w:val="32"/>
          <w:highlight w:val="none"/>
          <w:lang w:val="en-US" w:eastAsia="zh-CN"/>
        </w:rPr>
        <w:t>专户业务</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保险资产管理产品</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其他受托管理产品</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受托管理</w:t>
      </w:r>
      <w:r>
        <w:rPr>
          <w:rFonts w:hint="eastAsia" w:ascii="仿宋_GB2312" w:hAnsi="仿宋_GB2312" w:eastAsia="仿宋_GB2312" w:cs="仿宋_GB2312"/>
          <w:b/>
          <w:bCs/>
          <w:color w:val="auto"/>
          <w:sz w:val="32"/>
          <w:szCs w:val="32"/>
          <w:highlight w:val="none"/>
        </w:rPr>
        <w:t>内部互投]－[</w:t>
      </w:r>
      <w:r>
        <w:rPr>
          <w:rFonts w:hint="eastAsia" w:ascii="仿宋_GB2312" w:hAnsi="仿宋_GB2312" w:eastAsia="仿宋_GB2312" w:cs="仿宋_GB2312"/>
          <w:b/>
          <w:bCs/>
          <w:color w:val="auto"/>
          <w:sz w:val="32"/>
          <w:szCs w:val="32"/>
          <w:highlight w:val="none"/>
          <w:lang w:eastAsia="zh-CN"/>
        </w:rPr>
        <w:t>受托管理</w:t>
      </w:r>
      <w:r>
        <w:rPr>
          <w:rFonts w:hint="eastAsia" w:ascii="仿宋_GB2312" w:hAnsi="仿宋_GB2312" w:eastAsia="仿宋_GB2312" w:cs="仿宋_GB2312"/>
          <w:b/>
          <w:bCs/>
          <w:color w:val="auto"/>
          <w:sz w:val="32"/>
          <w:szCs w:val="32"/>
          <w:highlight w:val="none"/>
        </w:rPr>
        <w:t>正回购]。</w:t>
      </w:r>
    </w:p>
    <w:p w14:paraId="1EF76422">
      <w:pPr>
        <w:pStyle w:val="57"/>
        <w:keepNext w:val="0"/>
        <w:keepLines w:val="0"/>
        <w:pageBreakBefore w:val="0"/>
        <w:numPr>
          <w:ilvl w:val="0"/>
          <w:numId w:val="0"/>
        </w:numPr>
        <w:kinsoku/>
        <w:wordWrap/>
        <w:overflowPunct/>
        <w:topLinePunct w:val="0"/>
        <w:bidi w:val="0"/>
        <w:spacing w:after="0" w:line="600" w:lineRule="exact"/>
        <w:ind w:left="0" w:leftChars="0" w:firstLine="643" w:firstLineChars="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2.受托管理</w:t>
      </w:r>
      <w:r>
        <w:rPr>
          <w:rFonts w:hint="eastAsia" w:ascii="仿宋_GB2312" w:hAnsi="仿宋_GB2312" w:eastAsia="仿宋_GB2312" w:cs="仿宋_GB2312"/>
          <w:b/>
          <w:bCs/>
          <w:color w:val="auto"/>
          <w:sz w:val="32"/>
          <w:szCs w:val="32"/>
          <w:highlight w:val="none"/>
        </w:rPr>
        <w:t>资金来源维度</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保险资产管理公司</w:t>
      </w:r>
      <w:r>
        <w:rPr>
          <w:rFonts w:hint="eastAsia" w:ascii="仿宋_GB2312" w:hAnsi="仿宋_GB2312" w:eastAsia="仿宋_GB2312" w:cs="仿宋_GB2312"/>
          <w:color w:val="auto"/>
          <w:sz w:val="32"/>
          <w:szCs w:val="32"/>
          <w:highlight w:val="none"/>
          <w:lang w:val="en-US" w:eastAsia="zh-CN"/>
        </w:rPr>
        <w:t>和养老险公司应当明确所受托</w:t>
      </w:r>
      <w:r>
        <w:rPr>
          <w:rFonts w:hint="eastAsia" w:ascii="仿宋_GB2312" w:hAnsi="仿宋_GB2312" w:eastAsia="仿宋_GB2312" w:cs="仿宋_GB2312"/>
          <w:color w:val="auto"/>
          <w:sz w:val="32"/>
          <w:szCs w:val="32"/>
          <w:highlight w:val="none"/>
        </w:rPr>
        <w:t>管理业务的资金来源</w:t>
      </w:r>
      <w:r>
        <w:rPr>
          <w:rFonts w:hint="eastAsia" w:ascii="仿宋_GB2312" w:hAnsi="仿宋_GB2312" w:eastAsia="仿宋_GB2312" w:cs="仿宋_GB2312"/>
          <w:color w:val="auto"/>
          <w:sz w:val="32"/>
          <w:szCs w:val="32"/>
          <w:highlight w:val="none"/>
          <w:lang w:eastAsia="zh-CN"/>
        </w:rPr>
        <w:t>方，</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b/>
          <w:bCs/>
          <w:color w:val="auto"/>
          <w:sz w:val="32"/>
          <w:szCs w:val="32"/>
          <w:highlight w:val="none"/>
        </w:rPr>
        <w:t>[集团内保险资金]、[集团外保险资金]、[银行理财资金]、[</w:t>
      </w:r>
      <w:r>
        <w:rPr>
          <w:rFonts w:hint="eastAsia" w:ascii="仿宋_GB2312" w:hAnsi="仿宋_GB2312" w:eastAsia="仿宋_GB2312" w:cs="仿宋_GB2312"/>
          <w:b/>
          <w:bCs/>
          <w:color w:val="auto"/>
          <w:sz w:val="32"/>
          <w:szCs w:val="32"/>
        </w:rPr>
        <w:t>国家和个人养老资金</w:t>
      </w:r>
      <w:r>
        <w:rPr>
          <w:rFonts w:hint="eastAsia" w:ascii="仿宋_GB2312" w:hAnsi="仿宋_GB2312" w:eastAsia="仿宋_GB2312" w:cs="仿宋_GB2312"/>
          <w:b/>
          <w:bCs/>
          <w:color w:val="auto"/>
          <w:sz w:val="32"/>
          <w:szCs w:val="32"/>
          <w:highlight w:val="none"/>
        </w:rPr>
        <w:t>]、[其他来源资金]。</w:t>
      </w:r>
      <w:r>
        <w:rPr>
          <w:rFonts w:hint="eastAsia" w:ascii="仿宋_GB2312" w:hAnsi="仿宋_GB2312" w:eastAsia="仿宋_GB2312" w:cs="仿宋_GB2312"/>
          <w:color w:val="auto"/>
          <w:sz w:val="32"/>
          <w:szCs w:val="32"/>
          <w:highlight w:val="none"/>
          <w:lang w:eastAsia="zh-CN"/>
        </w:rPr>
        <w:t>仅适用于保险资产管理公司和经营受托业务的养老险公司。</w:t>
      </w:r>
      <w:r>
        <w:rPr>
          <w:rFonts w:hint="eastAsia" w:ascii="仿宋_GB2312" w:hAnsi="仿宋_GB2312" w:eastAsia="仿宋_GB2312" w:cs="仿宋_GB2312"/>
          <w:b w:val="0"/>
          <w:bCs w:val="0"/>
          <w:color w:val="auto"/>
          <w:sz w:val="32"/>
          <w:szCs w:val="32"/>
          <w:highlight w:val="none"/>
          <w:lang w:eastAsia="zh-CN"/>
        </w:rPr>
        <w:t>具体分类标准如下：</w:t>
      </w:r>
    </w:p>
    <w:p w14:paraId="64847F1E">
      <w:pPr>
        <w:pStyle w:val="57"/>
        <w:keepNext w:val="0"/>
        <w:keepLines w:val="0"/>
        <w:pageBreakBefore w:val="0"/>
        <w:numPr>
          <w:ilvl w:val="0"/>
          <w:numId w:val="0"/>
        </w:numPr>
        <w:kinsoku/>
        <w:wordWrap/>
        <w:overflowPunct/>
        <w:topLinePunct w:val="0"/>
        <w:bidi w:val="0"/>
        <w:spacing w:after="0" w:line="600" w:lineRule="exact"/>
        <w:ind w:left="0" w:leftChars="0" w:firstLine="643" w:firstLineChars="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[集团内保险资金]</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指受托管理所属保险集团内各机构的保险资金（含保险机构自有资金），不包括保险机构的非保险资金。</w:t>
      </w:r>
      <w:r>
        <w:rPr>
          <w:rFonts w:hint="eastAsia" w:ascii="仿宋_GB2312" w:hAnsi="仿宋_GB2312" w:eastAsia="仿宋_GB2312" w:cs="仿宋_GB2312"/>
          <w:b/>
          <w:bCs/>
          <w:color w:val="auto"/>
          <w:sz w:val="32"/>
          <w:szCs w:val="32"/>
          <w:highlight w:val="none"/>
        </w:rPr>
        <w:t>[集团外保险资金]</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指</w:t>
      </w:r>
      <w:r>
        <w:rPr>
          <w:rFonts w:hint="eastAsia" w:ascii="仿宋_GB2312" w:hAnsi="仿宋_GB2312" w:eastAsia="仿宋_GB2312" w:cs="仿宋_GB2312"/>
          <w:color w:val="auto"/>
          <w:sz w:val="32"/>
          <w:szCs w:val="32"/>
          <w:highlight w:val="none"/>
        </w:rPr>
        <w:t>受托管理所属保险集团以外的各机构的保险资金（含保险机构自有资金），不包括保险机构的非保险资金。</w:t>
      </w:r>
      <w:r>
        <w:rPr>
          <w:rFonts w:hint="eastAsia" w:ascii="仿宋_GB2312" w:hAnsi="仿宋_GB2312" w:eastAsia="仿宋_GB2312" w:cs="仿宋_GB2312"/>
          <w:b/>
          <w:bCs/>
          <w:color w:val="auto"/>
          <w:sz w:val="32"/>
          <w:szCs w:val="32"/>
          <w:highlight w:val="none"/>
        </w:rPr>
        <w:t>[银行理财资金]</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指</w:t>
      </w:r>
      <w:r>
        <w:rPr>
          <w:rFonts w:hint="eastAsia" w:ascii="仿宋_GB2312" w:hAnsi="仿宋_GB2312" w:eastAsia="仿宋_GB2312" w:cs="仿宋_GB2312"/>
          <w:color w:val="auto"/>
          <w:sz w:val="32"/>
          <w:szCs w:val="32"/>
          <w:highlight w:val="none"/>
        </w:rPr>
        <w:t>受托管理的来自银行理财公司的资金。</w:t>
      </w:r>
      <w:r>
        <w:rPr>
          <w:rFonts w:hint="eastAsia" w:ascii="仿宋_GB2312" w:hAnsi="仿宋_GB2312" w:eastAsia="仿宋_GB2312" w:cs="仿宋_GB2312"/>
          <w:b/>
          <w:bCs/>
          <w:color w:val="auto"/>
          <w:sz w:val="32"/>
          <w:szCs w:val="32"/>
        </w:rPr>
        <w:t>[国家和个人养老资金]</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指</w:t>
      </w:r>
      <w:r>
        <w:rPr>
          <w:rFonts w:hint="eastAsia" w:ascii="仿宋_GB2312" w:hAnsi="仿宋_GB2312" w:eastAsia="仿宋_GB2312" w:cs="仿宋_GB2312"/>
          <w:b w:val="0"/>
          <w:bCs/>
          <w:color w:val="auto"/>
          <w:sz w:val="32"/>
          <w:szCs w:val="32"/>
        </w:rPr>
        <w:t>由全国社保基金理事会委托基本养老管理人专业运营的基本养老保险基金结余、企业</w:t>
      </w:r>
      <w:r>
        <w:rPr>
          <w:rFonts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rPr>
        <w:t>机关事业单位及其职工</w:t>
      </w:r>
      <w:r>
        <w:rPr>
          <w:rFonts w:ascii="仿宋_GB2312" w:hAnsi="仿宋_GB2312" w:eastAsia="仿宋_GB2312" w:cs="仿宋_GB2312"/>
          <w:b w:val="0"/>
          <w:bCs/>
          <w:color w:val="auto"/>
          <w:sz w:val="32"/>
          <w:szCs w:val="32"/>
        </w:rPr>
        <w:t>/工作</w:t>
      </w:r>
      <w:r>
        <w:rPr>
          <w:rFonts w:hint="eastAsia" w:ascii="仿宋_GB2312" w:hAnsi="仿宋_GB2312" w:eastAsia="仿宋_GB2312" w:cs="仿宋_GB2312"/>
          <w:b w:val="0"/>
          <w:bCs/>
          <w:color w:val="auto"/>
          <w:sz w:val="32"/>
          <w:szCs w:val="32"/>
        </w:rPr>
        <w:t>人员的年金缴费、</w:t>
      </w:r>
      <w:r>
        <w:rPr>
          <w:rFonts w:hint="eastAsia" w:ascii="仿宋_GB2312" w:hAnsi="仿宋_GB2312" w:eastAsia="仿宋_GB2312" w:cs="仿宋_GB2312"/>
          <w:bCs/>
          <w:color w:val="auto"/>
          <w:sz w:val="32"/>
          <w:szCs w:val="32"/>
        </w:rPr>
        <w:t>个人自主参与的金融机构发行的养老金融产品管理资金。</w:t>
      </w:r>
      <w:r>
        <w:rPr>
          <w:rFonts w:hint="eastAsia" w:ascii="仿宋_GB2312" w:hAnsi="仿宋_GB2312" w:eastAsia="仿宋_GB2312" w:cs="仿宋_GB2312"/>
          <w:b/>
          <w:bCs/>
          <w:color w:val="auto"/>
          <w:sz w:val="32"/>
          <w:szCs w:val="32"/>
          <w:highlight w:val="none"/>
        </w:rPr>
        <w:t>[其他来源资金]</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val="0"/>
          <w:color w:val="auto"/>
          <w:sz w:val="32"/>
          <w:szCs w:val="32"/>
          <w:highlight w:val="none"/>
        </w:rPr>
        <w:t>指</w:t>
      </w:r>
      <w:r>
        <w:rPr>
          <w:rFonts w:hint="eastAsia" w:ascii="仿宋_GB2312" w:hAnsi="仿宋_GB2312" w:eastAsia="仿宋_GB2312" w:cs="仿宋_GB2312"/>
          <w:color w:val="auto"/>
          <w:sz w:val="32"/>
          <w:szCs w:val="32"/>
          <w:highlight w:val="none"/>
        </w:rPr>
        <w:t>受托管理除上述资金来源以外的资金，包括保险机构非保险资金</w:t>
      </w:r>
      <w:r>
        <w:rPr>
          <w:rFonts w:hint="eastAsia"/>
          <w:color w:val="auto"/>
          <w:lang w:eastAsia="zh-CN"/>
        </w:rPr>
        <w:t>、</w:t>
      </w:r>
      <w:r>
        <w:rPr>
          <w:rFonts w:hint="eastAsia" w:ascii="仿宋_GB2312" w:hAnsi="仿宋_GB2312" w:eastAsia="仿宋_GB2312" w:cs="仿宋_GB2312"/>
          <w:color w:val="auto"/>
          <w:sz w:val="32"/>
          <w:szCs w:val="32"/>
        </w:rPr>
        <w:t>团体养老保障业务</w:t>
      </w:r>
      <w:r>
        <w:rPr>
          <w:rFonts w:hint="eastAsia" w:ascii="仿宋_GB2312" w:hAnsi="仿宋_GB2312" w:eastAsia="仿宋_GB2312" w:cs="仿宋_GB2312"/>
          <w:color w:val="auto"/>
          <w:sz w:val="32"/>
          <w:szCs w:val="32"/>
          <w:highlight w:val="none"/>
        </w:rPr>
        <w:t>等。</w:t>
      </w:r>
    </w:p>
    <w:p w14:paraId="384F3E96">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outlineLvl w:val="2"/>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（九）资产管理专业服务重点维度</w:t>
      </w:r>
    </w:p>
    <w:p w14:paraId="138B9C13">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eastAsia="zh-CN"/>
        </w:rPr>
        <w:t>保险资产管理公司应当根据《</w:t>
      </w:r>
      <w:r>
        <w:rPr>
          <w:rFonts w:hint="eastAsia" w:ascii="仿宋_GB2312" w:hAnsi="仿宋_GB2312" w:eastAsia="仿宋_GB2312" w:cs="仿宋_GB2312"/>
          <w:color w:val="auto"/>
          <w:sz w:val="32"/>
          <w:szCs w:val="32"/>
          <w:highlight w:val="none"/>
        </w:rPr>
        <w:t>保险资产管理公司管理规定</w:t>
      </w:r>
      <w:r>
        <w:rPr>
          <w:rFonts w:hint="eastAsia" w:ascii="仿宋_GB2312" w:hAnsi="仿宋_GB2312" w:eastAsia="仿宋_GB2312" w:cs="仿宋_GB2312"/>
          <w:color w:val="auto"/>
          <w:sz w:val="32"/>
          <w:szCs w:val="32"/>
          <w:highlight w:val="none"/>
          <w:lang w:eastAsia="zh-CN"/>
        </w:rPr>
        <w:t>》（银保监</w:t>
      </w:r>
      <w:r>
        <w:rPr>
          <w:rFonts w:hint="eastAsia" w:ascii="仿宋_GB2312" w:hAnsi="仿宋_GB2312" w:eastAsia="仿宋_GB2312" w:cs="仿宋_GB2312"/>
          <w:color w:val="auto"/>
          <w:sz w:val="32"/>
          <w:szCs w:val="32"/>
          <w:highlight w:val="none"/>
        </w:rPr>
        <w:t>令2022年第2号</w:t>
      </w:r>
      <w:r>
        <w:rPr>
          <w:rFonts w:hint="eastAsia" w:ascii="仿宋_GB2312" w:hAnsi="仿宋_GB2312" w:eastAsia="仿宋_GB2312" w:cs="仿宋_GB2312"/>
          <w:color w:val="auto"/>
          <w:sz w:val="32"/>
          <w:szCs w:val="32"/>
          <w:highlight w:val="none"/>
          <w:lang w:eastAsia="zh-CN"/>
        </w:rPr>
        <w:t>）要求，明确开展的各项专业服务的规模。</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b/>
          <w:bCs/>
          <w:color w:val="auto"/>
          <w:sz w:val="32"/>
          <w:szCs w:val="32"/>
          <w:highlight w:val="none"/>
        </w:rPr>
        <w:t>[运营服务]、[投资顾问（咨询）业务]、[其他专业服务]。</w:t>
      </w:r>
      <w:r>
        <w:rPr>
          <w:rFonts w:hint="eastAsia" w:ascii="仿宋_GB2312" w:hAnsi="仿宋_GB2312" w:eastAsia="仿宋_GB2312" w:cs="仿宋_GB2312"/>
          <w:color w:val="auto"/>
          <w:sz w:val="32"/>
          <w:szCs w:val="32"/>
          <w:highlight w:val="none"/>
          <w:lang w:eastAsia="zh-CN"/>
        </w:rPr>
        <w:t>仅适用于保险资产管理公司。</w:t>
      </w:r>
    </w:p>
    <w:p w14:paraId="3D46A69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[运营服务]</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val="en-US" w:eastAsia="zh-CN"/>
        </w:rPr>
        <w:t>保险资产管理公司</w:t>
      </w:r>
      <w:r>
        <w:rPr>
          <w:rFonts w:hint="eastAsia" w:ascii="仿宋_GB2312" w:hAnsi="仿宋_GB2312" w:eastAsia="仿宋_GB2312" w:cs="仿宋_GB2312"/>
          <w:color w:val="auto"/>
          <w:sz w:val="32"/>
          <w:szCs w:val="32"/>
          <w:highlight w:val="none"/>
        </w:rPr>
        <w:t>开展的与资产管理业务相关的运营、会计、风险管理等专业服务。在统计时，仅包含单独签署运营服务协议的部分。</w:t>
      </w:r>
    </w:p>
    <w:p w14:paraId="59222D9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[投资顾问（咨询）业务]</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val="en-US" w:eastAsia="zh-CN"/>
        </w:rPr>
        <w:t>保险资产管理公司</w:t>
      </w:r>
      <w:r>
        <w:rPr>
          <w:rFonts w:hint="eastAsia" w:ascii="仿宋_GB2312" w:hAnsi="仿宋_GB2312" w:eastAsia="仿宋_GB2312" w:cs="仿宋_GB2312"/>
          <w:color w:val="auto"/>
          <w:sz w:val="32"/>
          <w:szCs w:val="32"/>
          <w:highlight w:val="none"/>
        </w:rPr>
        <w:t>开展的投资咨询、投行业务、投资顾问业务，其中投行业务包括债券承销和其他业务，投资顾问业务包括信托产品、银行理财产品、QFII和其他业务。</w:t>
      </w:r>
    </w:p>
    <w:p w14:paraId="2B05259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[其他专业服务]</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highlight w:val="none"/>
        </w:rPr>
        <w:t>指除投资顾问、投资咨询及运营服务以外的由</w:t>
      </w:r>
      <w:r>
        <w:rPr>
          <w:rFonts w:hint="eastAsia" w:ascii="仿宋_GB2312" w:hAnsi="仿宋_GB2312" w:eastAsia="仿宋_GB2312" w:cs="仿宋_GB2312"/>
          <w:color w:val="auto"/>
          <w:sz w:val="32"/>
          <w:szCs w:val="32"/>
          <w:highlight w:val="none"/>
          <w:lang w:val="en-US" w:eastAsia="zh-CN"/>
        </w:rPr>
        <w:t>保险资产管理公司</w:t>
      </w:r>
      <w:r>
        <w:rPr>
          <w:rFonts w:hint="eastAsia" w:ascii="仿宋_GB2312" w:hAnsi="仿宋_GB2312" w:eastAsia="仿宋_GB2312" w:cs="仿宋_GB2312"/>
          <w:color w:val="auto"/>
          <w:sz w:val="32"/>
          <w:szCs w:val="32"/>
          <w:highlight w:val="none"/>
        </w:rPr>
        <w:t>提供的其他专项服务的资产合计。</w:t>
      </w:r>
    </w:p>
    <w:p w14:paraId="416EDC12">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rPr>
        <w:t>[专业服务规模]</w:t>
      </w:r>
      <w:r>
        <w:rPr>
          <w:rFonts w:hint="eastAsia" w:ascii="仿宋_GB2312" w:hAnsi="仿宋_GB2312" w:eastAsia="仿宋_GB2312" w:cs="仿宋_GB2312"/>
          <w:color w:val="auto"/>
          <w:sz w:val="32"/>
          <w:szCs w:val="32"/>
        </w:rPr>
        <w:t>是汇总值，指</w:t>
      </w:r>
      <w:r>
        <w:rPr>
          <w:rFonts w:hint="eastAsia" w:ascii="仿宋_GB2312" w:hAnsi="仿宋_GB2312" w:eastAsia="仿宋_GB2312" w:cs="仿宋_GB2312"/>
          <w:color w:val="auto"/>
          <w:sz w:val="32"/>
          <w:szCs w:val="32"/>
          <w:highlight w:val="none"/>
        </w:rPr>
        <w:t>保险资产管理公司</w:t>
      </w:r>
      <w:r>
        <w:rPr>
          <w:rFonts w:hint="eastAsia" w:ascii="仿宋_GB2312" w:hAnsi="仿宋_GB2312" w:eastAsia="仿宋_GB2312" w:cs="仿宋_GB2312"/>
          <w:color w:val="auto"/>
          <w:sz w:val="32"/>
          <w:szCs w:val="32"/>
          <w:highlight w:val="none"/>
          <w:lang w:val="en-US" w:eastAsia="zh-CN"/>
        </w:rPr>
        <w:t>和养老险公司</w:t>
      </w:r>
      <w:r>
        <w:rPr>
          <w:rFonts w:hint="eastAsia" w:ascii="仿宋_GB2312" w:hAnsi="仿宋_GB2312" w:eastAsia="仿宋_GB2312" w:cs="仿宋_GB2312"/>
          <w:color w:val="auto"/>
          <w:sz w:val="32"/>
          <w:szCs w:val="32"/>
        </w:rPr>
        <w:t>开展专业服务对应资产的总规模，</w:t>
      </w:r>
      <w:r>
        <w:rPr>
          <w:rFonts w:hint="eastAsia" w:ascii="仿宋_GB2312" w:hAnsi="仿宋_GB2312" w:eastAsia="仿宋_GB2312" w:cs="仿宋_GB2312"/>
          <w:b/>
          <w:bCs/>
          <w:color w:val="auto"/>
          <w:sz w:val="32"/>
          <w:szCs w:val="32"/>
        </w:rPr>
        <w:t>[专业服务规模]＝[运营服务]</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[投资顾问（咨询）业务]</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[其他专业服务]</w:t>
      </w:r>
      <w:r>
        <w:rPr>
          <w:rFonts w:hint="eastAsia" w:ascii="仿宋_GB2312" w:hAnsi="仿宋_GB2312" w:eastAsia="仿宋_GB2312" w:cs="仿宋_GB2312"/>
          <w:b/>
          <w:bCs/>
          <w:color w:val="auto"/>
          <w:sz w:val="32"/>
          <w:szCs w:val="32"/>
          <w:lang w:eastAsia="zh-CN"/>
        </w:rPr>
        <w:t>。</w:t>
      </w:r>
    </w:p>
    <w:p w14:paraId="505A5828">
      <w:pPr>
        <w:keepNext w:val="0"/>
        <w:keepLines w:val="0"/>
        <w:pageBreakBefore w:val="0"/>
        <w:widowControl w:val="0"/>
        <w:kinsoku/>
        <w:wordWrap/>
        <w:overflowPunct/>
        <w:topLinePunct w:val="0"/>
        <w:bidi w:val="0"/>
        <w:snapToGrid/>
        <w:spacing w:after="0" w:line="600" w:lineRule="exact"/>
        <w:jc w:val="center"/>
        <w:textAlignment w:val="auto"/>
        <w:outlineLvl w:val="0"/>
        <w:rPr>
          <w:rStyle w:val="29"/>
          <w:color w:val="auto"/>
        </w:rPr>
      </w:pPr>
      <w:r>
        <w:rPr>
          <w:rFonts w:hint="eastAsia" w:ascii="黑体" w:hAnsi="黑体" w:eastAsia="黑体" w:cs="黑体"/>
          <w:color w:val="auto"/>
          <w:sz w:val="32"/>
          <w:szCs w:val="32"/>
          <w:lang w:val="en-US" w:eastAsia="zh-CN"/>
        </w:rPr>
        <w:br w:type="page"/>
      </w:r>
      <w:bookmarkStart w:id="28" w:name="_Toc457949923"/>
      <w:bookmarkStart w:id="29" w:name="_Toc1875858949"/>
      <w:bookmarkStart w:id="30" w:name="_Toc1486629447"/>
      <w:bookmarkStart w:id="31" w:name="_Toc1488307833"/>
      <w:bookmarkStart w:id="32" w:name="_Toc362103817"/>
      <w:bookmarkStart w:id="33" w:name="_Toc1877962289"/>
      <w:bookmarkStart w:id="34" w:name="_Toc1634734805"/>
      <w:bookmarkStart w:id="35" w:name="_Toc351247422"/>
      <w:bookmarkStart w:id="36" w:name="_Toc913871116"/>
      <w:bookmarkStart w:id="37" w:name="_Toc1737823839"/>
      <w:r>
        <w:rPr>
          <w:rStyle w:val="29"/>
          <w:color w:val="auto"/>
        </w:rPr>
        <w:t>第四部分 保险资金运用类</w:t>
      </w:r>
      <w:bookmarkEnd w:id="28"/>
      <w:bookmarkEnd w:id="29"/>
      <w:bookmarkEnd w:id="30"/>
      <w:bookmarkEnd w:id="31"/>
      <w:bookmarkEnd w:id="32"/>
      <w:bookmarkEnd w:id="33"/>
      <w:bookmarkEnd w:id="34"/>
      <w:bookmarkEnd w:id="35"/>
      <w:bookmarkEnd w:id="36"/>
      <w:bookmarkEnd w:id="37"/>
    </w:p>
    <w:p w14:paraId="218BBECD">
      <w:pPr>
        <w:keepNext w:val="0"/>
        <w:keepLines w:val="0"/>
        <w:pageBreakBefore w:val="0"/>
        <w:widowControl w:val="0"/>
        <w:kinsoku/>
        <w:wordWrap/>
        <w:overflowPunct/>
        <w:topLinePunct w:val="0"/>
        <w:bidi w:val="0"/>
        <w:snapToGrid/>
        <w:spacing w:after="0" w:line="60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本部分主要统计保险机构的资金运用有关情况。主要包括：保险资金运用的投资品种、投资方式、会计分类、币种分类、地区分布、行业分布等维度的资金运用规模、收益和减值情况等。</w:t>
      </w:r>
    </w:p>
    <w:p w14:paraId="09E55579">
      <w:pPr>
        <w:pStyle w:val="56"/>
        <w:keepNext w:val="0"/>
        <w:keepLines w:val="0"/>
        <w:pageBreakBefore w:val="0"/>
        <w:widowControl w:val="0"/>
        <w:kinsoku/>
        <w:wordWrap/>
        <w:overflowPunct/>
        <w:topLinePunct w:val="0"/>
        <w:bidi w:val="0"/>
        <w:snapToGrid/>
        <w:spacing w:after="0" w:line="600" w:lineRule="exact"/>
        <w:ind w:firstLine="0"/>
        <w:jc w:val="both"/>
        <w:textAlignment w:val="auto"/>
        <w:outlineLvl w:val="1"/>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lang w:eastAsia="zh-CN"/>
        </w:rPr>
        <w:t>、统计指标及其定义</w:t>
      </w:r>
    </w:p>
    <w:p w14:paraId="65952ACB">
      <w:pPr>
        <w:pStyle w:val="57"/>
        <w:keepNext w:val="0"/>
        <w:keepLines w:val="0"/>
        <w:pageBreakBefore w:val="0"/>
        <w:widowControl w:val="0"/>
        <w:kinsoku/>
        <w:wordWrap/>
        <w:overflowPunct/>
        <w:topLinePunct w:val="0"/>
        <w:bidi w:val="0"/>
        <w:snapToGrid/>
        <w:spacing w:after="0" w:line="600" w:lineRule="exact"/>
        <w:ind w:left="0" w:leftChars="0" w:right="0" w:rightChars="0" w:firstLine="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保险机构按照企业会计准则，对保险资金投资的各项资产进行价值评估，确定统计指标。包括</w:t>
      </w:r>
      <w:r>
        <w:rPr>
          <w:rFonts w:hint="eastAsia" w:ascii="仿宋_GB2312" w:hAnsi="仿宋_GB2312" w:eastAsia="仿宋_GB2312" w:cs="仿宋_GB2312"/>
          <w:b/>
          <w:bCs/>
          <w:color w:val="auto"/>
          <w:sz w:val="32"/>
          <w:szCs w:val="32"/>
          <w:highlight w:val="none"/>
          <w:lang w:val="en-US" w:eastAsia="zh-CN"/>
        </w:rPr>
        <w:t>[投资</w:t>
      </w:r>
      <w:r>
        <w:rPr>
          <w:rFonts w:hint="eastAsia" w:ascii="仿宋_GB2312" w:hAnsi="仿宋_GB2312" w:eastAsia="仿宋_GB2312" w:cs="仿宋_GB2312"/>
          <w:b/>
          <w:bCs/>
          <w:color w:val="auto"/>
          <w:sz w:val="32"/>
          <w:szCs w:val="32"/>
          <w:highlight w:val="none"/>
          <w:lang w:eastAsia="zh-CN"/>
        </w:rPr>
        <w:t>成本</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账面余额</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减值准备</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账面价值</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[市值]、[</w:t>
      </w:r>
      <w:r>
        <w:rPr>
          <w:rFonts w:hint="eastAsia" w:ascii="仿宋_GB2312" w:hAnsi="仿宋_GB2312" w:eastAsia="仿宋_GB2312" w:cs="仿宋_GB2312"/>
          <w:b/>
          <w:bCs/>
          <w:color w:val="auto"/>
          <w:sz w:val="32"/>
          <w:szCs w:val="32"/>
          <w:highlight w:val="none"/>
          <w:lang w:eastAsia="zh-CN"/>
        </w:rPr>
        <w:t>财务收益</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综合收益</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财务投资收益率</w:t>
      </w:r>
      <w:r>
        <w:rPr>
          <w:rFonts w:hint="eastAsia" w:ascii="仿宋_GB2312" w:hAnsi="仿宋_GB2312" w:eastAsia="仿宋_GB2312" w:cs="仿宋_GB2312"/>
          <w:b/>
          <w:bCs/>
          <w:color w:val="auto"/>
          <w:sz w:val="32"/>
          <w:szCs w:val="32"/>
          <w:highlight w:val="none"/>
          <w:lang w:val="en-US" w:eastAsia="zh-CN"/>
        </w:rPr>
        <w:t>]、[综合投资</w:t>
      </w:r>
      <w:r>
        <w:rPr>
          <w:rFonts w:hint="eastAsia" w:ascii="仿宋_GB2312" w:hAnsi="仿宋_GB2312" w:eastAsia="仿宋_GB2312" w:cs="仿宋_GB2312"/>
          <w:b/>
          <w:bCs/>
          <w:color w:val="auto"/>
          <w:sz w:val="32"/>
          <w:szCs w:val="32"/>
          <w:highlight w:val="none"/>
        </w:rPr>
        <w:t>收益率</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。对于非通过人民币开展的投资，应当按汇率中间价转换为人民币。其中，</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投资成本</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按照投资时点汇率，其他统计指标按照统计期末汇率。定义如下：</w:t>
      </w:r>
    </w:p>
    <w:p w14:paraId="7AB4A177">
      <w:pPr>
        <w:pStyle w:val="57"/>
        <w:keepNext w:val="0"/>
        <w:keepLines w:val="0"/>
        <w:pageBreakBefore w:val="0"/>
        <w:widowControl w:val="0"/>
        <w:numPr>
          <w:ilvl w:val="0"/>
          <w:numId w:val="0"/>
        </w:numPr>
        <w:kinsoku/>
        <w:wordWrap/>
        <w:overflowPunct/>
        <w:topLinePunct w:val="0"/>
        <w:bidi w:val="0"/>
        <w:snapToGrid/>
        <w:spacing w:after="0" w:line="600" w:lineRule="exact"/>
        <w:ind w:left="0" w:lef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[投资</w:t>
      </w:r>
      <w:r>
        <w:rPr>
          <w:rFonts w:hint="eastAsia" w:ascii="仿宋_GB2312" w:hAnsi="仿宋_GB2312" w:eastAsia="仿宋_GB2312" w:cs="仿宋_GB2312"/>
          <w:b/>
          <w:bCs/>
          <w:color w:val="auto"/>
          <w:sz w:val="32"/>
          <w:szCs w:val="32"/>
        </w:rPr>
        <w:t>成本]</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rPr>
        <w:t>指在取得某项资产时所支付的全部现金或现金等价物的金额，或者按照会计准则确定的其他计量基础</w:t>
      </w:r>
      <w:r>
        <w:rPr>
          <w:rFonts w:hint="eastAsia" w:ascii="仿宋_GB2312" w:hAnsi="仿宋_GB2312" w:eastAsia="仿宋_GB2312" w:cs="仿宋_GB2312"/>
          <w:b w:val="0"/>
          <w:bCs w:val="0"/>
          <w:color w:val="auto"/>
          <w:sz w:val="32"/>
          <w:szCs w:val="32"/>
          <w:lang w:eastAsia="zh-CN"/>
        </w:rPr>
        <w:t>，比如初始购置成本、</w:t>
      </w:r>
      <w:r>
        <w:rPr>
          <w:rFonts w:hint="eastAsia" w:ascii="仿宋_GB2312" w:hAnsi="仿宋_GB2312" w:eastAsia="仿宋_GB2312" w:cs="仿宋_GB2312"/>
          <w:color w:val="auto"/>
          <w:sz w:val="32"/>
          <w:szCs w:val="32"/>
        </w:rPr>
        <w:t>历史成本</w:t>
      </w:r>
      <w:r>
        <w:rPr>
          <w:rFonts w:hint="eastAsia" w:ascii="仿宋_GB2312" w:hAnsi="仿宋_GB2312" w:eastAsia="仿宋_GB2312" w:cs="仿宋_GB2312"/>
          <w:color w:val="auto"/>
          <w:sz w:val="32"/>
          <w:szCs w:val="32"/>
          <w:lang w:eastAsia="zh-CN"/>
        </w:rPr>
        <w:t>（净价）或</w:t>
      </w:r>
      <w:r>
        <w:rPr>
          <w:rFonts w:hint="eastAsia" w:ascii="仿宋_GB2312" w:hAnsi="仿宋_GB2312" w:eastAsia="仿宋_GB2312" w:cs="仿宋_GB2312"/>
          <w:color w:val="auto"/>
          <w:sz w:val="32"/>
          <w:szCs w:val="32"/>
        </w:rPr>
        <w:t>摊余成本</w:t>
      </w:r>
      <w:r>
        <w:rPr>
          <w:rFonts w:hint="eastAsia" w:ascii="仿宋_GB2312" w:hAnsi="仿宋_GB2312" w:eastAsia="仿宋_GB2312" w:cs="仿宋_GB2312"/>
          <w:color w:val="auto"/>
          <w:sz w:val="32"/>
          <w:szCs w:val="32"/>
          <w:lang w:eastAsia="zh-CN"/>
        </w:rPr>
        <w:t>（净价</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是资产在会计记录中的初始计量金额。反映企业在取得资产时的实际支出。</w:t>
      </w:r>
      <w:r>
        <w:rPr>
          <w:rFonts w:hint="eastAsia" w:ascii="仿宋_GB2312" w:hAnsi="仿宋_GB2312" w:eastAsia="仿宋_GB2312" w:cs="仿宋_GB2312"/>
          <w:b w:val="0"/>
          <w:bCs w:val="0"/>
          <w:color w:val="auto"/>
          <w:sz w:val="32"/>
          <w:szCs w:val="32"/>
          <w:lang w:eastAsia="zh-CN"/>
        </w:rPr>
        <w:t>另，为确保统计指标的口径一致性，</w:t>
      </w:r>
      <w:r>
        <w:rPr>
          <w:rFonts w:hint="eastAsia" w:ascii="仿宋_GB2312" w:hAnsi="仿宋_GB2312" w:eastAsia="仿宋_GB2312" w:cs="仿宋_GB2312"/>
          <w:color w:val="auto"/>
          <w:sz w:val="32"/>
          <w:szCs w:val="32"/>
        </w:rPr>
        <w:t>计息资产</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包含应计利息</w:t>
      </w:r>
      <w:r>
        <w:rPr>
          <w:rFonts w:hint="eastAsia" w:ascii="仿宋_GB2312" w:hAnsi="仿宋_GB2312" w:eastAsia="仿宋_GB2312" w:cs="仿宋_GB2312"/>
          <w:color w:val="auto"/>
          <w:sz w:val="32"/>
          <w:szCs w:val="32"/>
          <w:lang w:eastAsia="zh-CN"/>
        </w:rPr>
        <w:t>（即</w:t>
      </w:r>
      <w:r>
        <w:rPr>
          <w:rFonts w:hint="eastAsia" w:ascii="仿宋_GB2312" w:hAnsi="仿宋_GB2312" w:eastAsia="仿宋_GB2312" w:cs="仿宋_GB2312"/>
          <w:color w:val="auto"/>
          <w:sz w:val="32"/>
          <w:szCs w:val="32"/>
        </w:rPr>
        <w:t>全价</w:t>
      </w:r>
      <w:r>
        <w:rPr>
          <w:rFonts w:hint="eastAsia" w:ascii="仿宋_GB2312" w:hAnsi="仿宋_GB2312" w:eastAsia="仿宋_GB2312" w:cs="仿宋_GB2312"/>
          <w:color w:val="auto"/>
          <w:sz w:val="32"/>
          <w:szCs w:val="32"/>
          <w:lang w:eastAsia="zh-CN"/>
        </w:rPr>
        <w:t>口径）</w:t>
      </w:r>
      <w:r>
        <w:rPr>
          <w:rFonts w:hint="eastAsia" w:ascii="仿宋_GB2312" w:hAnsi="仿宋_GB2312" w:eastAsia="仿宋_GB2312" w:cs="仿宋_GB2312"/>
          <w:color w:val="auto"/>
          <w:sz w:val="32"/>
          <w:szCs w:val="32"/>
        </w:rPr>
        <w:t>。</w:t>
      </w:r>
    </w:p>
    <w:p w14:paraId="43567261">
      <w:pPr>
        <w:pStyle w:val="57"/>
        <w:keepNext w:val="0"/>
        <w:keepLines w:val="0"/>
        <w:pageBreakBefore w:val="0"/>
        <w:widowControl w:val="0"/>
        <w:numPr>
          <w:ilvl w:val="0"/>
          <w:numId w:val="0"/>
        </w:numPr>
        <w:kinsoku/>
        <w:wordWrap/>
        <w:overflowPunct/>
        <w:topLinePunct w:val="0"/>
        <w:bidi w:val="0"/>
        <w:snapToGrid/>
        <w:spacing w:after="0" w:line="600" w:lineRule="exact"/>
        <w:ind w:left="0" w:leftChars="0" w:firstLine="643" w:firstLineChars="200"/>
        <w:jc w:val="both"/>
        <w:textAlignment w:val="auto"/>
        <w:outlineLvl w:val="9"/>
        <w:rPr>
          <w:rFonts w:hint="eastAsia" w:ascii="仿宋_GB2312" w:hAnsi="仿宋_GB2312" w:eastAsia="仿宋_GB2312"/>
          <w:color w:val="auto"/>
          <w:sz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账面余额]</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olor w:val="auto"/>
          <w:sz w:val="32"/>
          <w:highlight w:val="none"/>
        </w:rPr>
        <w:t>指账面实际余额，不扣除作为该科目备抵的项目（如累计折旧、相关资产的减值准备等）。旧准则下计息资产不包含应计利息（净价口径），新准则下计息资产包含应计利息(全价口径)。</w:t>
      </w:r>
    </w:p>
    <w:p w14:paraId="4722E0B7">
      <w:pPr>
        <w:pStyle w:val="57"/>
        <w:keepNext w:val="0"/>
        <w:keepLines w:val="0"/>
        <w:pageBreakBefore w:val="0"/>
        <w:widowControl w:val="0"/>
        <w:numPr>
          <w:ilvl w:val="0"/>
          <w:numId w:val="0"/>
        </w:numPr>
        <w:kinsoku/>
        <w:wordWrap/>
        <w:overflowPunct/>
        <w:topLinePunct w:val="0"/>
        <w:bidi w:val="0"/>
        <w:snapToGrid/>
        <w:spacing w:after="0" w:line="600" w:lineRule="exact"/>
        <w:ind w:left="0" w:lef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减值准备]</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olor w:val="auto"/>
          <w:sz w:val="32"/>
          <w:highlight w:val="none"/>
        </w:rPr>
        <w:t>指按会计准则规定对相关资产进行减值测试后，对可能发生的资产损失计提的资产减值损失准备，反映了资产价值的减少，包括银行存款减值准备、长期股权投资减值准备、债权投资减值准备等，不包含其他债权投资减值准备。</w:t>
      </w:r>
      <w:r>
        <w:rPr>
          <w:rFonts w:hint="eastAsia" w:ascii="仿宋_GB2312" w:hAnsi="仿宋_GB2312" w:eastAsia="仿宋_GB2312" w:cs="仿宋_GB2312"/>
          <w:color w:val="auto"/>
          <w:sz w:val="32"/>
          <w:szCs w:val="32"/>
          <w:highlight w:val="none"/>
          <w:lang w:eastAsia="zh-CN"/>
        </w:rPr>
        <w:t>在统计时，</w:t>
      </w:r>
      <w:r>
        <w:rPr>
          <w:rFonts w:hint="eastAsia" w:ascii="仿宋_GB2312" w:hAnsi="仿宋_GB2312" w:eastAsia="仿宋_GB2312" w:cs="仿宋_GB2312"/>
          <w:color w:val="auto"/>
          <w:sz w:val="32"/>
          <w:szCs w:val="32"/>
          <w:highlight w:val="none"/>
          <w:lang w:val="en-US" w:eastAsia="zh-CN"/>
        </w:rPr>
        <w:t>计提减值准备为</w:t>
      </w:r>
      <w:r>
        <w:rPr>
          <w:rFonts w:hint="eastAsia" w:ascii="仿宋_GB2312" w:hAnsi="仿宋_GB2312" w:eastAsia="仿宋_GB2312" w:cs="仿宋_GB2312"/>
          <w:color w:val="auto"/>
          <w:sz w:val="32"/>
          <w:szCs w:val="32"/>
          <w:highlight w:val="none"/>
        </w:rPr>
        <w:t>正值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转回为负值，按计提与转回的净值列示</w:t>
      </w:r>
      <w:r>
        <w:rPr>
          <w:rFonts w:hint="eastAsia" w:ascii="仿宋_GB2312" w:hAnsi="仿宋_GB2312" w:eastAsia="仿宋_GB2312" w:cs="仿宋_GB2312"/>
          <w:color w:val="auto"/>
          <w:sz w:val="32"/>
          <w:szCs w:val="32"/>
          <w:highlight w:val="none"/>
        </w:rPr>
        <w:t>。</w:t>
      </w:r>
    </w:p>
    <w:p w14:paraId="57FC894C">
      <w:pPr>
        <w:pStyle w:val="57"/>
        <w:keepNext w:val="0"/>
        <w:keepLines w:val="0"/>
        <w:pageBreakBefore w:val="0"/>
        <w:widowControl w:val="0"/>
        <w:numPr>
          <w:ilvl w:val="0"/>
          <w:numId w:val="0"/>
        </w:numPr>
        <w:kinsoku/>
        <w:wordWrap/>
        <w:overflowPunct/>
        <w:topLinePunct w:val="0"/>
        <w:bidi w:val="0"/>
        <w:snapToGrid/>
        <w:spacing w:after="0" w:line="600" w:lineRule="exact"/>
        <w:ind w:left="0" w:lef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账面价值]</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olor w:val="auto"/>
          <w:sz w:val="32"/>
          <w:highlight w:val="none"/>
        </w:rPr>
        <w:t>指账面余额减去相关备抵项目后的净额，反映资产或负债在会计记录中的当前价值</w:t>
      </w:r>
      <w:r>
        <w:rPr>
          <w:rFonts w:hint="eastAsia" w:ascii="仿宋_GB2312" w:hAnsi="仿宋_GB2312" w:eastAsia="仿宋_GB2312"/>
          <w:color w:val="auto"/>
          <w:sz w:val="32"/>
          <w:highlight w:val="none"/>
          <w:lang w:eastAsia="zh-CN"/>
        </w:rPr>
        <w:t>。</w:t>
      </w:r>
      <w:r>
        <w:rPr>
          <w:rFonts w:hint="eastAsia" w:ascii="仿宋_GB2312" w:hAnsi="仿宋_GB2312" w:eastAsia="仿宋_GB2312"/>
          <w:color w:val="auto"/>
          <w:sz w:val="32"/>
          <w:highlight w:val="none"/>
        </w:rPr>
        <w:t>旧准则下计息资产不包含应计利息（净价口径），新准则下计息资产包含应计利息(全价口径)。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账面</w:t>
      </w:r>
      <w:r>
        <w:rPr>
          <w:rFonts w:hint="eastAsia" w:ascii="仿宋_GB2312" w:hAnsi="仿宋_GB2312" w:eastAsia="仿宋_GB2312" w:cs="仿宋_GB2312"/>
          <w:b/>
          <w:bCs/>
          <w:color w:val="auto"/>
          <w:sz w:val="32"/>
          <w:szCs w:val="32"/>
          <w:highlight w:val="none"/>
          <w:lang w:val="en-US" w:eastAsia="zh-CN"/>
        </w:rPr>
        <w:t>价值]</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账面</w:t>
      </w:r>
      <w:r>
        <w:rPr>
          <w:rFonts w:hint="eastAsia" w:ascii="仿宋_GB2312" w:hAnsi="仿宋_GB2312" w:eastAsia="仿宋_GB2312" w:cs="仿宋_GB2312"/>
          <w:b/>
          <w:bCs/>
          <w:color w:val="auto"/>
          <w:sz w:val="32"/>
          <w:szCs w:val="32"/>
          <w:highlight w:val="none"/>
          <w:lang w:val="en-US" w:eastAsia="zh-CN"/>
        </w:rPr>
        <w:t>余额]－[</w:t>
      </w:r>
      <w:r>
        <w:rPr>
          <w:rFonts w:hint="eastAsia" w:ascii="仿宋_GB2312" w:hAnsi="仿宋_GB2312" w:eastAsia="仿宋_GB2312" w:cs="仿宋_GB2312"/>
          <w:b/>
          <w:bCs/>
          <w:color w:val="auto"/>
          <w:sz w:val="32"/>
          <w:szCs w:val="32"/>
          <w:highlight w:val="none"/>
        </w:rPr>
        <w:t>减值准备</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p>
    <w:p w14:paraId="223A8B82">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财务收益]</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color w:val="auto"/>
          <w:sz w:val="32"/>
          <w:szCs w:val="32"/>
          <w:lang w:eastAsia="zh-CN"/>
        </w:rPr>
        <w:t>指某项资产实现的收益，</w:t>
      </w:r>
      <w:r>
        <w:rPr>
          <w:rFonts w:hint="eastAsia" w:ascii="仿宋_GB2312" w:hAnsi="仿宋_GB2312" w:eastAsia="仿宋_GB2312" w:cs="仿宋_GB2312"/>
          <w:color w:val="auto"/>
          <w:sz w:val="32"/>
          <w:szCs w:val="32"/>
        </w:rPr>
        <w:t>包括投资收益、利息收入、公允价值变动损益、其他投资损益</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扣减资产减值损失、信用减值损失；对于资金运用净额的财务收益，在前述各项资产财务收益汇总上，扣减卖出回购证券、拆入资金等利息支出。</w:t>
      </w:r>
      <w:r>
        <w:rPr>
          <w:rFonts w:hint="eastAsia" w:ascii="仿宋_GB2312" w:hAnsi="仿宋_GB2312" w:eastAsia="仿宋_GB2312" w:cs="仿宋_GB2312"/>
          <w:color w:val="auto"/>
          <w:sz w:val="32"/>
          <w:szCs w:val="32"/>
          <w:lang w:eastAsia="zh-CN"/>
        </w:rPr>
        <w:t>其他投资收益</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投资性房地产租金净收入、长期股权投资计入营业外收入的部分</w:t>
      </w:r>
      <w:r>
        <w:rPr>
          <w:rFonts w:hint="eastAsia" w:ascii="仿宋_GB2312" w:hAnsi="仿宋_GB2312" w:eastAsia="仿宋_GB2312" w:cs="仿宋_GB2312"/>
          <w:color w:val="auto"/>
          <w:sz w:val="32"/>
          <w:szCs w:val="32"/>
          <w:lang w:eastAsia="zh-CN"/>
        </w:rPr>
        <w:t>。</w:t>
      </w:r>
    </w:p>
    <w:p w14:paraId="0FE10006">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outlineLvl w:val="9"/>
        <w:rPr>
          <w:rFonts w:hint="eastAsia" w:ascii="仿宋_GB2312" w:hAnsi="仿宋_GB2312" w:eastAsia="仿宋_GB2312"/>
          <w:color w:val="auto"/>
          <w:sz w:val="32"/>
          <w:highlight w:val="none"/>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综合收益]</w:t>
      </w:r>
      <w:r>
        <w:rPr>
          <w:rFonts w:hint="eastAsia" w:ascii="仿宋_GB2312" w:hAnsi="仿宋_GB2312" w:eastAsia="仿宋_GB2312" w:cs="仿宋_GB2312"/>
          <w:b w:val="0"/>
          <w:bCs w:val="0"/>
          <w:color w:val="auto"/>
          <w:sz w:val="32"/>
          <w:szCs w:val="32"/>
          <w:lang w:eastAsia="zh-CN"/>
        </w:rPr>
        <w:t>是指某项资产实现的和未实现的收益综合，</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综合收益</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财务收益</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其他综合收益</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highlight w:val="none"/>
        </w:rPr>
        <w:t>其他综合收益</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其他综合收益变动额和直接计入留存收益的其他权益工具价差收入。其中：其他综合收益变动额是指</w:t>
      </w:r>
      <w:r>
        <w:rPr>
          <w:rFonts w:hint="eastAsia" w:ascii="仿宋_GB2312" w:hAnsi="仿宋_GB2312" w:eastAsia="仿宋_GB2312" w:cs="仿宋_GB2312"/>
          <w:color w:val="auto"/>
          <w:sz w:val="32"/>
          <w:szCs w:val="32"/>
          <w:highlight w:val="none"/>
          <w:lang w:eastAsia="zh-CN"/>
        </w:rPr>
        <w:t>统计期初</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eastAsia="zh-CN"/>
        </w:rPr>
        <w:t>统计</w:t>
      </w:r>
      <w:r>
        <w:rPr>
          <w:rFonts w:hint="eastAsia" w:ascii="仿宋_GB2312" w:hAnsi="仿宋_GB2312" w:eastAsia="仿宋_GB2312" w:cs="仿宋_GB2312"/>
          <w:color w:val="auto"/>
          <w:sz w:val="32"/>
          <w:szCs w:val="32"/>
          <w:highlight w:val="none"/>
        </w:rPr>
        <w:t>期末的发生额，直接计入留存收益的其他权益工具价差收入指</w:t>
      </w:r>
      <w:r>
        <w:rPr>
          <w:rFonts w:hint="eastAsia" w:ascii="仿宋_GB2312" w:hAnsi="仿宋_GB2312" w:eastAsia="仿宋_GB2312" w:cs="仿宋_GB2312"/>
          <w:color w:val="auto"/>
          <w:sz w:val="32"/>
          <w:szCs w:val="32"/>
          <w:highlight w:val="none"/>
          <w:lang w:eastAsia="zh-CN"/>
        </w:rPr>
        <w:t>统计期内</w:t>
      </w:r>
      <w:r>
        <w:rPr>
          <w:rFonts w:hint="eastAsia" w:ascii="仿宋_GB2312" w:hAnsi="仿宋_GB2312" w:eastAsia="仿宋_GB2312" w:cs="仿宋_GB2312"/>
          <w:color w:val="auto"/>
          <w:sz w:val="32"/>
          <w:szCs w:val="32"/>
          <w:highlight w:val="none"/>
        </w:rPr>
        <w:t>发生额。</w:t>
      </w:r>
      <w:r>
        <w:rPr>
          <w:rFonts w:hint="eastAsia" w:ascii="仿宋_GB2312" w:hAnsi="仿宋_GB2312" w:eastAsia="仿宋_GB2312"/>
          <w:color w:val="auto"/>
          <w:sz w:val="32"/>
          <w:highlight w:val="none"/>
        </w:rPr>
        <w:t>对于资金运用净额的综合收益，在前述各项资产综合收益汇总上，扣减卖出回购证券、拆入资金等利息支出。</w:t>
      </w:r>
    </w:p>
    <w:p w14:paraId="2AE2DA0F">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outlineLvl w:val="9"/>
        <w:rPr>
          <w:rFonts w:hint="default" w:ascii="仿宋_GB2312" w:hAnsi="仿宋_GB2312" w:eastAsia="仿宋_GB2312"/>
          <w:color w:val="auto"/>
          <w:sz w:val="32"/>
          <w:highlight w:val="none"/>
        </w:rPr>
      </w:pPr>
      <w:r>
        <w:rPr>
          <w:rFonts w:hint="eastAsia" w:ascii="仿宋_GB2312" w:hAnsi="仿宋_GB2312" w:eastAsia="仿宋_GB2312" w:cs="仿宋_GB2312"/>
          <w:b/>
          <w:bCs/>
          <w:color w:val="auto"/>
          <w:sz w:val="32"/>
          <w:szCs w:val="32"/>
          <w:highlight w:val="none"/>
          <w:lang w:val="en-US" w:eastAsia="zh-CN"/>
        </w:rPr>
        <w:t>[财务投资收益率]</w:t>
      </w:r>
      <w:r>
        <w:rPr>
          <w:rFonts w:hint="eastAsia" w:ascii="仿宋_GB2312" w:hAnsi="仿宋_GB2312" w:eastAsia="仿宋_GB2312" w:cs="仿宋_GB2312"/>
          <w:b w:val="0"/>
          <w:bCs w:val="0"/>
          <w:color w:val="auto"/>
          <w:sz w:val="32"/>
          <w:szCs w:val="32"/>
          <w:highlight w:val="none"/>
          <w:lang w:val="en-US" w:eastAsia="zh-CN"/>
        </w:rPr>
        <w:t>是计算类统计指标，</w:t>
      </w:r>
      <w:r>
        <w:rPr>
          <w:rFonts w:hint="eastAsia" w:ascii="仿宋_GB2312" w:hAnsi="仿宋_GB2312" w:eastAsia="仿宋_GB2312" w:cs="仿宋_GB2312"/>
          <w:b/>
          <w:bCs/>
          <w:color w:val="auto"/>
          <w:sz w:val="32"/>
          <w:szCs w:val="32"/>
          <w:highlight w:val="none"/>
          <w:lang w:val="en-US" w:eastAsia="zh-CN"/>
        </w:rPr>
        <w:t>[财务投资收益率]＝[财务收益]÷资金运用净额的[平均账面余额]。</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资金运用净额的[平均账面余额]</w:t>
      </w:r>
      <w:r>
        <w:rPr>
          <w:rFonts w:hint="eastAsia" w:ascii="仿宋_GB2312" w:hAnsi="仿宋_GB2312" w:eastAsia="仿宋_GB2312" w:cs="仿宋_GB2312"/>
          <w:color w:val="auto"/>
          <w:sz w:val="32"/>
          <w:szCs w:val="32"/>
          <w:highlight w:val="none"/>
          <w:lang w:val="en-US" w:eastAsia="zh-CN"/>
        </w:rPr>
        <w:t>是指在统计期内</w:t>
      </w:r>
      <w:r>
        <w:rPr>
          <w:rFonts w:hint="eastAsia" w:ascii="仿宋_GB2312" w:hAnsi="仿宋_GB2312" w:eastAsia="仿宋_GB2312" w:cs="仿宋_GB2312"/>
          <w:b/>
          <w:bCs/>
          <w:color w:val="auto"/>
          <w:sz w:val="32"/>
          <w:szCs w:val="32"/>
          <w:highlight w:val="none"/>
          <w:lang w:val="en-US" w:eastAsia="zh-CN"/>
        </w:rPr>
        <w:t>[资金运用净额]</w:t>
      </w:r>
      <w:r>
        <w:rPr>
          <w:rFonts w:hint="eastAsia" w:ascii="仿宋_GB2312" w:hAnsi="仿宋_GB2312" w:eastAsia="仿宋_GB2312" w:cs="仿宋_GB2312"/>
          <w:color w:val="auto"/>
          <w:sz w:val="32"/>
          <w:szCs w:val="32"/>
          <w:highlight w:val="none"/>
          <w:lang w:val="en-US" w:eastAsia="zh-CN"/>
        </w:rPr>
        <w:t>每月</w:t>
      </w:r>
      <w:r>
        <w:rPr>
          <w:rFonts w:hint="eastAsia" w:ascii="仿宋_GB2312" w:hAnsi="仿宋_GB2312" w:eastAsia="仿宋_GB2312" w:cs="仿宋_GB2312"/>
          <w:b/>
          <w:bCs/>
          <w:color w:val="auto"/>
          <w:sz w:val="32"/>
          <w:szCs w:val="32"/>
          <w:highlight w:val="none"/>
          <w:lang w:val="en-US" w:eastAsia="zh-CN"/>
        </w:rPr>
        <w:t>[平均账面余额]</w:t>
      </w:r>
      <w:r>
        <w:rPr>
          <w:rFonts w:hint="eastAsia" w:ascii="仿宋_GB2312" w:hAnsi="仿宋_GB2312" w:eastAsia="仿宋_GB2312" w:cs="仿宋_GB2312"/>
          <w:color w:val="auto"/>
          <w:sz w:val="32"/>
          <w:szCs w:val="32"/>
          <w:highlight w:val="none"/>
          <w:lang w:val="en-US" w:eastAsia="zh-CN"/>
        </w:rPr>
        <w:t>的算术平均值，每月</w:t>
      </w:r>
      <w:r>
        <w:rPr>
          <w:rFonts w:hint="eastAsia" w:ascii="仿宋_GB2312" w:hAnsi="仿宋_GB2312" w:eastAsia="仿宋_GB2312" w:cs="仿宋_GB2312"/>
          <w:b/>
          <w:bCs/>
          <w:color w:val="auto"/>
          <w:sz w:val="32"/>
          <w:szCs w:val="32"/>
          <w:highlight w:val="none"/>
          <w:lang w:val="en-US" w:eastAsia="zh-CN"/>
        </w:rPr>
        <w:t>[平均账面余额]</w:t>
      </w:r>
      <w:r>
        <w:rPr>
          <w:rFonts w:hint="eastAsia" w:ascii="仿宋_GB2312" w:hAnsi="仿宋_GB2312" w:eastAsia="仿宋_GB2312" w:cs="仿宋_GB2312"/>
          <w:color w:val="auto"/>
          <w:sz w:val="32"/>
          <w:szCs w:val="32"/>
          <w:highlight w:val="none"/>
          <w:lang w:val="en-US" w:eastAsia="zh-CN"/>
        </w:rPr>
        <w:t>是指月初、月末</w:t>
      </w:r>
      <w:r>
        <w:rPr>
          <w:rFonts w:hint="eastAsia" w:ascii="仿宋_GB2312" w:hAnsi="仿宋_GB2312" w:eastAsia="仿宋_GB2312" w:cs="仿宋_GB2312"/>
          <w:b/>
          <w:bCs/>
          <w:color w:val="auto"/>
          <w:sz w:val="32"/>
          <w:szCs w:val="32"/>
          <w:highlight w:val="none"/>
          <w:lang w:val="en-US" w:eastAsia="zh-CN"/>
        </w:rPr>
        <w:t>[账面余额]</w:t>
      </w:r>
      <w:r>
        <w:rPr>
          <w:rFonts w:hint="eastAsia" w:ascii="仿宋_GB2312" w:hAnsi="仿宋_GB2312" w:eastAsia="仿宋_GB2312" w:cs="仿宋_GB2312"/>
          <w:color w:val="auto"/>
          <w:sz w:val="32"/>
          <w:szCs w:val="32"/>
          <w:highlight w:val="none"/>
          <w:lang w:val="en-US" w:eastAsia="zh-CN"/>
        </w:rPr>
        <w:t>的算术平均值。</w:t>
      </w:r>
    </w:p>
    <w:p w14:paraId="1B5C249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[综合投资收益率]</w:t>
      </w:r>
      <w:r>
        <w:rPr>
          <w:rFonts w:hint="eastAsia" w:ascii="仿宋_GB2312" w:hAnsi="仿宋_GB2312" w:eastAsia="仿宋_GB2312" w:cs="仿宋_GB2312"/>
          <w:b w:val="0"/>
          <w:bCs w:val="0"/>
          <w:color w:val="auto"/>
          <w:sz w:val="32"/>
          <w:szCs w:val="32"/>
          <w:highlight w:val="none"/>
          <w:lang w:val="en-US" w:eastAsia="zh-CN"/>
        </w:rPr>
        <w:t>是计算类统计指标，</w:t>
      </w:r>
      <w:r>
        <w:rPr>
          <w:rFonts w:hint="eastAsia" w:ascii="仿宋_GB2312" w:hAnsi="仿宋_GB2312" w:eastAsia="仿宋_GB2312" w:cs="仿宋_GB2312"/>
          <w:b/>
          <w:bCs/>
          <w:color w:val="auto"/>
          <w:sz w:val="32"/>
          <w:szCs w:val="32"/>
          <w:highlight w:val="none"/>
          <w:lang w:val="en-US" w:eastAsia="zh-CN"/>
        </w:rPr>
        <w:t>[综合投资收益率]＝[综合收益]÷资金运用净额的[平均账面余额]。</w:t>
      </w:r>
    </w:p>
    <w:p w14:paraId="3DA5E83D">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[持股比例]</w:t>
      </w:r>
      <w:r>
        <w:rPr>
          <w:rFonts w:hint="eastAsia" w:ascii="仿宋_GB2312" w:hAnsi="仿宋_GB2312" w:eastAsia="仿宋_GB2312" w:cs="仿宋_GB2312"/>
          <w:b w:val="0"/>
          <w:bCs w:val="0"/>
          <w:color w:val="auto"/>
          <w:sz w:val="32"/>
          <w:szCs w:val="32"/>
          <w:lang w:val="en-US" w:eastAsia="zh-CN"/>
        </w:rPr>
        <w:t>是指在统计期末保险机构持有的上市股票的份额。</w:t>
      </w:r>
    </w:p>
    <w:p w14:paraId="51872176">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市值</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是指在统计期末保险机构根据持有的上市股票的持有份额×收盘价计算的数值。仅适用于长期股权法核算的上市公司股票。</w:t>
      </w:r>
    </w:p>
    <w:p w14:paraId="3D055E6B">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1"/>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、统计维度及其分类标准</w:t>
      </w:r>
    </w:p>
    <w:p w14:paraId="697A870D">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（一）投资资产类型维度</w:t>
      </w:r>
    </w:p>
    <w:p w14:paraId="7C6F91E1">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rPr>
          <w:rFonts w:hint="default"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保险机构应根据投资资产的品种，明确区分投资资产类型，投资资产类型分为一级类型、二级类型和三级类型。一级类型包括</w:t>
      </w:r>
      <w:r>
        <w:rPr>
          <w:rFonts w:hint="eastAsia" w:ascii="仿宋_GB2312" w:hAnsi="仿宋_GB2312" w:eastAsia="仿宋_GB2312" w:cs="仿宋_GB2312"/>
          <w:b/>
          <w:bCs/>
          <w:color w:val="auto"/>
          <w:sz w:val="32"/>
          <w:szCs w:val="32"/>
          <w:lang w:val="en-US" w:eastAsia="zh-CN"/>
        </w:rPr>
        <w:t>[银行存款]、[债券]、[基金]、[股票]、[私募股权投资基金]、[股权（不含不动产项目公司股权）]、[不动产（不含自用性不动产）]、[金融产品]、[衍生产品工具]、[大宗商品]、[保户质押贷款]、[买入返售资产]、[拆出资金]、[其他投资资产]</w:t>
      </w:r>
      <w:r>
        <w:rPr>
          <w:rFonts w:hint="eastAsia" w:ascii="仿宋_GB2312" w:hAnsi="仿宋_GB2312" w:eastAsia="仿宋_GB2312" w:cs="仿宋_GB2312"/>
          <w:b w:val="0"/>
          <w:bCs w:val="0"/>
          <w:color w:val="auto"/>
          <w:sz w:val="32"/>
          <w:szCs w:val="32"/>
          <w:lang w:val="en-US" w:eastAsia="zh-CN"/>
        </w:rPr>
        <w:t>等。一级类型的分类标准，以及二级、三级类型及其分类标准如下：</w:t>
      </w:r>
    </w:p>
    <w:p w14:paraId="27C96F2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银行存款]</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sz w:val="32"/>
          <w:szCs w:val="32"/>
        </w:rPr>
        <w:t>指存入银行或其他金融机构的各种款项</w:t>
      </w:r>
      <w:r>
        <w:rPr>
          <w:rFonts w:hint="eastAsia" w:ascii="仿宋_GB2312" w:hAnsi="仿宋_GB2312" w:eastAsia="仿宋_GB2312" w:cs="仿宋_GB2312"/>
          <w:color w:val="auto"/>
          <w:sz w:val="32"/>
          <w:szCs w:val="32"/>
          <w:lang w:eastAsia="zh-CN"/>
        </w:rPr>
        <w:t>。二级类型</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活期存款</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备付金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存出保证金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定期存款</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大额协议</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大额存单</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同业存单</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结构性存款</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通知存款</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其他银行存款</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rPr>
        <w:t>。</w:t>
      </w:r>
    </w:p>
    <w:p w14:paraId="674EAE6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债券]</w:t>
      </w:r>
      <w:r>
        <w:rPr>
          <w:rFonts w:hint="eastAsia" w:ascii="仿宋_GB2312" w:hAnsi="仿宋_GB2312" w:eastAsia="仿宋_GB2312" w:cs="仿宋_GB2312"/>
          <w:b w:val="0"/>
          <w:bCs w:val="0"/>
          <w:color w:val="auto"/>
          <w:sz w:val="32"/>
          <w:szCs w:val="32"/>
          <w:lang w:eastAsia="zh-CN"/>
        </w:rPr>
        <w:t>的二级类型</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政府债</w:t>
      </w:r>
      <w:r>
        <w:rPr>
          <w:rFonts w:hint="eastAsia" w:ascii="仿宋_GB2312" w:hAnsi="仿宋_GB2312" w:eastAsia="仿宋_GB2312" w:cs="仿宋_GB2312"/>
          <w:b/>
          <w:bCs/>
          <w:color w:val="auto"/>
          <w:sz w:val="32"/>
          <w:szCs w:val="32"/>
          <w:lang w:eastAsia="zh-CN"/>
        </w:rPr>
        <w:t>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政府支持机构债券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金融债券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企业债券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政府债券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的三级类型</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国债</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地方政府债</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政府支持机构债券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指中国国家铁路集团有限公司和中央汇金投资有限责任公司发行的政府支持债券，不含中央汇金投资有限责任公司发行的一般中期票据和一般短</w:t>
      </w:r>
      <w:r>
        <w:rPr>
          <w:rFonts w:hint="eastAsia" w:ascii="仿宋_GB2312" w:hAnsi="仿宋_GB2312" w:eastAsia="仿宋_GB2312" w:cs="仿宋_GB2312"/>
          <w:b w:val="0"/>
          <w:bCs w:val="0"/>
          <w:color w:val="auto"/>
          <w:sz w:val="32"/>
          <w:szCs w:val="32"/>
          <w:lang w:val="en-US" w:eastAsia="zh-CN"/>
        </w:rPr>
        <w:t>期融资券。</w:t>
      </w:r>
    </w:p>
    <w:p w14:paraId="2CBE10FD">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[金融债券]</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lang w:eastAsia="zh-CN"/>
        </w:rPr>
        <w:t>指金融机构发行的债券，三级类型包括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中央银行票据</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普通政策性银行金融债券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政策性银行资本补充工具</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普通商业银行金融债券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商业银行可转换债券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商业银行资本补充工具</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保险公司债券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保险公司资本补充工具</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国际开发机构人民币债券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其他金融债券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其中，证券公司等其他金融机构发行的可转换公司债券、可交换公司债券在</w:t>
      </w:r>
      <w:r>
        <w:rPr>
          <w:rFonts w:hint="eastAsia" w:ascii="仿宋_GB2312" w:hAnsi="仿宋_GB2312" w:eastAsia="仿宋_GB2312" w:cs="仿宋_GB2312"/>
          <w:b/>
          <w:bCs/>
          <w:color w:val="auto"/>
          <w:sz w:val="32"/>
          <w:szCs w:val="32"/>
          <w:lang w:eastAsia="zh-CN"/>
        </w:rPr>
        <w:t>[其他金融债券]</w:t>
      </w:r>
      <w:r>
        <w:rPr>
          <w:rFonts w:hint="eastAsia" w:ascii="仿宋_GB2312" w:hAnsi="仿宋_GB2312" w:eastAsia="仿宋_GB2312" w:cs="仿宋_GB2312"/>
          <w:b w:val="0"/>
          <w:bCs w:val="0"/>
          <w:color w:val="auto"/>
          <w:sz w:val="32"/>
          <w:szCs w:val="32"/>
          <w:lang w:eastAsia="zh-CN"/>
        </w:rPr>
        <w:t>下列示。</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政策性银行资本补充工具</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商业银行资本补充工具</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保险公司资本补充工具</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指在特殊情况下具有损失吸收功能的金融债券等金融工具，包括次级债券、二级资本债、无固定期限资本债、混合资本债、资本补充债券和其他债务性资本补充工具等金融债券，以及次级定期债务等金融工具。</w:t>
      </w:r>
    </w:p>
    <w:p w14:paraId="259E505F">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企业债券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sz w:val="32"/>
          <w:szCs w:val="32"/>
          <w:lang w:val="en-US" w:eastAsia="zh-CN"/>
        </w:rPr>
        <w:t>指非金融机构发行的债券，</w:t>
      </w:r>
      <w:r>
        <w:rPr>
          <w:rFonts w:hint="eastAsia" w:ascii="仿宋_GB2312" w:hAnsi="仿宋_GB2312" w:eastAsia="仿宋_GB2312" w:cs="仿宋_GB2312"/>
          <w:b w:val="0"/>
          <w:bCs w:val="0"/>
          <w:color w:val="auto"/>
          <w:sz w:val="32"/>
          <w:szCs w:val="32"/>
          <w:lang w:eastAsia="zh-CN"/>
        </w:rPr>
        <w:t>三级类型</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企业</w:t>
      </w:r>
      <w:r>
        <w:rPr>
          <w:rFonts w:hint="eastAsia" w:ascii="仿宋_GB2312" w:hAnsi="仿宋_GB2312" w:eastAsia="仿宋_GB2312" w:cs="仿宋_GB2312"/>
          <w:b/>
          <w:bCs/>
          <w:color w:val="auto"/>
          <w:sz w:val="32"/>
          <w:szCs w:val="32"/>
          <w:lang w:eastAsia="zh-CN"/>
        </w:rPr>
        <w:t>债券和</w:t>
      </w:r>
      <w:r>
        <w:rPr>
          <w:rFonts w:hint="eastAsia" w:ascii="仿宋_GB2312" w:hAnsi="仿宋_GB2312" w:eastAsia="仿宋_GB2312" w:cs="仿宋_GB2312"/>
          <w:b/>
          <w:bCs/>
          <w:color w:val="auto"/>
          <w:sz w:val="32"/>
          <w:szCs w:val="32"/>
        </w:rPr>
        <w:t>公司债券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可转换公司债券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可交换公司债券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超短期融资券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短期融资券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中期票据</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其他企业债券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。对于分离交易可转债，按照可转换债券和权证两部分进行核算，在未转换前列入</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可转换公司债券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，在转换之后列入</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企业</w:t>
      </w:r>
      <w:r>
        <w:rPr>
          <w:rFonts w:hint="eastAsia" w:ascii="仿宋_GB2312" w:hAnsi="仿宋_GB2312" w:eastAsia="仿宋_GB2312" w:cs="仿宋_GB2312"/>
          <w:b/>
          <w:bCs/>
          <w:color w:val="auto"/>
          <w:sz w:val="32"/>
          <w:szCs w:val="32"/>
          <w:lang w:eastAsia="zh-CN"/>
        </w:rPr>
        <w:t>债券和</w:t>
      </w:r>
      <w:r>
        <w:rPr>
          <w:rFonts w:hint="eastAsia" w:ascii="仿宋_GB2312" w:hAnsi="仿宋_GB2312" w:eastAsia="仿宋_GB2312" w:cs="仿宋_GB2312"/>
          <w:b/>
          <w:bCs/>
          <w:color w:val="auto"/>
          <w:sz w:val="32"/>
          <w:szCs w:val="32"/>
        </w:rPr>
        <w:t>公司债券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，权证部分列入</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衍生产品工具</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w:t>
      </w:r>
    </w:p>
    <w:p w14:paraId="307FF4D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基金]</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lang w:eastAsia="zh-CN"/>
        </w:rPr>
        <w:t>指依据</w:t>
      </w:r>
      <w:r>
        <w:rPr>
          <w:rFonts w:hint="eastAsia" w:ascii="仿宋_GB2312" w:hAnsi="仿宋_GB2312" w:eastAsia="仿宋_GB2312" w:cs="仿宋_GB2312"/>
          <w:color w:val="auto"/>
          <w:sz w:val="32"/>
          <w:szCs w:val="32"/>
        </w:rPr>
        <w:t>《公开募集证券投资基金运作管理办法》</w:t>
      </w:r>
      <w:r>
        <w:rPr>
          <w:rFonts w:hint="eastAsia" w:ascii="仿宋_GB2312" w:hAnsi="仿宋_GB2312" w:eastAsia="仿宋_GB2312" w:cs="仿宋_GB2312"/>
          <w:color w:val="auto"/>
          <w:sz w:val="32"/>
          <w:szCs w:val="32"/>
          <w:lang w:eastAsia="zh-CN"/>
        </w:rPr>
        <w:t>设立并运作的标准化金融产品，</w:t>
      </w:r>
      <w:r>
        <w:rPr>
          <w:rFonts w:hint="eastAsia" w:ascii="仿宋_GB2312" w:hAnsi="仿宋_GB2312" w:eastAsia="仿宋_GB2312" w:cs="仿宋_GB2312"/>
          <w:b w:val="0"/>
          <w:bCs w:val="0"/>
          <w:color w:val="auto"/>
          <w:sz w:val="32"/>
          <w:szCs w:val="32"/>
          <w:lang w:eastAsia="zh-CN"/>
        </w:rPr>
        <w:t>二级类型</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债券型基金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股票型基金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货币型基金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混合型基金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基金中基金（FOF）</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其他基金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w:t>
      </w:r>
    </w:p>
    <w:p w14:paraId="56F3195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股票]</w:t>
      </w:r>
      <w:r>
        <w:rPr>
          <w:rFonts w:hint="eastAsia" w:ascii="仿宋_GB2312" w:hAnsi="仿宋_GB2312" w:eastAsia="仿宋_GB2312" w:cs="仿宋_GB2312"/>
          <w:b w:val="0"/>
          <w:bCs w:val="0"/>
          <w:color w:val="auto"/>
          <w:sz w:val="32"/>
          <w:szCs w:val="32"/>
        </w:rPr>
        <w:t>的二级类型</w:t>
      </w:r>
      <w:r>
        <w:rPr>
          <w:rFonts w:hint="eastAsia" w:ascii="仿宋_GB2312" w:hAnsi="仿宋_GB2312" w:eastAsia="仿宋_GB2312" w:cs="仿宋_GB2312"/>
          <w:color w:val="auto"/>
          <w:sz w:val="32"/>
          <w:szCs w:val="32"/>
        </w:rPr>
        <w:t>包括一级市场申购、二级市场买卖获取的</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普通股</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优先股</w:t>
      </w:r>
      <w:r>
        <w:rPr>
          <w:rFonts w:hint="eastAsia" w:ascii="仿宋_GB2312" w:hAnsi="仿宋_GB2312" w:eastAsia="仿宋_GB2312" w:cs="仿宋_GB2312"/>
          <w:b/>
          <w:bCs/>
          <w:color w:val="auto"/>
          <w:sz w:val="32"/>
          <w:szCs w:val="32"/>
          <w:lang w:val="en-US" w:eastAsia="zh-CN"/>
        </w:rPr>
        <w:t>]、[存托凭证]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[普通股]</w:t>
      </w:r>
      <w:r>
        <w:rPr>
          <w:rFonts w:hint="eastAsia" w:ascii="仿宋_GB2312" w:hAnsi="仿宋_GB2312" w:eastAsia="仿宋_GB2312" w:cs="仿宋_GB2312"/>
          <w:color w:val="auto"/>
          <w:sz w:val="32"/>
          <w:szCs w:val="32"/>
          <w:lang w:val="en-US" w:eastAsia="zh-CN"/>
        </w:rPr>
        <w:t>根据上市企业所在交易所不同，三级类型包括</w:t>
      </w:r>
      <w:r>
        <w:rPr>
          <w:rFonts w:hint="eastAsia" w:ascii="仿宋_GB2312" w:hAnsi="仿宋_GB2312" w:eastAsia="仿宋_GB2312" w:cs="仿宋_GB2312"/>
          <w:b/>
          <w:bCs/>
          <w:color w:val="auto"/>
          <w:sz w:val="32"/>
          <w:szCs w:val="32"/>
          <w:lang w:val="en-US" w:eastAsia="zh-CN"/>
        </w:rPr>
        <w:t>[上交所主板股票]、[深交所主板股票]、[创业板股票]、[科创板股票]、[北交所股票]、[普通股（港股通）]、[普通股（除港股通外的境外股票市场）]、[其他股票]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b/>
          <w:bCs/>
          <w:color w:val="auto"/>
          <w:sz w:val="32"/>
          <w:szCs w:val="32"/>
          <w:lang w:val="en-US" w:eastAsia="zh-CN"/>
        </w:rPr>
        <w:t>[普通股（港股通）]</w:t>
      </w:r>
      <w:r>
        <w:rPr>
          <w:rFonts w:hint="eastAsia" w:ascii="仿宋_GB2312" w:hAnsi="仿宋_GB2312" w:eastAsia="仿宋_GB2312" w:cs="仿宋_GB2312"/>
          <w:b w:val="0"/>
          <w:bCs w:val="0"/>
          <w:color w:val="auto"/>
          <w:sz w:val="32"/>
          <w:szCs w:val="32"/>
          <w:lang w:val="en-US" w:eastAsia="zh-CN"/>
        </w:rPr>
        <w:t>指通过港股通、沪港通等方式，购买的香港证券交易市场股票。</w:t>
      </w:r>
      <w:r>
        <w:rPr>
          <w:rFonts w:hint="eastAsia" w:ascii="仿宋_GB2312" w:hAnsi="仿宋_GB2312" w:eastAsia="仿宋_GB2312" w:cs="仿宋_GB2312"/>
          <w:b/>
          <w:bCs/>
          <w:color w:val="auto"/>
          <w:sz w:val="32"/>
          <w:szCs w:val="32"/>
          <w:lang w:val="en-US" w:eastAsia="zh-CN"/>
        </w:rPr>
        <w:t>[普通股（除港股通以外的境外股票市场）]</w:t>
      </w:r>
      <w:r>
        <w:rPr>
          <w:rFonts w:hint="eastAsia" w:ascii="仿宋_GB2312" w:hAnsi="仿宋_GB2312" w:eastAsia="仿宋_GB2312" w:cs="仿宋_GB2312"/>
          <w:b w:val="0"/>
          <w:bCs w:val="0"/>
          <w:color w:val="auto"/>
          <w:sz w:val="32"/>
          <w:szCs w:val="32"/>
          <w:lang w:val="en-US" w:eastAsia="zh-CN"/>
        </w:rPr>
        <w:t>除境内股票市场以外的股票市场交易的股票，不包括通过港股通方式购买的。</w:t>
      </w:r>
    </w:p>
    <w:p w14:paraId="6F0BB32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私募证券投资基金]</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lang w:eastAsia="zh-CN"/>
        </w:rPr>
        <w:t>指依据</w:t>
      </w:r>
      <w:r>
        <w:rPr>
          <w:rFonts w:hint="eastAsia" w:ascii="仿宋_GB2312" w:hAnsi="仿宋_GB2312" w:eastAsia="仿宋_GB2312" w:cs="仿宋_GB2312"/>
          <w:color w:val="auto"/>
          <w:sz w:val="32"/>
          <w:szCs w:val="32"/>
        </w:rPr>
        <w:t>《关于推动中长期资金入市工作的实施方案》</w:t>
      </w:r>
      <w:r>
        <w:rPr>
          <w:rFonts w:hint="eastAsia" w:ascii="仿宋_GB2312" w:hAnsi="仿宋_GB2312" w:eastAsia="仿宋_GB2312" w:cs="仿宋_GB2312"/>
          <w:color w:val="auto"/>
          <w:sz w:val="32"/>
          <w:szCs w:val="32"/>
          <w:lang w:eastAsia="zh-CN"/>
        </w:rPr>
        <w:t>设立并运作的金融产品。</w:t>
      </w:r>
      <w:r>
        <w:rPr>
          <w:rFonts w:hint="eastAsia" w:ascii="仿宋_GB2312" w:hAnsi="仿宋_GB2312" w:eastAsia="仿宋_GB2312" w:cs="仿宋_GB2312"/>
          <w:color w:val="auto"/>
          <w:sz w:val="32"/>
          <w:szCs w:val="32"/>
        </w:rPr>
        <w:t>私募证券投资基金指保险资金基于长期资金入市试点改革成立的私募证券投资基金。</w:t>
      </w:r>
    </w:p>
    <w:p w14:paraId="61407B3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股权（不含不动产项目公司股权）]</w:t>
      </w:r>
      <w:r>
        <w:rPr>
          <w:rFonts w:hint="eastAsia" w:ascii="仿宋_GB2312" w:hAnsi="仿宋_GB2312" w:eastAsia="仿宋_GB2312" w:cs="仿宋_GB2312"/>
          <w:b w:val="0"/>
          <w:bCs w:val="0"/>
          <w:color w:val="auto"/>
          <w:sz w:val="32"/>
          <w:szCs w:val="32"/>
          <w:lang w:eastAsia="zh-CN"/>
        </w:rPr>
        <w:t>的二级类型</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未上市企业股权</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私募股权投资基金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创投基金</w:t>
      </w:r>
      <w:r>
        <w:rPr>
          <w:rFonts w:hint="eastAsia" w:ascii="仿宋_GB2312" w:hAnsi="仿宋_GB2312" w:eastAsia="仿宋_GB2312" w:cs="仿宋_GB2312"/>
          <w:b/>
          <w:bCs/>
          <w:color w:val="auto"/>
          <w:sz w:val="32"/>
          <w:szCs w:val="32"/>
          <w:lang w:val="en-US" w:eastAsia="zh-CN"/>
        </w:rPr>
        <w:t>]、[政府投资基金]、[其他股权]</w:t>
      </w:r>
      <w:r>
        <w:rPr>
          <w:rFonts w:hint="eastAsia" w:ascii="仿宋_GB2312" w:hAnsi="仿宋_GB2312" w:eastAsia="仿宋_GB2312" w:cs="仿宋_GB2312"/>
          <w:color w:val="auto"/>
          <w:sz w:val="32"/>
          <w:szCs w:val="32"/>
        </w:rPr>
        <w:t>，不含不动产项目公司股权。其中：</w:t>
      </w:r>
    </w:p>
    <w:p w14:paraId="6314FF4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未上市企业股权</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sz w:val="32"/>
          <w:szCs w:val="32"/>
        </w:rPr>
        <w:t>指在中华人民共和国境内依法设立和注册登记，且未在中国境内的证券交易所公开上市的股份有限公司和有限责任公司的股权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包括新三板股票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eastAsia="zh-CN"/>
        </w:rPr>
        <w:t>银行业金融机构、</w:t>
      </w:r>
      <w:r>
        <w:rPr>
          <w:rFonts w:hint="eastAsia" w:ascii="仿宋_GB2312" w:hAnsi="仿宋_GB2312" w:eastAsia="仿宋_GB2312" w:cs="仿宋_GB2312"/>
          <w:color w:val="auto"/>
          <w:sz w:val="32"/>
          <w:szCs w:val="32"/>
        </w:rPr>
        <w:t>保险</w:t>
      </w:r>
      <w:r>
        <w:rPr>
          <w:rFonts w:hint="eastAsia" w:ascii="仿宋_GB2312" w:hAnsi="仿宋_GB2312" w:eastAsia="仿宋_GB2312" w:cs="仿宋_GB2312"/>
          <w:color w:val="auto"/>
          <w:sz w:val="32"/>
          <w:szCs w:val="32"/>
          <w:lang w:eastAsia="zh-CN"/>
        </w:rPr>
        <w:t>类</w:t>
      </w:r>
      <w:r>
        <w:rPr>
          <w:rFonts w:hint="eastAsia" w:ascii="仿宋_GB2312" w:hAnsi="仿宋_GB2312" w:eastAsia="仿宋_GB2312" w:cs="仿宋_GB2312"/>
          <w:color w:val="auto"/>
          <w:sz w:val="32"/>
          <w:szCs w:val="32"/>
        </w:rPr>
        <w:t>机构</w:t>
      </w:r>
      <w:r>
        <w:rPr>
          <w:rFonts w:hint="eastAsia" w:ascii="仿宋_GB2312" w:hAnsi="仿宋_GB2312" w:eastAsia="仿宋_GB2312" w:cs="仿宋_GB2312"/>
          <w:color w:val="auto"/>
          <w:sz w:val="32"/>
          <w:szCs w:val="32"/>
          <w:lang w:eastAsia="zh-CN"/>
        </w:rPr>
        <w:t>具体名单</w:t>
      </w:r>
      <w:r>
        <w:rPr>
          <w:rFonts w:hint="eastAsia" w:ascii="仿宋_GB2312" w:hAnsi="仿宋_GB2312" w:eastAsia="仿宋_GB2312" w:cs="仿宋_GB2312"/>
          <w:color w:val="auto"/>
          <w:sz w:val="32"/>
          <w:szCs w:val="32"/>
        </w:rPr>
        <w:t>参考国家金融监督管理总局官网披露的</w:t>
      </w:r>
      <w:r>
        <w:rPr>
          <w:rFonts w:hint="eastAsia" w:ascii="仿宋_GB2312" w:hAnsi="仿宋_GB2312" w:eastAsia="仿宋_GB2312" w:cs="仿宋_GB2312"/>
          <w:color w:val="auto"/>
          <w:sz w:val="32"/>
          <w:szCs w:val="32"/>
          <w:lang w:eastAsia="zh-CN"/>
        </w:rPr>
        <w:t>最近一期</w:t>
      </w:r>
      <w:r>
        <w:rPr>
          <w:rFonts w:hint="eastAsia" w:ascii="仿宋_GB2312" w:hAnsi="仿宋_GB2312" w:eastAsia="仿宋_GB2312" w:cs="仿宋_GB2312"/>
          <w:color w:val="auto"/>
          <w:sz w:val="32"/>
          <w:szCs w:val="32"/>
        </w:rPr>
        <w:t>银行业金融机构法人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保险机构法人、保险专业中介机构法人名单确定。</w:t>
      </w:r>
    </w:p>
    <w:p w14:paraId="5A581A4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创投基金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sz w:val="32"/>
          <w:szCs w:val="32"/>
        </w:rPr>
        <w:t>指符合下列条件的私募</w:t>
      </w:r>
      <w:r>
        <w:rPr>
          <w:rFonts w:hint="eastAsia" w:ascii="仿宋_GB2312" w:hAnsi="仿宋_GB2312" w:eastAsia="仿宋_GB2312" w:cs="仿宋_GB2312"/>
          <w:color w:val="auto"/>
          <w:sz w:val="32"/>
          <w:szCs w:val="32"/>
          <w:lang w:eastAsia="zh-CN"/>
        </w:rPr>
        <w:t>股权投资</w:t>
      </w:r>
      <w:r>
        <w:rPr>
          <w:rFonts w:hint="eastAsia" w:ascii="仿宋_GB2312" w:hAnsi="仿宋_GB2312" w:eastAsia="仿宋_GB2312" w:cs="仿宋_GB2312"/>
          <w:color w:val="auto"/>
          <w:sz w:val="32"/>
          <w:szCs w:val="32"/>
        </w:rPr>
        <w:t>基金：</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投资范围限于未上市企业，但所投资企业上市后基金所持股份的未转让部分及其配售部分除外；</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基金合同体现创业投资策略；</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不使用杠杆融资，但国家另有规定的除外；</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基金最低存续期限符合国家有关规定；</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法律、行政法规、中国证监会和协会规定的其他条件。</w:t>
      </w:r>
      <w:r>
        <w:rPr>
          <w:rFonts w:hint="eastAsia" w:ascii="仿宋_GB2312" w:hAnsi="仿宋_GB2312" w:eastAsia="仿宋_GB2312" w:cs="仿宋_GB2312"/>
          <w:b w:val="0"/>
          <w:bCs w:val="0"/>
          <w:color w:val="auto"/>
          <w:sz w:val="32"/>
          <w:szCs w:val="32"/>
          <w:lang w:val="en-US" w:eastAsia="zh-CN"/>
        </w:rPr>
        <w:t>此外，</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创投基金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应当包含“创业投资基金”，或者在公司、合伙企业经营范围中包含“从事创业投资活动”字样。</w:t>
      </w:r>
      <w:r>
        <w:rPr>
          <w:rFonts w:hint="eastAsia" w:ascii="仿宋_GB2312" w:hAnsi="仿宋_GB2312" w:eastAsia="仿宋_GB2312" w:cs="仿宋_GB2312"/>
          <w:color w:val="auto"/>
          <w:sz w:val="32"/>
          <w:szCs w:val="32"/>
          <w:lang w:eastAsia="zh-CN"/>
        </w:rPr>
        <w:t>已经在</w:t>
      </w:r>
      <w:r>
        <w:rPr>
          <w:rFonts w:hint="eastAsia" w:ascii="仿宋_GB2312" w:hAnsi="仿宋_GB2312" w:eastAsia="仿宋_GB2312" w:cs="仿宋_GB2312"/>
          <w:b/>
          <w:bCs/>
          <w:color w:val="auto"/>
          <w:sz w:val="32"/>
          <w:szCs w:val="32"/>
          <w:lang w:val="en-US" w:eastAsia="zh-CN"/>
        </w:rPr>
        <w:t>[创投基金]</w:t>
      </w:r>
      <w:r>
        <w:rPr>
          <w:rFonts w:hint="eastAsia" w:ascii="仿宋_GB2312" w:hAnsi="仿宋_GB2312" w:eastAsia="仿宋_GB2312" w:cs="仿宋_GB2312"/>
          <w:color w:val="auto"/>
          <w:sz w:val="32"/>
          <w:szCs w:val="32"/>
          <w:lang w:val="en-US" w:eastAsia="zh-CN"/>
        </w:rPr>
        <w:t>列示的资产，不重复在</w:t>
      </w:r>
      <w:r>
        <w:rPr>
          <w:rFonts w:hint="eastAsia" w:ascii="仿宋_GB2312" w:hAnsi="仿宋_GB2312" w:eastAsia="仿宋_GB2312" w:cs="仿宋_GB2312"/>
          <w:b/>
          <w:bCs/>
          <w:color w:val="auto"/>
          <w:sz w:val="32"/>
          <w:szCs w:val="32"/>
          <w:lang w:val="en-US" w:eastAsia="zh-CN"/>
        </w:rPr>
        <w:t>[私募股权投资基金]</w:t>
      </w:r>
      <w:r>
        <w:rPr>
          <w:rFonts w:hint="eastAsia" w:ascii="仿宋_GB2312" w:hAnsi="仿宋_GB2312" w:eastAsia="仿宋_GB2312" w:cs="仿宋_GB2312"/>
          <w:color w:val="auto"/>
          <w:sz w:val="32"/>
          <w:szCs w:val="32"/>
          <w:lang w:val="en-US" w:eastAsia="zh-CN"/>
        </w:rPr>
        <w:t>中列示。</w:t>
      </w:r>
    </w:p>
    <w:p w14:paraId="6B41A7A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[政府投资基金]</w:t>
      </w:r>
      <w:r>
        <w:rPr>
          <w:rFonts w:hint="eastAsia" w:ascii="仿宋_GB2312" w:hAnsi="仿宋_GB2312" w:eastAsia="仿宋_GB2312" w:cs="仿宋_GB2312"/>
          <w:color w:val="auto"/>
          <w:sz w:val="32"/>
          <w:szCs w:val="32"/>
          <w:lang w:val="en-US" w:eastAsia="zh-CN"/>
        </w:rPr>
        <w:t>是指各级政府依据《国务院办公厅关于促进政府投资基金高质量发展的指导意见》（国办发〔2025〕1号）规定设立的私募股权投资基金。</w:t>
      </w:r>
      <w:r>
        <w:rPr>
          <w:rFonts w:hint="eastAsia" w:ascii="仿宋_GB2312" w:hAnsi="仿宋_GB2312" w:eastAsia="仿宋_GB2312" w:cs="仿宋_GB2312"/>
          <w:color w:val="auto"/>
          <w:sz w:val="32"/>
          <w:szCs w:val="32"/>
          <w:lang w:eastAsia="zh-CN"/>
        </w:rPr>
        <w:t>已经在</w:t>
      </w:r>
      <w:r>
        <w:rPr>
          <w:rFonts w:hint="eastAsia" w:ascii="仿宋_GB2312" w:hAnsi="仿宋_GB2312" w:eastAsia="仿宋_GB2312" w:cs="仿宋_GB2312"/>
          <w:b/>
          <w:bCs/>
          <w:color w:val="auto"/>
          <w:sz w:val="32"/>
          <w:szCs w:val="32"/>
          <w:lang w:val="en-US" w:eastAsia="zh-CN"/>
        </w:rPr>
        <w:t>[政府投资基金]</w:t>
      </w:r>
      <w:r>
        <w:rPr>
          <w:rFonts w:hint="eastAsia" w:ascii="仿宋_GB2312" w:hAnsi="仿宋_GB2312" w:eastAsia="仿宋_GB2312" w:cs="仿宋_GB2312"/>
          <w:color w:val="auto"/>
          <w:sz w:val="32"/>
          <w:szCs w:val="32"/>
          <w:lang w:val="en-US" w:eastAsia="zh-CN"/>
        </w:rPr>
        <w:t>列示的资产，不重复在</w:t>
      </w:r>
      <w:r>
        <w:rPr>
          <w:rFonts w:hint="eastAsia" w:ascii="仿宋_GB2312" w:hAnsi="仿宋_GB2312" w:eastAsia="仿宋_GB2312" w:cs="仿宋_GB2312"/>
          <w:b/>
          <w:bCs/>
          <w:color w:val="auto"/>
          <w:sz w:val="32"/>
          <w:szCs w:val="32"/>
          <w:lang w:val="en-US" w:eastAsia="zh-CN"/>
        </w:rPr>
        <w:t>[私募股权投资基金]、[创投基金]</w:t>
      </w:r>
      <w:r>
        <w:rPr>
          <w:rFonts w:hint="eastAsia" w:ascii="仿宋_GB2312" w:hAnsi="仿宋_GB2312" w:eastAsia="仿宋_GB2312" w:cs="仿宋_GB2312"/>
          <w:color w:val="auto"/>
          <w:sz w:val="32"/>
          <w:szCs w:val="32"/>
          <w:lang w:val="en-US" w:eastAsia="zh-CN"/>
        </w:rPr>
        <w:t>中列示。</w:t>
      </w:r>
    </w:p>
    <w:p w14:paraId="43C6963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不动产（不含自用性不动产）]</w:t>
      </w:r>
      <w:r>
        <w:rPr>
          <w:rFonts w:hint="eastAsia" w:ascii="仿宋_GB2312" w:hAnsi="仿宋_GB2312" w:eastAsia="仿宋_GB2312" w:cs="仿宋_GB2312"/>
          <w:b w:val="0"/>
          <w:bCs w:val="0"/>
          <w:color w:val="auto"/>
          <w:sz w:val="32"/>
          <w:szCs w:val="32"/>
          <w:lang w:eastAsia="zh-CN"/>
        </w:rPr>
        <w:t>的二级类型</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直接物权形式投资的不动产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以项目公司股权形式投资的不动产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通过私募股权投资基金投向不动产项目公司股权形式投资的不动产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向不动产项目公司提供的股东借款</w:t>
      </w:r>
      <w:r>
        <w:rPr>
          <w:rFonts w:hint="eastAsia" w:ascii="仿宋_GB2312" w:hAnsi="仿宋_GB2312" w:eastAsia="仿宋_GB2312" w:cs="仿宋_GB2312"/>
          <w:b/>
          <w:bCs/>
          <w:color w:val="auto"/>
          <w:sz w:val="32"/>
          <w:szCs w:val="32"/>
          <w:lang w:val="en-US" w:eastAsia="zh-CN"/>
        </w:rPr>
        <w:t>]、[房地产信托投资基金（REITs）]、[</w:t>
      </w:r>
      <w:r>
        <w:rPr>
          <w:rFonts w:hint="eastAsia" w:ascii="仿宋_GB2312" w:hAnsi="仿宋_GB2312" w:eastAsia="仿宋_GB2312" w:cs="仿宋_GB2312"/>
          <w:b/>
          <w:bCs/>
          <w:color w:val="auto"/>
          <w:sz w:val="32"/>
          <w:szCs w:val="32"/>
        </w:rPr>
        <w:t>其他不动产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自用性不动产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单独列示，不在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不动产（不含自用性不动产）]</w:t>
      </w:r>
      <w:r>
        <w:rPr>
          <w:rFonts w:hint="eastAsia" w:ascii="仿宋_GB2312" w:hAnsi="仿宋_GB2312" w:eastAsia="仿宋_GB2312" w:cs="仿宋_GB2312"/>
          <w:b w:val="0"/>
          <w:bCs w:val="0"/>
          <w:color w:val="auto"/>
          <w:sz w:val="32"/>
          <w:szCs w:val="32"/>
          <w:lang w:eastAsia="zh-CN"/>
        </w:rPr>
        <w:t>范围内</w:t>
      </w:r>
      <w:r>
        <w:rPr>
          <w:rFonts w:hint="eastAsia" w:ascii="仿宋_GB2312" w:hAnsi="仿宋_GB2312" w:eastAsia="仿宋_GB2312" w:cs="仿宋_GB2312"/>
          <w:color w:val="auto"/>
          <w:sz w:val="32"/>
          <w:szCs w:val="32"/>
        </w:rPr>
        <w:t>。</w:t>
      </w:r>
    </w:p>
    <w:p w14:paraId="1202F00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金融产品]</w:t>
      </w:r>
      <w:r>
        <w:rPr>
          <w:rFonts w:hint="eastAsia" w:ascii="仿宋_GB2312" w:hAnsi="仿宋_GB2312" w:eastAsia="仿宋_GB2312" w:cs="仿宋_GB2312"/>
          <w:b w:val="0"/>
          <w:bCs w:val="0"/>
          <w:color w:val="auto"/>
          <w:sz w:val="32"/>
          <w:szCs w:val="32"/>
          <w:lang w:eastAsia="zh-CN"/>
        </w:rPr>
        <w:t>的二级类型</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集合资金信托计划</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商业银行及商业银行理财公司理财产品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资产支持证券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债转股投资计划</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公开募集基础设施证券投资基金（基础设施公募REITs）</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保险资产管理产品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其他金融产品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。其中：</w:t>
      </w:r>
    </w:p>
    <w:p w14:paraId="4AD0EACF">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集合资金信托计划</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的三级类型</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固定收益类信托计划</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权益类信托计划</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w:t>
      </w:r>
    </w:p>
    <w:p w14:paraId="266891B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资产支持证券</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的三级类型</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信贷资产支持证券（信贷ABS）</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企业资产支持证券（企业ABS）</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资产支持票据（ABN）</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w:t>
      </w:r>
    </w:p>
    <w:p w14:paraId="2E6C309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保险资产管理产品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sz w:val="32"/>
          <w:szCs w:val="32"/>
          <w:lang w:val="en-US" w:eastAsia="zh-CN"/>
        </w:rPr>
        <w:t>指</w:t>
      </w:r>
      <w:r>
        <w:rPr>
          <w:rFonts w:hint="eastAsia" w:ascii="仿宋_GB2312" w:hAnsi="仿宋_GB2312" w:eastAsia="仿宋_GB2312" w:cs="仿宋_GB2312"/>
          <w:color w:val="auto"/>
          <w:sz w:val="32"/>
          <w:szCs w:val="32"/>
        </w:rPr>
        <w:t>包括保险资产管理公司发行</w:t>
      </w:r>
      <w:r>
        <w:rPr>
          <w:rFonts w:hint="eastAsia" w:ascii="仿宋_GB2312" w:hAnsi="仿宋_GB2312" w:eastAsia="仿宋_GB2312" w:cs="仿宋_GB2312"/>
          <w:color w:val="auto"/>
          <w:sz w:val="32"/>
          <w:szCs w:val="32"/>
          <w:lang w:eastAsia="zh-CN"/>
        </w:rPr>
        <w:t>金融产品，三级类型包括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债权投资计划</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股权投资计划</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组合类</w:t>
      </w:r>
      <w:r>
        <w:rPr>
          <w:rFonts w:hint="eastAsia" w:ascii="仿宋_GB2312" w:hAnsi="仿宋_GB2312" w:eastAsia="仿宋_GB2312" w:cs="仿宋_GB2312"/>
          <w:b/>
          <w:bCs/>
          <w:color w:val="auto"/>
          <w:sz w:val="32"/>
          <w:szCs w:val="32"/>
          <w:highlight w:val="none"/>
          <w:lang w:eastAsia="zh-CN"/>
        </w:rPr>
        <w:t>保险</w:t>
      </w:r>
      <w:r>
        <w:rPr>
          <w:rFonts w:hint="eastAsia" w:ascii="仿宋_GB2312" w:hAnsi="仿宋_GB2312" w:eastAsia="仿宋_GB2312" w:cs="仿宋_GB2312"/>
          <w:b/>
          <w:bCs/>
          <w:color w:val="auto"/>
          <w:sz w:val="32"/>
          <w:szCs w:val="32"/>
        </w:rPr>
        <w:t>资管产品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保险资产管理公司发行的专项产品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资产支持计划</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其他保险资产管理产品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其中，[</w:t>
      </w:r>
      <w:r>
        <w:rPr>
          <w:rFonts w:hint="eastAsia" w:ascii="仿宋_GB2312" w:hAnsi="仿宋_GB2312" w:eastAsia="仿宋_GB2312" w:cs="仿宋_GB2312"/>
          <w:b/>
          <w:bCs/>
          <w:color w:val="auto"/>
          <w:sz w:val="32"/>
          <w:szCs w:val="32"/>
        </w:rPr>
        <w:t>债权投资计划</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的四级类型包括</w:t>
      </w:r>
      <w:r>
        <w:rPr>
          <w:rFonts w:hint="eastAsia" w:ascii="仿宋_GB2312" w:hAnsi="仿宋_GB2312" w:eastAsia="仿宋_GB2312" w:cs="仿宋_GB2312"/>
          <w:b/>
          <w:bCs/>
          <w:color w:val="auto"/>
          <w:sz w:val="32"/>
          <w:szCs w:val="32"/>
          <w:lang w:val="en-US" w:eastAsia="zh-CN"/>
        </w:rPr>
        <w:t>[基础设施债权投资计划]、[不动产债权投资计划]、[其他债权投资计划]。[组合类保险资产管理产品]</w:t>
      </w:r>
      <w:r>
        <w:rPr>
          <w:rFonts w:hint="eastAsia" w:ascii="仿宋_GB2312" w:hAnsi="仿宋_GB2312" w:eastAsia="仿宋_GB2312" w:cs="仿宋_GB2312"/>
          <w:b w:val="0"/>
          <w:bCs w:val="0"/>
          <w:color w:val="auto"/>
          <w:sz w:val="32"/>
          <w:szCs w:val="32"/>
          <w:lang w:val="en-US" w:eastAsia="zh-CN"/>
        </w:rPr>
        <w:t>的四级类型包括</w:t>
      </w:r>
      <w:r>
        <w:rPr>
          <w:rFonts w:hint="eastAsia" w:ascii="仿宋_GB2312" w:hAnsi="仿宋_GB2312" w:eastAsia="仿宋_GB2312" w:cs="仿宋_GB2312"/>
          <w:b/>
          <w:bCs/>
          <w:color w:val="auto"/>
          <w:sz w:val="32"/>
          <w:szCs w:val="32"/>
          <w:lang w:val="en-US" w:eastAsia="zh-CN"/>
        </w:rPr>
        <w:t>[固收类保险资产管理产品]、[权益类保险资产管理产品]、[商品及金融衍生品类保险资产管理产品]、[混合类保险资产管理产品]</w:t>
      </w:r>
    </w:p>
    <w:p w14:paraId="2C849892">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[大宗商品]</w:t>
      </w:r>
      <w:r>
        <w:rPr>
          <w:rFonts w:hint="eastAsia" w:ascii="仿宋_GB2312" w:hAnsi="仿宋_GB2312" w:eastAsia="仿宋_GB2312" w:cs="仿宋_GB2312"/>
          <w:b w:val="0"/>
          <w:bCs w:val="0"/>
          <w:color w:val="auto"/>
          <w:sz w:val="32"/>
          <w:szCs w:val="32"/>
          <w:lang w:val="en-US" w:eastAsia="zh-CN"/>
        </w:rPr>
        <w:t>的二级类型包括</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黄金]</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[其他大宗商品]。</w:t>
      </w:r>
      <w:r>
        <w:rPr>
          <w:rFonts w:hint="eastAsia" w:ascii="仿宋_GB2312" w:hAnsi="仿宋_GB2312" w:eastAsia="仿宋_GB2312" w:cs="仿宋_GB2312"/>
          <w:b w:val="0"/>
          <w:bCs w:val="0"/>
          <w:color w:val="auto"/>
          <w:sz w:val="32"/>
          <w:szCs w:val="32"/>
          <w:lang w:val="en-US" w:eastAsia="zh-CN"/>
        </w:rPr>
        <w:t>其中，</w:t>
      </w:r>
      <w:r>
        <w:rPr>
          <w:rFonts w:hint="eastAsia" w:ascii="仿宋_GB2312" w:hAnsi="仿宋_GB2312" w:eastAsia="仿宋_GB2312" w:cs="仿宋_GB2312"/>
          <w:b/>
          <w:bCs/>
          <w:color w:val="auto"/>
          <w:sz w:val="32"/>
          <w:szCs w:val="32"/>
          <w:lang w:val="en-US" w:eastAsia="zh-CN"/>
        </w:rPr>
        <w:t>[黄金]</w:t>
      </w:r>
      <w:r>
        <w:rPr>
          <w:rFonts w:hint="eastAsia" w:ascii="仿宋_GB2312" w:hAnsi="仿宋_GB2312" w:eastAsia="仿宋_GB2312" w:cs="仿宋_GB2312"/>
          <w:b w:val="0"/>
          <w:bCs w:val="0"/>
          <w:color w:val="auto"/>
          <w:sz w:val="32"/>
          <w:szCs w:val="32"/>
          <w:lang w:eastAsia="zh-CN"/>
        </w:rPr>
        <w:t>的三级类型</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黄金现货实盘合约</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黄金现货延期交收合约</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上海金集中定价合约</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黄金询价即期合约</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黄金询价掉期合约</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黄金租借业务</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w:t>
      </w:r>
    </w:p>
    <w:p w14:paraId="027F9C9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衍生产品工具]</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sz w:val="32"/>
          <w:szCs w:val="32"/>
          <w:lang w:eastAsia="zh-CN"/>
        </w:rPr>
        <w:t>指保险机构</w:t>
      </w:r>
      <w:r>
        <w:rPr>
          <w:rFonts w:hint="eastAsia" w:ascii="仿宋_GB2312" w:hAnsi="仿宋_GB2312" w:eastAsia="仿宋_GB2312" w:cs="仿宋_GB2312"/>
          <w:color w:val="auto"/>
          <w:sz w:val="32"/>
          <w:szCs w:val="32"/>
        </w:rPr>
        <w:t>主动或者被动取得的金融衍生工具。</w:t>
      </w:r>
      <w:r>
        <w:rPr>
          <w:rFonts w:hint="eastAsia" w:ascii="仿宋_GB2312" w:hAnsi="仿宋_GB2312" w:eastAsia="仿宋_GB2312" w:cs="仿宋_GB2312"/>
          <w:color w:val="auto"/>
          <w:sz w:val="32"/>
          <w:szCs w:val="32"/>
          <w:lang w:eastAsia="zh-CN"/>
        </w:rPr>
        <w:t>二级类型包括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权证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利率掉期]、[股指期货]、[国债期货]、[外汇远期]、[信用风险缓释工具和信用保护工具]、[其他衍生产品工具</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rPr>
        <w:t>被动持有的权证在行权前归入</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衍生产品工具]</w:t>
      </w:r>
      <w:r>
        <w:rPr>
          <w:rFonts w:hint="eastAsia" w:ascii="仿宋_GB2312" w:hAnsi="仿宋_GB2312" w:eastAsia="仿宋_GB2312" w:cs="仿宋_GB2312"/>
          <w:color w:val="auto"/>
          <w:sz w:val="32"/>
          <w:szCs w:val="32"/>
        </w:rPr>
        <w:t>，行权后取得或出售的股票在</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股票</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eastAsia="zh-CN"/>
        </w:rPr>
        <w:t>列示。</w:t>
      </w:r>
      <w:r>
        <w:rPr>
          <w:rFonts w:hint="eastAsia" w:ascii="仿宋_GB2312" w:hAnsi="仿宋_GB2312" w:eastAsia="仿宋_GB2312" w:cs="仿宋_GB2312"/>
          <w:color w:val="auto"/>
          <w:sz w:val="32"/>
          <w:szCs w:val="32"/>
          <w:highlight w:val="none"/>
          <w:lang w:eastAsia="zh-CN"/>
        </w:rPr>
        <w:t>黄金类衍生品不在</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衍生产品工具]</w:t>
      </w:r>
      <w:r>
        <w:rPr>
          <w:rFonts w:hint="eastAsia" w:ascii="仿宋_GB2312" w:hAnsi="仿宋_GB2312" w:eastAsia="仿宋_GB2312" w:cs="仿宋_GB2312"/>
          <w:b w:val="0"/>
          <w:bCs w:val="0"/>
          <w:color w:val="auto"/>
          <w:sz w:val="32"/>
          <w:szCs w:val="32"/>
          <w:highlight w:val="none"/>
          <w:lang w:eastAsia="zh-CN"/>
        </w:rPr>
        <w:t>中列示，在</w:t>
      </w:r>
      <w:r>
        <w:rPr>
          <w:rFonts w:hint="eastAsia" w:ascii="仿宋_GB2312" w:hAnsi="仿宋_GB2312" w:eastAsia="仿宋_GB2312" w:cs="仿宋_GB2312"/>
          <w:b/>
          <w:bCs/>
          <w:color w:val="auto"/>
          <w:sz w:val="32"/>
          <w:szCs w:val="32"/>
          <w:highlight w:val="none"/>
          <w:lang w:val="en-US" w:eastAsia="zh-CN"/>
        </w:rPr>
        <w:t>[大宗商品]</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bCs/>
          <w:color w:val="auto"/>
          <w:sz w:val="32"/>
          <w:szCs w:val="32"/>
          <w:highlight w:val="none"/>
          <w:lang w:val="en-US" w:eastAsia="zh-CN"/>
        </w:rPr>
        <w:t>[黄金]</w:t>
      </w:r>
      <w:r>
        <w:rPr>
          <w:rFonts w:hint="eastAsia" w:ascii="仿宋_GB2312" w:hAnsi="仿宋_GB2312" w:eastAsia="仿宋_GB2312" w:cs="仿宋_GB2312"/>
          <w:b w:val="0"/>
          <w:bCs w:val="0"/>
          <w:color w:val="auto"/>
          <w:sz w:val="32"/>
          <w:szCs w:val="32"/>
          <w:highlight w:val="none"/>
          <w:lang w:val="en-US" w:eastAsia="zh-CN"/>
        </w:rPr>
        <w:t>中列示</w:t>
      </w:r>
      <w:r>
        <w:rPr>
          <w:rFonts w:hint="eastAsia" w:ascii="仿宋_GB2312" w:hAnsi="仿宋_GB2312" w:eastAsia="仿宋_GB2312" w:cs="仿宋_GB2312"/>
          <w:color w:val="auto"/>
          <w:sz w:val="32"/>
          <w:szCs w:val="32"/>
        </w:rPr>
        <w:t>。</w:t>
      </w:r>
    </w:p>
    <w:p w14:paraId="30CA798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买入返售资产]</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sz w:val="32"/>
          <w:szCs w:val="32"/>
          <w:lang w:eastAsia="zh-CN"/>
        </w:rPr>
        <w:t>指</w:t>
      </w:r>
      <w:r>
        <w:rPr>
          <w:rFonts w:hint="eastAsia" w:ascii="仿宋_GB2312" w:hAnsi="仿宋_GB2312" w:eastAsia="仿宋_GB2312" w:cs="仿宋_GB2312"/>
          <w:color w:val="auto"/>
          <w:sz w:val="32"/>
          <w:szCs w:val="32"/>
        </w:rPr>
        <w:t>先买入某资产（如债券、票据等），并约定在未来特定日期以特定价格返售给原交易对手的短期融资行为。</w:t>
      </w:r>
    </w:p>
    <w:p w14:paraId="196EC25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拆出资金]</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sz w:val="32"/>
          <w:szCs w:val="32"/>
          <w:lang w:eastAsia="zh-CN"/>
        </w:rPr>
        <w:t>指</w:t>
      </w:r>
      <w:r>
        <w:rPr>
          <w:rFonts w:hint="eastAsia" w:ascii="仿宋_GB2312" w:hAnsi="仿宋_GB2312" w:eastAsia="仿宋_GB2312" w:cs="仿宋_GB2312"/>
          <w:color w:val="auto"/>
          <w:sz w:val="32"/>
          <w:szCs w:val="32"/>
        </w:rPr>
        <w:t>将暂时闲置的资金短期借贷给另一家金融机构。</w:t>
      </w:r>
    </w:p>
    <w:p w14:paraId="719BB07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其他</w:t>
      </w:r>
      <w:r>
        <w:rPr>
          <w:rFonts w:hint="eastAsia" w:ascii="仿宋_GB2312" w:hAnsi="仿宋_GB2312" w:eastAsia="仿宋_GB2312" w:cs="仿宋_GB2312"/>
          <w:b/>
          <w:bCs/>
          <w:color w:val="auto"/>
          <w:sz w:val="32"/>
          <w:szCs w:val="32"/>
          <w:lang w:eastAsia="zh-CN"/>
        </w:rPr>
        <w:t>投资</w:t>
      </w:r>
      <w:r>
        <w:rPr>
          <w:rFonts w:hint="eastAsia" w:ascii="仿宋_GB2312" w:hAnsi="仿宋_GB2312" w:eastAsia="仿宋_GB2312" w:cs="仿宋_GB2312"/>
          <w:b/>
          <w:bCs/>
          <w:color w:val="auto"/>
          <w:sz w:val="32"/>
          <w:szCs w:val="32"/>
        </w:rPr>
        <w:t>资产]</w:t>
      </w:r>
      <w:r>
        <w:rPr>
          <w:rFonts w:hint="eastAsia" w:ascii="仿宋_GB2312" w:hAnsi="仿宋_GB2312" w:eastAsia="仿宋_GB2312" w:cs="仿宋_GB2312"/>
          <w:color w:val="auto"/>
          <w:sz w:val="32"/>
          <w:szCs w:val="32"/>
          <w:lang w:eastAsia="zh-CN"/>
        </w:rPr>
        <w:t>是指</w:t>
      </w:r>
      <w:r>
        <w:rPr>
          <w:rFonts w:hint="eastAsia" w:ascii="仿宋_GB2312" w:hAnsi="仿宋_GB2312" w:eastAsia="仿宋_GB2312" w:cs="仿宋_GB2312"/>
          <w:color w:val="auto"/>
          <w:sz w:val="32"/>
          <w:szCs w:val="32"/>
        </w:rPr>
        <w:t>除上述</w:t>
      </w:r>
      <w:r>
        <w:rPr>
          <w:rFonts w:hint="eastAsia" w:ascii="仿宋_GB2312" w:hAnsi="仿宋_GB2312" w:eastAsia="仿宋_GB2312" w:cs="仿宋_GB2312"/>
          <w:color w:val="auto"/>
          <w:sz w:val="32"/>
          <w:szCs w:val="32"/>
          <w:lang w:eastAsia="zh-CN"/>
        </w:rPr>
        <w:t>各种类型资产</w:t>
      </w:r>
      <w:r>
        <w:rPr>
          <w:rFonts w:hint="eastAsia" w:ascii="仿宋_GB2312" w:hAnsi="仿宋_GB2312" w:eastAsia="仿宋_GB2312" w:cs="仿宋_GB2312"/>
          <w:color w:val="auto"/>
          <w:sz w:val="32"/>
          <w:szCs w:val="32"/>
        </w:rPr>
        <w:t>以外的投资资产，</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color w:val="auto"/>
          <w:sz w:val="32"/>
          <w:szCs w:val="32"/>
        </w:rPr>
        <w:t>证券清算款、应收利息、应收股利、应收红利、应收账款、债券借贷、互换便利、转融通等。</w:t>
      </w:r>
    </w:p>
    <w:p w14:paraId="3494EE8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卖出回购和拆入资金]</w:t>
      </w:r>
      <w:r>
        <w:rPr>
          <w:rFonts w:hint="eastAsia" w:ascii="仿宋_GB2312" w:hAnsi="仿宋_GB2312" w:eastAsia="仿宋_GB2312" w:cs="仿宋_GB2312"/>
          <w:color w:val="auto"/>
          <w:sz w:val="32"/>
          <w:szCs w:val="32"/>
        </w:rPr>
        <w:t>包括境内卖出回购、境内拆入资金、境外卖出回购、境外拆入资金。</w:t>
      </w:r>
    </w:p>
    <w:p w14:paraId="4497941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保户质押贷款]</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sz w:val="32"/>
          <w:szCs w:val="32"/>
          <w:lang w:eastAsia="zh-CN"/>
        </w:rPr>
        <w:t>指</w:t>
      </w:r>
      <w:r>
        <w:rPr>
          <w:rFonts w:hint="eastAsia" w:ascii="仿宋_GB2312" w:hAnsi="仿宋_GB2312" w:eastAsia="仿宋_GB2312" w:cs="仿宋_GB2312"/>
          <w:color w:val="auto"/>
          <w:sz w:val="32"/>
          <w:szCs w:val="32"/>
        </w:rPr>
        <w:t>投保人以其持有的具有现金价值的人寿保险保单作为质押物，向保险公司申请的一种短期贷款。</w:t>
      </w:r>
    </w:p>
    <w:p w14:paraId="1FF14F2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自用性不动产]</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sz w:val="32"/>
          <w:szCs w:val="32"/>
          <w:lang w:eastAsia="zh-CN"/>
        </w:rPr>
        <w:t>指保险机构为自身经营活动、行政管理或员工福利等目的而持有的房地产。</w:t>
      </w:r>
      <w:r>
        <w:rPr>
          <w:rFonts w:hint="eastAsia" w:ascii="仿宋_GB2312" w:hAnsi="仿宋_GB2312" w:eastAsia="仿宋_GB2312" w:cs="仿宋_GB2312"/>
          <w:color w:val="auto"/>
          <w:sz w:val="32"/>
          <w:szCs w:val="32"/>
        </w:rPr>
        <w:t>无需填报实现收益和综合收益。</w:t>
      </w:r>
    </w:p>
    <w:p w14:paraId="15FFCB7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投资资产合计]</w:t>
      </w:r>
      <w:r>
        <w:rPr>
          <w:rFonts w:hint="eastAsia" w:ascii="仿宋_GB2312" w:hAnsi="仿宋_GB2312" w:eastAsia="仿宋_GB2312" w:cs="仿宋_GB2312"/>
          <w:color w:val="auto"/>
          <w:sz w:val="32"/>
          <w:szCs w:val="32"/>
          <w:lang w:eastAsia="zh-CN"/>
        </w:rPr>
        <w:t>是汇总值，指保险机构投资的上述所有类型一级类型资产的合计值，</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投资资产合计]</w:t>
      </w:r>
      <w:r>
        <w:rPr>
          <w:rFonts w:hint="eastAsia" w:ascii="仿宋_GB2312" w:hAnsi="仿宋_GB2312" w:eastAsia="仿宋_GB2312" w:cs="仿宋_GB2312"/>
          <w:b/>
          <w:bCs/>
          <w:color w:val="auto"/>
          <w:sz w:val="32"/>
          <w:szCs w:val="32"/>
          <w:lang w:eastAsia="zh-CN"/>
        </w:rPr>
        <w:t>＝[银行存款]＋[债券]＋[基金]＋[股票]＋[私募股权投资基金]＋[股权（不含不动产项目公司股权）]＋[不动产（不含自用性不动产）]＋[金融产品]＋[大宗商品]＋[衍生产品工具]＋[买入返售资产]＋[拆出资金]＋[其他投资资产]</w:t>
      </w:r>
      <w:r>
        <w:rPr>
          <w:rFonts w:hint="eastAsia" w:ascii="仿宋_GB2312" w:hAnsi="仿宋_GB2312" w:eastAsia="仿宋_GB2312" w:cs="仿宋_GB2312"/>
          <w:color w:val="auto"/>
          <w:sz w:val="32"/>
          <w:szCs w:val="32"/>
        </w:rPr>
        <w:t>。</w:t>
      </w:r>
    </w:p>
    <w:p w14:paraId="201F9B5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资金运用余额]</w:t>
      </w:r>
      <w:r>
        <w:rPr>
          <w:rFonts w:hint="eastAsia" w:ascii="仿宋_GB2312" w:hAnsi="仿宋_GB2312" w:eastAsia="仿宋_GB2312" w:cs="仿宋_GB2312"/>
          <w:b w:val="0"/>
          <w:bCs w:val="0"/>
          <w:color w:val="auto"/>
          <w:sz w:val="32"/>
          <w:szCs w:val="32"/>
          <w:lang w:eastAsia="zh-CN"/>
        </w:rPr>
        <w:t>是汇总值，</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资金运用余额</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投资资产合计</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保户质押贷款</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w:t>
      </w:r>
    </w:p>
    <w:p w14:paraId="5FAF73F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资金运用</w:t>
      </w:r>
      <w:r>
        <w:rPr>
          <w:rFonts w:hint="eastAsia" w:ascii="仿宋_GB2312" w:hAnsi="仿宋_GB2312" w:eastAsia="仿宋_GB2312" w:cs="仿宋_GB2312"/>
          <w:b/>
          <w:bCs/>
          <w:color w:val="auto"/>
          <w:sz w:val="32"/>
          <w:szCs w:val="32"/>
        </w:rPr>
        <w:t>净额]</w:t>
      </w:r>
      <w:r>
        <w:rPr>
          <w:rFonts w:hint="eastAsia" w:ascii="仿宋_GB2312" w:hAnsi="仿宋_GB2312" w:eastAsia="仿宋_GB2312" w:cs="仿宋_GB2312"/>
          <w:b w:val="0"/>
          <w:bCs w:val="0"/>
          <w:color w:val="auto"/>
          <w:sz w:val="32"/>
          <w:szCs w:val="32"/>
          <w:lang w:eastAsia="zh-CN"/>
        </w:rPr>
        <w:t>是汇总值，</w:t>
      </w:r>
      <w:r>
        <w:rPr>
          <w:rFonts w:hint="eastAsia" w:ascii="仿宋_GB2312" w:hAnsi="仿宋_GB2312" w:eastAsia="仿宋_GB2312" w:cs="仿宋_GB2312"/>
          <w:b/>
          <w:bCs/>
          <w:color w:val="auto"/>
          <w:sz w:val="32"/>
          <w:szCs w:val="32"/>
          <w:lang w:val="en-US" w:eastAsia="zh-CN"/>
        </w:rPr>
        <w:t>[资金运用</w:t>
      </w:r>
      <w:r>
        <w:rPr>
          <w:rFonts w:hint="eastAsia" w:ascii="仿宋_GB2312" w:hAnsi="仿宋_GB2312" w:eastAsia="仿宋_GB2312" w:cs="仿宋_GB2312"/>
          <w:b/>
          <w:bCs/>
          <w:color w:val="auto"/>
          <w:sz w:val="32"/>
          <w:szCs w:val="32"/>
        </w:rPr>
        <w:t>净额</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资金运用余额</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卖出回购和拆入资金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w:t>
      </w:r>
    </w:p>
    <w:p w14:paraId="444F0149">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（二）境内外投资维度</w:t>
      </w:r>
    </w:p>
    <w:p w14:paraId="0B591427">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保险机构应</w:t>
      </w:r>
      <w:r>
        <w:rPr>
          <w:rFonts w:hint="eastAsia" w:ascii="仿宋_GB2312" w:hAnsi="仿宋_GB2312" w:eastAsia="仿宋_GB2312" w:cs="仿宋_GB2312"/>
          <w:color w:val="auto"/>
          <w:sz w:val="32"/>
          <w:szCs w:val="32"/>
          <w:lang w:eastAsia="zh-CN"/>
        </w:rPr>
        <w:t>根据投资所使用的资金是否跨境，首先</w:t>
      </w:r>
      <w:r>
        <w:rPr>
          <w:rFonts w:hint="eastAsia" w:ascii="仿宋_GB2312" w:hAnsi="仿宋_GB2312" w:eastAsia="仿宋_GB2312" w:cs="仿宋_GB2312"/>
          <w:color w:val="auto"/>
          <w:sz w:val="32"/>
          <w:szCs w:val="32"/>
        </w:rPr>
        <w:t>区分</w:t>
      </w:r>
      <w:r>
        <w:rPr>
          <w:rFonts w:hint="eastAsia" w:ascii="仿宋_GB2312" w:hAnsi="仿宋_GB2312" w:eastAsia="仿宋_GB2312" w:cs="仿宋_GB2312"/>
          <w:color w:val="auto"/>
          <w:sz w:val="32"/>
          <w:szCs w:val="32"/>
          <w:lang w:eastAsia="zh-CN"/>
        </w:rPr>
        <w:t>境内外投资。包括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境内投资</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跨境投资</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跨境投资]</w:t>
      </w:r>
      <w:r>
        <w:rPr>
          <w:rFonts w:hint="eastAsia" w:ascii="仿宋_GB2312" w:hAnsi="仿宋_GB2312" w:eastAsia="仿宋_GB2312" w:cs="仿宋_GB2312"/>
          <w:color w:val="auto"/>
          <w:sz w:val="32"/>
          <w:szCs w:val="32"/>
          <w:lang w:eastAsia="zh-CN"/>
        </w:rPr>
        <w:t>是指保险机构</w:t>
      </w:r>
      <w:r>
        <w:rPr>
          <w:rFonts w:hint="eastAsia" w:ascii="仿宋_GB2312" w:hAnsi="仿宋_GB2312" w:eastAsia="仿宋_GB2312" w:cs="仿宋_GB2312"/>
          <w:color w:val="auto"/>
          <w:sz w:val="32"/>
          <w:szCs w:val="32"/>
        </w:rPr>
        <w:t>使用自有外汇资金、用人民币购买的外汇资金等开展的投资</w:t>
      </w:r>
      <w:r>
        <w:rPr>
          <w:rFonts w:hint="eastAsia" w:ascii="仿宋_GB2312" w:hAnsi="仿宋_GB2312" w:eastAsia="仿宋_GB2312" w:cs="仿宋_GB2312"/>
          <w:color w:val="auto"/>
          <w:sz w:val="32"/>
          <w:szCs w:val="32"/>
          <w:lang w:eastAsia="zh-CN"/>
        </w:rPr>
        <w:t>。分类标准如下：（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kern w:val="2"/>
          <w:sz w:val="32"/>
          <w:szCs w:val="32"/>
          <w:highlight w:val="none"/>
          <w:lang w:val="en-US" w:eastAsia="zh-CN" w:bidi="ar-SA"/>
        </w:rPr>
        <w:t>对于通过SPV或项目公司开展的各种投资，应当剥离SPV或项目公司，以实际投向的资产确定其资金是否跨境。（2）</w:t>
      </w:r>
      <w:r>
        <w:rPr>
          <w:rFonts w:hint="eastAsia" w:ascii="仿宋_GB2312" w:hAnsi="仿宋_GB2312" w:eastAsia="仿宋_GB2312" w:cs="仿宋_GB2312"/>
          <w:color w:val="auto"/>
          <w:sz w:val="32"/>
          <w:szCs w:val="32"/>
          <w:lang w:eastAsia="zh-CN"/>
        </w:rPr>
        <w:t>保险机构投资的</w:t>
      </w:r>
      <w:r>
        <w:rPr>
          <w:rFonts w:hint="eastAsia" w:ascii="仿宋_GB2312" w:hAnsi="仿宋_GB2312" w:eastAsia="仿宋_GB2312" w:cs="仿宋_GB2312"/>
          <w:color w:val="auto"/>
          <w:sz w:val="32"/>
          <w:szCs w:val="32"/>
        </w:rPr>
        <w:t>中国财政部在境外市场发行的国债、境内金融机构发行的港股通基金、中国境内企业及其境外子公司在中国境外市场发行的境外债券</w:t>
      </w:r>
      <w:r>
        <w:rPr>
          <w:rFonts w:hint="eastAsia" w:ascii="仿宋_GB2312" w:hAnsi="仿宋_GB2312" w:eastAsia="仿宋_GB2312" w:cs="仿宋_GB2312"/>
          <w:color w:val="auto"/>
          <w:sz w:val="32"/>
          <w:szCs w:val="32"/>
          <w:lang w:eastAsia="zh-CN"/>
        </w:rPr>
        <w:t>，以及在</w:t>
      </w:r>
      <w:r>
        <w:rPr>
          <w:rFonts w:hint="eastAsia" w:ascii="仿宋_GB2312" w:hAnsi="仿宋_GB2312" w:eastAsia="仿宋_GB2312" w:cs="仿宋_GB2312"/>
          <w:color w:val="auto"/>
          <w:sz w:val="32"/>
          <w:szCs w:val="32"/>
        </w:rPr>
        <w:t>境外银行</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人民币存款等均属于跨境投资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保险机构在</w:t>
      </w:r>
      <w:r>
        <w:rPr>
          <w:rFonts w:hint="eastAsia" w:ascii="仿宋_GB2312" w:hAnsi="仿宋_GB2312" w:eastAsia="仿宋_GB2312" w:cs="仿宋_GB2312"/>
          <w:color w:val="auto"/>
          <w:sz w:val="32"/>
          <w:szCs w:val="32"/>
        </w:rPr>
        <w:t>境内银行</w:t>
      </w:r>
      <w:r>
        <w:rPr>
          <w:rFonts w:hint="eastAsia" w:ascii="仿宋_GB2312" w:hAnsi="仿宋_GB2312" w:eastAsia="仿宋_GB2312" w:cs="仿宋_GB2312"/>
          <w:color w:val="auto"/>
          <w:sz w:val="32"/>
          <w:szCs w:val="32"/>
          <w:lang w:eastAsia="zh-CN"/>
        </w:rPr>
        <w:t>机构开展</w:t>
      </w:r>
      <w:r>
        <w:rPr>
          <w:rFonts w:hint="eastAsia" w:ascii="仿宋_GB2312" w:hAnsi="仿宋_GB2312" w:eastAsia="仿宋_GB2312" w:cs="仿宋_GB2312"/>
          <w:color w:val="auto"/>
          <w:sz w:val="32"/>
          <w:szCs w:val="32"/>
        </w:rPr>
        <w:t>外币存款不属于跨境投资。根据跨境资金</w:t>
      </w:r>
      <w:r>
        <w:rPr>
          <w:rFonts w:hint="eastAsia" w:ascii="仿宋_GB2312" w:hAnsi="仿宋_GB2312" w:eastAsia="仿宋_GB2312" w:cs="仿宋_GB2312"/>
          <w:color w:val="auto"/>
          <w:sz w:val="32"/>
          <w:szCs w:val="32"/>
          <w:lang w:eastAsia="zh-CN"/>
        </w:rPr>
        <w:t>运用方式的</w:t>
      </w:r>
      <w:r>
        <w:rPr>
          <w:rFonts w:hint="eastAsia" w:ascii="仿宋_GB2312" w:hAnsi="仿宋_GB2312" w:eastAsia="仿宋_GB2312" w:cs="仿宋_GB2312"/>
          <w:color w:val="auto"/>
          <w:sz w:val="32"/>
          <w:szCs w:val="32"/>
        </w:rPr>
        <w:t>不同，</w:t>
      </w:r>
      <w:r>
        <w:rPr>
          <w:rFonts w:hint="eastAsia" w:ascii="仿宋_GB2312" w:hAnsi="仿宋_GB2312" w:eastAsia="仿宋_GB2312" w:cs="仿宋_GB2312"/>
          <w:b/>
          <w:bCs/>
          <w:color w:val="auto"/>
          <w:sz w:val="32"/>
          <w:szCs w:val="32"/>
          <w:lang w:val="en-US" w:eastAsia="zh-CN"/>
        </w:rPr>
        <w:t>[跨境投资]</w:t>
      </w:r>
      <w:r>
        <w:rPr>
          <w:rFonts w:hint="eastAsia" w:ascii="仿宋_GB2312" w:hAnsi="仿宋_GB2312" w:eastAsia="仿宋_GB2312" w:cs="仿宋_GB2312"/>
          <w:color w:val="auto"/>
          <w:sz w:val="32"/>
          <w:szCs w:val="32"/>
        </w:rPr>
        <w:t>分为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港股通]、</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合格境内机构投资者（QDII）]、</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对外直接投资（ODI）]、</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内保外贷]、</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南向通]、</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其他跨境资金获取渠道]</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val="en-US" w:eastAsia="zh-CN"/>
        </w:rPr>
        <w:t>若开展某项跨境投资同时使用了多种资金获取渠道的，分类标准如下：（1）能够明确拆分的，所有统计指标均按照</w:t>
      </w:r>
      <w:r>
        <w:rPr>
          <w:rFonts w:hint="eastAsia" w:ascii="仿宋_GB2312" w:hAnsi="仿宋_GB2312" w:eastAsia="仿宋_GB2312" w:cs="仿宋_GB2312"/>
          <w:b/>
          <w:bCs/>
          <w:color w:val="auto"/>
          <w:sz w:val="32"/>
          <w:szCs w:val="32"/>
          <w:lang w:val="en-US" w:eastAsia="zh-CN"/>
        </w:rPr>
        <w:t>[投资成本]</w:t>
      </w:r>
      <w:r>
        <w:rPr>
          <w:rFonts w:hint="eastAsia" w:ascii="仿宋_GB2312" w:hAnsi="仿宋_GB2312" w:eastAsia="仿宋_GB2312" w:cs="仿宋_GB2312"/>
          <w:b w:val="0"/>
          <w:bCs w:val="0"/>
          <w:color w:val="auto"/>
          <w:sz w:val="32"/>
          <w:szCs w:val="32"/>
          <w:lang w:val="en-US" w:eastAsia="zh-CN"/>
        </w:rPr>
        <w:t>拆分至对应应用方式；</w:t>
      </w:r>
      <w:r>
        <w:rPr>
          <w:rFonts w:hint="eastAsia" w:ascii="仿宋_GB2312" w:hAnsi="仿宋_GB2312" w:eastAsia="仿宋_GB2312" w:cs="仿宋_GB2312"/>
          <w:b/>
          <w:bCs/>
          <w:color w:val="auto"/>
          <w:sz w:val="32"/>
          <w:szCs w:val="32"/>
          <w:lang w:val="en-US" w:eastAsia="zh-CN"/>
        </w:rPr>
        <w:t>[投资成本]</w:t>
      </w:r>
      <w:r>
        <w:rPr>
          <w:rFonts w:hint="eastAsia" w:ascii="仿宋_GB2312" w:hAnsi="仿宋_GB2312" w:eastAsia="仿宋_GB2312" w:cs="仿宋_GB2312"/>
          <w:b w:val="0"/>
          <w:bCs w:val="0"/>
          <w:color w:val="auto"/>
          <w:sz w:val="32"/>
          <w:szCs w:val="32"/>
          <w:lang w:val="en-US" w:eastAsia="zh-CN"/>
        </w:rPr>
        <w:t>无法拆分的，可按照</w:t>
      </w:r>
      <w:r>
        <w:rPr>
          <w:rFonts w:hint="eastAsia" w:ascii="仿宋_GB2312" w:hAnsi="仿宋_GB2312" w:eastAsia="仿宋_GB2312" w:cs="仿宋_GB2312"/>
          <w:b/>
          <w:bCs/>
          <w:color w:val="auto"/>
          <w:sz w:val="32"/>
          <w:szCs w:val="32"/>
          <w:lang w:val="en-US" w:eastAsia="zh-CN"/>
        </w:rPr>
        <w:t>[账面价值]</w:t>
      </w:r>
      <w:r>
        <w:rPr>
          <w:rFonts w:hint="eastAsia" w:ascii="仿宋_GB2312" w:hAnsi="仿宋_GB2312" w:eastAsia="仿宋_GB2312" w:cs="仿宋_GB2312"/>
          <w:b w:val="0"/>
          <w:bCs w:val="0"/>
          <w:color w:val="auto"/>
          <w:sz w:val="32"/>
          <w:szCs w:val="32"/>
          <w:lang w:val="en-US" w:eastAsia="zh-CN"/>
        </w:rPr>
        <w:t>进行拆分。（2）无法明确拆分的，全部计入主要跨境资金运用方式。</w:t>
      </w:r>
    </w:p>
    <w:p w14:paraId="5760876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[境内投资]</w:t>
      </w:r>
      <w:r>
        <w:rPr>
          <w:rFonts w:hint="eastAsia" w:ascii="仿宋_GB2312" w:hAnsi="仿宋_GB2312" w:eastAsia="仿宋_GB2312" w:cs="仿宋_GB2312"/>
          <w:b w:val="0"/>
          <w:bCs w:val="0"/>
          <w:color w:val="auto"/>
          <w:sz w:val="32"/>
          <w:szCs w:val="32"/>
          <w:lang w:val="en-US" w:eastAsia="zh-CN"/>
        </w:rPr>
        <w:t>是指除</w:t>
      </w:r>
      <w:r>
        <w:rPr>
          <w:rFonts w:hint="eastAsia" w:ascii="仿宋_GB2312" w:hAnsi="仿宋_GB2312" w:eastAsia="仿宋_GB2312" w:cs="仿宋_GB2312"/>
          <w:b/>
          <w:bCs/>
          <w:color w:val="auto"/>
          <w:sz w:val="32"/>
          <w:szCs w:val="32"/>
          <w:lang w:val="en-US" w:eastAsia="zh-CN"/>
        </w:rPr>
        <w:t>[跨境投资]</w:t>
      </w:r>
      <w:r>
        <w:rPr>
          <w:rFonts w:hint="eastAsia" w:ascii="仿宋_GB2312" w:hAnsi="仿宋_GB2312" w:eastAsia="仿宋_GB2312" w:cs="仿宋_GB2312"/>
          <w:b w:val="0"/>
          <w:bCs w:val="0"/>
          <w:color w:val="auto"/>
          <w:sz w:val="32"/>
          <w:szCs w:val="32"/>
          <w:lang w:val="en-US" w:eastAsia="zh-CN"/>
        </w:rPr>
        <w:t>以外的所有投资。</w:t>
      </w:r>
    </w:p>
    <w:p w14:paraId="5FB3D163">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（三）地区维度</w:t>
      </w:r>
    </w:p>
    <w:p w14:paraId="421BE8D7">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需要统计地区维度的资产范围包括：</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银行存款</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[债券]</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股票</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股权（不含不动产项目公司股权）</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、[基金（不含私募股权投资基金、公募REITs）]</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[私募证券投资基金]</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不动产（不含自用性不动产）</w:t>
      </w:r>
      <w:r>
        <w:rPr>
          <w:rFonts w:hint="eastAsia" w:ascii="仿宋_GB2312" w:hAnsi="仿宋_GB2312" w:eastAsia="仿宋_GB2312" w:cs="仿宋_GB2312"/>
          <w:b/>
          <w:bCs/>
          <w:color w:val="auto"/>
          <w:sz w:val="32"/>
          <w:szCs w:val="32"/>
          <w:highlight w:val="none"/>
          <w:lang w:val="en-US" w:eastAsia="zh-CN"/>
        </w:rPr>
        <w:t>]和[</w:t>
      </w:r>
      <w:r>
        <w:rPr>
          <w:rFonts w:hint="eastAsia" w:ascii="仿宋_GB2312" w:hAnsi="仿宋_GB2312" w:eastAsia="仿宋_GB2312" w:cs="仿宋_GB2312"/>
          <w:b/>
          <w:bCs/>
          <w:color w:val="auto"/>
          <w:sz w:val="32"/>
          <w:szCs w:val="32"/>
          <w:highlight w:val="none"/>
        </w:rPr>
        <w:t>金融产品</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lang w:eastAsia="zh-CN"/>
        </w:rPr>
        <w:t>等。其中，</w:t>
      </w:r>
      <w:r>
        <w:rPr>
          <w:rFonts w:hint="eastAsia" w:ascii="仿宋_GB2312" w:hAnsi="仿宋_GB2312" w:eastAsia="仿宋_GB2312" w:cs="仿宋_GB2312"/>
          <w:b/>
          <w:bCs/>
          <w:color w:val="auto"/>
          <w:sz w:val="32"/>
          <w:szCs w:val="32"/>
          <w:lang w:val="en-US" w:eastAsia="zh-CN"/>
        </w:rPr>
        <w:t>[境内投资]</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b/>
          <w:bCs/>
          <w:color w:val="auto"/>
          <w:sz w:val="32"/>
          <w:szCs w:val="32"/>
          <w:lang w:val="en-US" w:eastAsia="zh-CN"/>
        </w:rPr>
        <w:t>[国债]</w:t>
      </w:r>
      <w:r>
        <w:rPr>
          <w:rFonts w:hint="eastAsia" w:ascii="仿宋_GB2312" w:hAnsi="仿宋_GB2312" w:eastAsia="仿宋_GB2312" w:cs="仿宋_GB2312"/>
          <w:color w:val="auto"/>
          <w:sz w:val="32"/>
          <w:szCs w:val="32"/>
          <w:lang w:val="en-US" w:eastAsia="zh-CN"/>
        </w:rPr>
        <w:t>，以及上述资产以外的</w:t>
      </w:r>
      <w:r>
        <w:rPr>
          <w:rFonts w:hint="eastAsia" w:ascii="仿宋_GB2312" w:hAnsi="仿宋_GB2312" w:eastAsia="仿宋_GB2312" w:cs="仿宋_GB2312"/>
          <w:color w:val="auto"/>
          <w:sz w:val="32"/>
          <w:szCs w:val="32"/>
          <w:lang w:eastAsia="zh-CN"/>
        </w:rPr>
        <w:t>其他类型资产暂不适用。</w:t>
      </w:r>
    </w:p>
    <w:p w14:paraId="3230A852">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境内投资</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eastAsia="zh-CN"/>
        </w:rPr>
        <w:t>的地区维度具体到省级行政区和计划单列市，包括</w:t>
      </w:r>
      <w:r>
        <w:rPr>
          <w:rFonts w:hint="eastAsia" w:ascii="仿宋_GB2312" w:hAnsi="仿宋_GB2312" w:eastAsia="仿宋_GB2312" w:cs="仿宋_GB2312"/>
          <w:b/>
          <w:bCs/>
          <w:color w:val="auto"/>
          <w:sz w:val="32"/>
          <w:szCs w:val="32"/>
          <w:lang w:val="en-US" w:eastAsia="zh-CN"/>
        </w:rPr>
        <w:t>[安徽省]</w:t>
      </w:r>
      <w:r>
        <w:rPr>
          <w:rFonts w:hint="eastAsia" w:ascii="仿宋_GB2312" w:hAnsi="仿宋_GB2312" w:eastAsia="仿宋_GB2312" w:cs="仿宋_GB2312"/>
          <w:b w:val="0"/>
          <w:bCs w:val="0"/>
          <w:color w:val="auto"/>
          <w:sz w:val="32"/>
          <w:szCs w:val="32"/>
          <w:lang w:val="en-US" w:eastAsia="zh-CN"/>
        </w:rPr>
        <w:t>等22个省、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北京市</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等4个直辖市、</w:t>
      </w:r>
      <w:r>
        <w:rPr>
          <w:rFonts w:hint="eastAsia" w:ascii="仿宋_GB2312" w:hAnsi="仿宋_GB2312" w:eastAsia="仿宋_GB2312" w:cs="仿宋_GB2312"/>
          <w:b/>
          <w:bCs/>
          <w:color w:val="auto"/>
          <w:sz w:val="32"/>
          <w:szCs w:val="32"/>
          <w:lang w:val="en-US" w:eastAsia="zh-CN"/>
        </w:rPr>
        <w:t>[内蒙古自治区]</w:t>
      </w:r>
      <w:r>
        <w:rPr>
          <w:rFonts w:hint="eastAsia" w:ascii="仿宋_GB2312" w:hAnsi="仿宋_GB2312" w:eastAsia="仿宋_GB2312" w:cs="仿宋_GB2312"/>
          <w:b w:val="0"/>
          <w:bCs w:val="0"/>
          <w:color w:val="auto"/>
          <w:sz w:val="32"/>
          <w:szCs w:val="32"/>
          <w:lang w:val="en-US" w:eastAsia="zh-CN"/>
        </w:rPr>
        <w:t>等5个自治区，</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b/>
          <w:bCs/>
          <w:color w:val="auto"/>
          <w:sz w:val="32"/>
          <w:szCs w:val="32"/>
          <w:lang w:val="en-US" w:eastAsia="zh-CN"/>
        </w:rPr>
        <w:t>[辽宁省大连市]、[山东省青岛市]、[广东省深圳市]、[福建省厦门市]、[浙江省宁波市]</w:t>
      </w:r>
      <w:r>
        <w:rPr>
          <w:rFonts w:hint="eastAsia" w:ascii="仿宋_GB2312" w:hAnsi="仿宋_GB2312" w:eastAsia="仿宋_GB2312" w:cs="仿宋_GB2312"/>
          <w:b w:val="0"/>
          <w:bCs w:val="0"/>
          <w:color w:val="auto"/>
          <w:sz w:val="32"/>
          <w:szCs w:val="32"/>
          <w:lang w:val="en-US" w:eastAsia="zh-CN"/>
        </w:rPr>
        <w:t>等5个计划单列市，其中，计入计划单列市的投资，不再重复计入计划单列市所属省级行政区</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b/>
          <w:bCs/>
          <w:color w:val="auto"/>
          <w:sz w:val="32"/>
          <w:szCs w:val="32"/>
          <w:lang w:val="en-US" w:eastAsia="zh-CN"/>
        </w:rPr>
        <w:t>[中国香港]、[中国澳门]、[中国台湾]</w:t>
      </w:r>
      <w:r>
        <w:rPr>
          <w:rFonts w:hint="eastAsia" w:ascii="仿宋_GB2312" w:hAnsi="仿宋_GB2312" w:eastAsia="仿宋_GB2312" w:cs="仿宋_GB2312"/>
          <w:color w:val="auto"/>
          <w:sz w:val="32"/>
          <w:szCs w:val="32"/>
          <w:lang w:val="en-US" w:eastAsia="zh-CN"/>
        </w:rPr>
        <w:t>等地区的投资属于跨境投资，不在境内投资中列示。</w:t>
      </w:r>
    </w:p>
    <w:p w14:paraId="55997A8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跨境投资</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eastAsia="zh-CN"/>
        </w:rPr>
        <w:t>的地区维度具体到国家（地区），包括</w:t>
      </w:r>
      <w:r>
        <w:rPr>
          <w:rFonts w:hint="eastAsia" w:ascii="仿宋_GB2312" w:hAnsi="仿宋_GB2312" w:eastAsia="仿宋_GB2312" w:cs="仿宋_GB2312"/>
          <w:b/>
          <w:bCs/>
          <w:color w:val="auto"/>
          <w:sz w:val="32"/>
          <w:szCs w:val="32"/>
          <w:lang w:val="en-US" w:eastAsia="zh-CN"/>
        </w:rPr>
        <w:t>[中国香港]、[中国澳门]、[中国台湾]</w:t>
      </w:r>
      <w:r>
        <w:rPr>
          <w:rFonts w:hint="eastAsia" w:ascii="仿宋_GB2312" w:hAnsi="仿宋_GB2312" w:eastAsia="仿宋_GB2312" w:cs="仿宋_GB2312"/>
          <w:color w:val="auto"/>
          <w:sz w:val="32"/>
          <w:szCs w:val="32"/>
          <w:lang w:val="en-US" w:eastAsia="zh-CN"/>
        </w:rPr>
        <w:t>等地区，以及</w:t>
      </w:r>
      <w:r>
        <w:rPr>
          <w:rFonts w:hint="eastAsia" w:ascii="仿宋_GB2312" w:hAnsi="仿宋_GB2312" w:eastAsia="仿宋_GB2312" w:cs="仿宋_GB2312"/>
          <w:b/>
          <w:bCs/>
          <w:color w:val="auto"/>
          <w:sz w:val="32"/>
          <w:szCs w:val="32"/>
          <w:lang w:val="en-US" w:eastAsia="zh-CN"/>
        </w:rPr>
        <w:t>[美国]、[英国（不含英属海外领地）]、[英属海外领地]、[德国]、[法国]、[卢森堡]、[瑞士]、[日本]、[韩国]、[新加坡]、[澳大利亚]、[加拿大]、[新西兰]、[俄罗斯]、[其他国家（地区）]</w:t>
      </w:r>
      <w:r>
        <w:rPr>
          <w:rFonts w:hint="eastAsia" w:ascii="仿宋_GB2312" w:hAnsi="仿宋_GB2312" w:eastAsia="仿宋_GB2312" w:cs="仿宋_GB2312"/>
          <w:color w:val="auto"/>
          <w:sz w:val="32"/>
          <w:szCs w:val="32"/>
          <w:lang w:val="en-US" w:eastAsia="zh-CN"/>
        </w:rPr>
        <w:t>等国家（地区）。</w:t>
      </w:r>
      <w:r>
        <w:rPr>
          <w:rFonts w:hint="eastAsia" w:ascii="仿宋_GB2312" w:hAnsi="仿宋_GB2312" w:eastAsia="仿宋_GB2312" w:cs="仿宋_GB2312"/>
          <w:b w:val="0"/>
          <w:bCs w:val="0"/>
          <w:color w:val="auto"/>
          <w:kern w:val="2"/>
          <w:sz w:val="32"/>
          <w:szCs w:val="32"/>
          <w:highlight w:val="none"/>
          <w:lang w:val="en-US" w:eastAsia="zh-CN" w:bidi="ar-SA"/>
        </w:rPr>
        <w:t>对于通过SPV或项目公司开展的跨境投资，剥离SPV或项目公司后实际投向多个国家（地区）的，具体分类标准如下：</w:t>
      </w:r>
      <w:r>
        <w:rPr>
          <w:rFonts w:hint="eastAsia" w:ascii="仿宋_GB2312" w:hAnsi="仿宋_GB2312" w:eastAsia="仿宋_GB2312" w:cs="仿宋_GB2312"/>
          <w:color w:val="auto"/>
          <w:sz w:val="32"/>
          <w:szCs w:val="32"/>
          <w:highlight w:val="none"/>
        </w:rPr>
        <w:t>（1）能够明确拆分的，所有统计指标均按照</w:t>
      </w:r>
      <w:r>
        <w:rPr>
          <w:rFonts w:hint="eastAsia" w:ascii="仿宋_GB2312" w:hAnsi="仿宋_GB2312" w:eastAsia="仿宋_GB2312" w:cs="仿宋_GB2312"/>
          <w:b/>
          <w:bCs/>
          <w:color w:val="auto"/>
          <w:sz w:val="32"/>
          <w:szCs w:val="32"/>
          <w:highlight w:val="none"/>
        </w:rPr>
        <w:t>[投资成本]</w:t>
      </w:r>
      <w:r>
        <w:rPr>
          <w:rFonts w:hint="eastAsia" w:ascii="仿宋_GB2312" w:hAnsi="仿宋_GB2312" w:eastAsia="仿宋_GB2312" w:cs="仿宋_GB2312"/>
          <w:color w:val="auto"/>
          <w:sz w:val="32"/>
          <w:szCs w:val="32"/>
          <w:highlight w:val="none"/>
        </w:rPr>
        <w:t>拆分至对应</w:t>
      </w:r>
      <w:r>
        <w:rPr>
          <w:rFonts w:hint="eastAsia" w:ascii="仿宋_GB2312" w:hAnsi="仿宋_GB2312" w:eastAsia="仿宋_GB2312" w:cs="仿宋_GB2312"/>
          <w:color w:val="auto"/>
          <w:sz w:val="32"/>
          <w:szCs w:val="32"/>
          <w:highlight w:val="none"/>
          <w:lang w:eastAsia="zh-CN"/>
        </w:rPr>
        <w:t>国家（地区）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[投资成本]</w:t>
      </w:r>
      <w:r>
        <w:rPr>
          <w:rFonts w:hint="eastAsia" w:ascii="仿宋_GB2312" w:hAnsi="仿宋_GB2312" w:eastAsia="仿宋_GB2312" w:cs="仿宋_GB2312"/>
          <w:color w:val="auto"/>
          <w:sz w:val="32"/>
          <w:szCs w:val="32"/>
          <w:highlight w:val="none"/>
        </w:rPr>
        <w:t>无法拆分的，可按照</w:t>
      </w:r>
      <w:r>
        <w:rPr>
          <w:rFonts w:hint="eastAsia" w:ascii="仿宋_GB2312" w:hAnsi="仿宋_GB2312" w:eastAsia="仿宋_GB2312" w:cs="仿宋_GB2312"/>
          <w:b/>
          <w:bCs/>
          <w:color w:val="auto"/>
          <w:sz w:val="32"/>
          <w:szCs w:val="32"/>
          <w:highlight w:val="none"/>
        </w:rPr>
        <w:t>[账面价值]</w:t>
      </w:r>
      <w:r>
        <w:rPr>
          <w:rFonts w:hint="eastAsia" w:ascii="仿宋_GB2312" w:hAnsi="仿宋_GB2312" w:eastAsia="仿宋_GB2312" w:cs="仿宋_GB2312"/>
          <w:color w:val="auto"/>
          <w:sz w:val="32"/>
          <w:szCs w:val="32"/>
          <w:highlight w:val="none"/>
        </w:rPr>
        <w:t>进行拆分。（2）无法明确拆分的，全部计入主要</w:t>
      </w:r>
      <w:r>
        <w:rPr>
          <w:rFonts w:hint="eastAsia" w:ascii="仿宋_GB2312" w:hAnsi="仿宋_GB2312" w:eastAsia="仿宋_GB2312" w:cs="仿宋_GB2312"/>
          <w:color w:val="auto"/>
          <w:sz w:val="32"/>
          <w:szCs w:val="32"/>
          <w:highlight w:val="none"/>
          <w:lang w:eastAsia="zh-CN"/>
        </w:rPr>
        <w:t>投向国家（地区）</w:t>
      </w:r>
      <w:r>
        <w:rPr>
          <w:rFonts w:hint="eastAsia" w:ascii="仿宋_GB2312" w:hAnsi="仿宋_GB2312" w:eastAsia="仿宋_GB2312" w:cs="仿宋_GB2312"/>
          <w:color w:val="auto"/>
          <w:sz w:val="32"/>
          <w:szCs w:val="32"/>
          <w:highlight w:val="none"/>
        </w:rPr>
        <w:t>。</w:t>
      </w:r>
    </w:p>
    <w:p w14:paraId="4433AA94">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（1）[境内投资]的分类标准</w:t>
      </w:r>
    </w:p>
    <w:p w14:paraId="6999B88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银行存款</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按照存款银行所在</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确定</w:t>
      </w:r>
      <w:r>
        <w:rPr>
          <w:rFonts w:hint="eastAsia" w:ascii="仿宋_GB2312" w:hAnsi="仿宋_GB2312" w:eastAsia="仿宋_GB2312" w:cs="仿宋_GB2312"/>
          <w:color w:val="auto"/>
          <w:sz w:val="32"/>
          <w:szCs w:val="32"/>
          <w:lang w:eastAsia="zh-CN"/>
        </w:rPr>
        <w:t>。</w:t>
      </w:r>
    </w:p>
    <w:p w14:paraId="695324A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[地方政府债]</w:t>
      </w:r>
      <w:r>
        <w:rPr>
          <w:rFonts w:hint="eastAsia" w:ascii="仿宋_GB2312" w:hAnsi="仿宋_GB2312" w:eastAsia="仿宋_GB2312" w:cs="仿宋_GB2312"/>
          <w:color w:val="auto"/>
          <w:sz w:val="32"/>
          <w:szCs w:val="32"/>
        </w:rPr>
        <w:t>按照发行政府</w:t>
      </w:r>
      <w:r>
        <w:rPr>
          <w:rFonts w:hint="eastAsia" w:ascii="仿宋_GB2312" w:hAnsi="仿宋_GB2312" w:eastAsia="仿宋_GB2312" w:cs="仿宋_GB2312"/>
          <w:color w:val="auto"/>
          <w:sz w:val="32"/>
          <w:szCs w:val="32"/>
          <w:lang w:eastAsia="zh-CN"/>
        </w:rPr>
        <w:t>所在地</w:t>
      </w:r>
      <w:r>
        <w:rPr>
          <w:rFonts w:hint="eastAsia" w:ascii="仿宋_GB2312" w:hAnsi="仿宋_GB2312" w:eastAsia="仿宋_GB2312" w:cs="仿宋_GB2312"/>
          <w:color w:val="auto"/>
          <w:sz w:val="32"/>
          <w:szCs w:val="32"/>
        </w:rPr>
        <w:t>确定</w:t>
      </w:r>
      <w:r>
        <w:rPr>
          <w:rFonts w:hint="eastAsia" w:ascii="仿宋_GB2312" w:hAnsi="仿宋_GB2312" w:eastAsia="仿宋_GB2312" w:cs="仿宋_GB2312"/>
          <w:color w:val="auto"/>
          <w:sz w:val="32"/>
          <w:szCs w:val="32"/>
          <w:lang w:eastAsia="zh-CN"/>
        </w:rPr>
        <w:t>。</w:t>
      </w:r>
    </w:p>
    <w:p w14:paraId="4147EC7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政府支持机构债券</w:t>
      </w:r>
      <w:r>
        <w:rPr>
          <w:rFonts w:hint="eastAsia" w:ascii="仿宋_GB2312" w:hAnsi="仿宋_GB2312" w:eastAsia="仿宋_GB2312" w:cs="仿宋_GB2312"/>
          <w:b/>
          <w:bCs/>
          <w:color w:val="auto"/>
          <w:sz w:val="32"/>
          <w:szCs w:val="32"/>
          <w:lang w:val="en-US" w:eastAsia="zh-CN"/>
        </w:rPr>
        <w:t>]、[金融债券]、[企业债券]</w:t>
      </w:r>
      <w:r>
        <w:rPr>
          <w:rFonts w:hint="eastAsia" w:ascii="仿宋_GB2312" w:hAnsi="仿宋_GB2312" w:eastAsia="仿宋_GB2312" w:cs="仿宋_GB2312"/>
          <w:color w:val="auto"/>
          <w:sz w:val="32"/>
          <w:szCs w:val="32"/>
          <w:lang w:eastAsia="zh-CN"/>
        </w:rPr>
        <w:t>等债券</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债券</w:t>
      </w:r>
      <w:r>
        <w:rPr>
          <w:rFonts w:hint="eastAsia" w:ascii="仿宋_GB2312" w:hAnsi="仿宋_GB2312" w:eastAsia="仿宋_GB2312" w:cs="仿宋_GB2312"/>
          <w:color w:val="auto"/>
          <w:sz w:val="32"/>
          <w:szCs w:val="32"/>
        </w:rPr>
        <w:t>发行人注册地确定</w:t>
      </w:r>
      <w:r>
        <w:rPr>
          <w:rFonts w:hint="eastAsia" w:ascii="仿宋_GB2312" w:hAnsi="仿宋_GB2312" w:eastAsia="仿宋_GB2312" w:cs="仿宋_GB2312"/>
          <w:color w:val="auto"/>
          <w:sz w:val="32"/>
          <w:szCs w:val="32"/>
          <w:lang w:eastAsia="zh-CN"/>
        </w:rPr>
        <w:t>。</w:t>
      </w:r>
    </w:p>
    <w:p w14:paraId="639D4186">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股票</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未上市企业股权</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按照发行人或者融资人注册地确定</w:t>
      </w:r>
      <w:r>
        <w:rPr>
          <w:rFonts w:hint="eastAsia" w:ascii="仿宋_GB2312" w:hAnsi="仿宋_GB2312" w:eastAsia="仿宋_GB2312" w:cs="仿宋_GB2312"/>
          <w:color w:val="auto"/>
          <w:sz w:val="32"/>
          <w:szCs w:val="32"/>
          <w:lang w:eastAsia="zh-CN"/>
        </w:rPr>
        <w:t>。</w:t>
      </w:r>
    </w:p>
    <w:p w14:paraId="3C8A90E6">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[基金（不含私募股权投资基金、公募REITs）]、[</w:t>
      </w:r>
      <w:r>
        <w:rPr>
          <w:rFonts w:hint="eastAsia" w:ascii="仿宋_GB2312" w:hAnsi="仿宋_GB2312" w:eastAsia="仿宋_GB2312" w:cs="仿宋_GB2312"/>
          <w:b/>
          <w:bCs/>
          <w:color w:val="auto"/>
          <w:sz w:val="32"/>
          <w:szCs w:val="32"/>
        </w:rPr>
        <w:t>私募股权投资基金（不含创投基金）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创投基金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其他股权</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按照基金管理人或者产品发行人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注册地确定</w:t>
      </w:r>
      <w:r>
        <w:rPr>
          <w:rFonts w:hint="eastAsia" w:ascii="仿宋_GB2312" w:hAnsi="仿宋_GB2312" w:eastAsia="仿宋_GB2312" w:cs="仿宋_GB2312"/>
          <w:color w:val="auto"/>
          <w:sz w:val="32"/>
          <w:szCs w:val="32"/>
          <w:lang w:eastAsia="zh-CN"/>
        </w:rPr>
        <w:t>。</w:t>
      </w:r>
    </w:p>
    <w:p w14:paraId="7F1C35D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金融产品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按照产品发行人注册地确定</w:t>
      </w:r>
      <w:r>
        <w:rPr>
          <w:rFonts w:hint="eastAsia" w:ascii="仿宋_GB2312" w:hAnsi="仿宋_GB2312" w:eastAsia="仿宋_GB2312" w:cs="仿宋_GB2312"/>
          <w:color w:val="auto"/>
          <w:sz w:val="32"/>
          <w:szCs w:val="32"/>
          <w:lang w:eastAsia="zh-CN"/>
        </w:rPr>
        <w:t>。</w:t>
      </w:r>
    </w:p>
    <w:p w14:paraId="15177F7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直接物权形式投资的不动产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按照不动产坐落地确定</w:t>
      </w:r>
      <w:r>
        <w:rPr>
          <w:rFonts w:hint="eastAsia" w:ascii="仿宋_GB2312" w:hAnsi="仿宋_GB2312" w:eastAsia="仿宋_GB2312" w:cs="仿宋_GB2312"/>
          <w:color w:val="auto"/>
          <w:sz w:val="32"/>
          <w:szCs w:val="32"/>
          <w:lang w:eastAsia="zh-CN"/>
        </w:rPr>
        <w:t>。</w:t>
      </w:r>
    </w:p>
    <w:p w14:paraId="0EF2D10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以项目公司股权形式投资的不动产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向不动产项目公司提供的股东借款</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按照项目公司注册地确定</w:t>
      </w:r>
      <w:r>
        <w:rPr>
          <w:rFonts w:hint="eastAsia" w:ascii="仿宋_GB2312" w:hAnsi="仿宋_GB2312" w:eastAsia="仿宋_GB2312" w:cs="仿宋_GB2312"/>
          <w:color w:val="auto"/>
          <w:sz w:val="32"/>
          <w:szCs w:val="32"/>
          <w:lang w:val="en-US" w:eastAsia="zh-CN"/>
        </w:rPr>
        <w:t>。</w:t>
      </w:r>
    </w:p>
    <w:p w14:paraId="2C6355B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通过私募股权投资基金投向不动产项目公司股权形式投资的不动产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rPr>
        <w:t>按照基金管理人注册地确定。</w:t>
      </w:r>
    </w:p>
    <w:p w14:paraId="1A07F3B0">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（2）[跨境投资]的分类标准</w:t>
      </w:r>
    </w:p>
    <w:p w14:paraId="31EA39E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[国债]</w:t>
      </w:r>
      <w:r>
        <w:rPr>
          <w:rFonts w:hint="eastAsia" w:ascii="仿宋_GB2312" w:hAnsi="仿宋_GB2312" w:eastAsia="仿宋_GB2312" w:cs="仿宋_GB2312"/>
          <w:color w:val="auto"/>
          <w:sz w:val="32"/>
          <w:szCs w:val="32"/>
        </w:rPr>
        <w:t>按照发行政府</w:t>
      </w:r>
      <w:r>
        <w:rPr>
          <w:rFonts w:hint="eastAsia" w:ascii="仿宋_GB2312" w:hAnsi="仿宋_GB2312" w:eastAsia="仿宋_GB2312" w:cs="仿宋_GB2312"/>
          <w:color w:val="auto"/>
          <w:sz w:val="32"/>
          <w:szCs w:val="32"/>
          <w:lang w:eastAsia="zh-CN"/>
        </w:rPr>
        <w:t>所在地</w:t>
      </w:r>
      <w:r>
        <w:rPr>
          <w:rFonts w:hint="eastAsia" w:ascii="仿宋_GB2312" w:hAnsi="仿宋_GB2312" w:eastAsia="仿宋_GB2312" w:cs="仿宋_GB2312"/>
          <w:color w:val="auto"/>
          <w:sz w:val="32"/>
          <w:szCs w:val="32"/>
        </w:rPr>
        <w:t>确定</w:t>
      </w:r>
      <w:r>
        <w:rPr>
          <w:rFonts w:hint="eastAsia" w:ascii="仿宋_GB2312" w:hAnsi="仿宋_GB2312" w:eastAsia="仿宋_GB2312" w:cs="仿宋_GB2312"/>
          <w:color w:val="auto"/>
          <w:sz w:val="32"/>
          <w:szCs w:val="32"/>
          <w:lang w:eastAsia="zh-CN"/>
        </w:rPr>
        <w:t>。</w:t>
      </w:r>
    </w:p>
    <w:p w14:paraId="7F975D9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股票</w:t>
      </w:r>
      <w:r>
        <w:rPr>
          <w:rFonts w:hint="eastAsia" w:ascii="仿宋_GB2312" w:hAnsi="仿宋_GB2312" w:eastAsia="仿宋_GB2312" w:cs="仿宋_GB2312"/>
          <w:b/>
          <w:bCs/>
          <w:color w:val="auto"/>
          <w:sz w:val="32"/>
          <w:szCs w:val="32"/>
          <w:lang w:val="en-US" w:eastAsia="zh-CN"/>
        </w:rPr>
        <w:t>]（不含按照长期股权投资核算的）、[基金（不含私募股权投资基金、公募REITs）]</w:t>
      </w:r>
      <w:r>
        <w:rPr>
          <w:rFonts w:hint="eastAsia" w:ascii="仿宋_GB2312" w:hAnsi="仿宋_GB2312" w:eastAsia="仿宋_GB2312" w:cs="仿宋_GB2312"/>
          <w:color w:val="auto"/>
          <w:sz w:val="32"/>
          <w:szCs w:val="32"/>
        </w:rPr>
        <w:t>按照交易场所所在地确定</w:t>
      </w:r>
      <w:r>
        <w:rPr>
          <w:rFonts w:hint="eastAsia" w:ascii="仿宋_GB2312" w:hAnsi="仿宋_GB2312" w:eastAsia="仿宋_GB2312" w:cs="仿宋_GB2312"/>
          <w:color w:val="auto"/>
          <w:sz w:val="32"/>
          <w:szCs w:val="32"/>
          <w:lang w:eastAsia="zh-CN"/>
        </w:rPr>
        <w:t>。</w:t>
      </w:r>
    </w:p>
    <w:p w14:paraId="3EF54BE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[股票]（按照长期股权投资核算）、[未上市企业股权]</w:t>
      </w:r>
      <w:r>
        <w:rPr>
          <w:rFonts w:hint="eastAsia" w:ascii="仿宋_GB2312" w:hAnsi="仿宋_GB2312" w:eastAsia="仿宋_GB2312" w:cs="仿宋_GB2312"/>
          <w:b w:val="0"/>
          <w:bCs w:val="0"/>
          <w:color w:val="auto"/>
          <w:sz w:val="32"/>
          <w:szCs w:val="32"/>
          <w:lang w:val="en-US" w:eastAsia="zh-CN"/>
        </w:rPr>
        <w:t>按照发行人或者融资人注册地确定。</w:t>
      </w:r>
    </w:p>
    <w:p w14:paraId="0794C86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银行存款</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政府支持机构债券</w:t>
      </w:r>
      <w:r>
        <w:rPr>
          <w:rFonts w:hint="eastAsia" w:ascii="仿宋_GB2312" w:hAnsi="仿宋_GB2312" w:eastAsia="仿宋_GB2312" w:cs="仿宋_GB2312"/>
          <w:b/>
          <w:bCs/>
          <w:color w:val="auto"/>
          <w:sz w:val="32"/>
          <w:szCs w:val="32"/>
          <w:lang w:val="en-US" w:eastAsia="zh-CN"/>
        </w:rPr>
        <w:t>]、[金融债券]、[企业债券]、[</w:t>
      </w:r>
      <w:r>
        <w:rPr>
          <w:rFonts w:hint="eastAsia" w:ascii="仿宋_GB2312" w:hAnsi="仿宋_GB2312" w:eastAsia="仿宋_GB2312" w:cs="仿宋_GB2312"/>
          <w:b/>
          <w:bCs/>
          <w:color w:val="auto"/>
          <w:sz w:val="32"/>
          <w:szCs w:val="32"/>
        </w:rPr>
        <w:t>私募股权投资基金（不含创投基金）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创投基金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其他股权</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直接物权形式投资的不动产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以项目公司股权形式投资的不动产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向不动产项目公司提供的股东借款</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通过私募股权投资基金投向不动产项目公司股权形式投资的不动产</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境内投资的地区分类标准确定。</w:t>
      </w:r>
    </w:p>
    <w:p w14:paraId="4E277A8B">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（四）投资币种维度</w:t>
      </w:r>
    </w:p>
    <w:p w14:paraId="0211ABD1">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保险机构应明确每项投资资产的主要投资币种。包括</w:t>
      </w:r>
      <w:r>
        <w:rPr>
          <w:rFonts w:hint="eastAsia" w:ascii="仿宋_GB2312" w:hAnsi="仿宋_GB2312" w:eastAsia="仿宋_GB2312" w:cs="仿宋_GB2312"/>
          <w:b/>
          <w:bCs/>
          <w:color w:val="auto"/>
          <w:sz w:val="32"/>
          <w:szCs w:val="32"/>
          <w:lang w:val="en-US" w:eastAsia="zh-CN"/>
        </w:rPr>
        <w:t>[人民币]、[</w:t>
      </w:r>
      <w:r>
        <w:rPr>
          <w:rFonts w:hint="default" w:ascii="仿宋_GB2312" w:hAnsi="仿宋_GB2312" w:eastAsia="仿宋_GB2312" w:cs="仿宋_GB2312"/>
          <w:b/>
          <w:bCs/>
          <w:color w:val="auto"/>
          <w:sz w:val="32"/>
          <w:szCs w:val="32"/>
          <w:lang w:val="en-US" w:eastAsia="zh-CN"/>
        </w:rPr>
        <w:t>港币</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美元</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欧元</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英镑</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日元</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韩元</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新加坡元</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澳元</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加元</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新西兰元</w:t>
      </w:r>
      <w:r>
        <w:rPr>
          <w:rFonts w:hint="eastAsia" w:ascii="仿宋_GB2312" w:hAnsi="仿宋_GB2312" w:eastAsia="仿宋_GB2312" w:cs="仿宋_GB2312"/>
          <w:b/>
          <w:bCs/>
          <w:color w:val="auto"/>
          <w:sz w:val="32"/>
          <w:szCs w:val="32"/>
          <w:lang w:val="en-US" w:eastAsia="zh-CN"/>
        </w:rPr>
        <w:t>]、[俄罗斯卢布]、[</w:t>
      </w:r>
      <w:r>
        <w:rPr>
          <w:rFonts w:hint="default" w:ascii="仿宋_GB2312" w:hAnsi="仿宋_GB2312" w:eastAsia="仿宋_GB2312" w:cs="仿宋_GB2312"/>
          <w:b/>
          <w:bCs/>
          <w:color w:val="auto"/>
          <w:sz w:val="32"/>
          <w:szCs w:val="32"/>
          <w:lang w:val="en-US" w:eastAsia="zh-CN"/>
        </w:rPr>
        <w:t>其他币种</w:t>
      </w:r>
      <w:r>
        <w:rPr>
          <w:rFonts w:hint="eastAsia" w:ascii="仿宋_GB2312" w:hAnsi="仿宋_GB2312" w:eastAsia="仿宋_GB2312" w:cs="仿宋_GB2312"/>
          <w:b/>
          <w:bCs/>
          <w:color w:val="auto"/>
          <w:sz w:val="32"/>
          <w:szCs w:val="32"/>
          <w:lang w:val="en-US" w:eastAsia="zh-CN"/>
        </w:rPr>
        <w:t>]。[跨境投资]</w:t>
      </w:r>
      <w:r>
        <w:rPr>
          <w:rFonts w:hint="eastAsia" w:ascii="仿宋_GB2312" w:hAnsi="仿宋_GB2312" w:eastAsia="仿宋_GB2312" w:cs="仿宋_GB2312"/>
          <w:b w:val="0"/>
          <w:bCs w:val="0"/>
          <w:color w:val="auto"/>
          <w:sz w:val="32"/>
          <w:szCs w:val="32"/>
          <w:lang w:val="en-US" w:eastAsia="zh-CN"/>
        </w:rPr>
        <w:t>中的</w:t>
      </w:r>
      <w:r>
        <w:rPr>
          <w:rFonts w:hint="eastAsia" w:ascii="仿宋_GB2312" w:hAnsi="仿宋_GB2312" w:eastAsia="仿宋_GB2312" w:cs="仿宋_GB2312"/>
          <w:b/>
          <w:bCs/>
          <w:color w:val="auto"/>
          <w:sz w:val="32"/>
          <w:szCs w:val="32"/>
          <w:lang w:val="en-US" w:eastAsia="zh-CN"/>
        </w:rPr>
        <w:t>[港股通]、[南向通]</w:t>
      </w:r>
      <w:r>
        <w:rPr>
          <w:rFonts w:hint="eastAsia" w:ascii="仿宋_GB2312" w:hAnsi="仿宋_GB2312" w:eastAsia="仿宋_GB2312" w:cs="仿宋_GB2312"/>
          <w:b w:val="0"/>
          <w:bCs w:val="0"/>
          <w:color w:val="auto"/>
          <w:sz w:val="32"/>
          <w:szCs w:val="32"/>
          <w:lang w:val="en-US" w:eastAsia="zh-CN"/>
        </w:rPr>
        <w:t>的投资币种为</w:t>
      </w:r>
      <w:r>
        <w:rPr>
          <w:rFonts w:hint="eastAsia" w:ascii="仿宋_GB2312" w:hAnsi="仿宋_GB2312" w:eastAsia="仿宋_GB2312" w:cs="仿宋_GB2312"/>
          <w:b/>
          <w:bCs/>
          <w:color w:val="auto"/>
          <w:sz w:val="32"/>
          <w:szCs w:val="32"/>
          <w:lang w:val="en-US" w:eastAsia="zh-CN"/>
        </w:rPr>
        <w:t>[港币]</w:t>
      </w:r>
    </w:p>
    <w:p w14:paraId="2ADF7FC5">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（五）会计分类维度</w:t>
      </w:r>
    </w:p>
    <w:p w14:paraId="46C2506F">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保险机构应根据所适用的企业会计准则有关规定，确定各类投资的会计科目属性。包括</w:t>
      </w:r>
      <w:r>
        <w:rPr>
          <w:rFonts w:hint="eastAsia" w:ascii="仿宋_GB2312" w:hAnsi="仿宋_GB2312" w:eastAsia="仿宋_GB2312" w:cs="仿宋_GB2312"/>
          <w:b/>
          <w:bCs/>
          <w:color w:val="auto"/>
          <w:sz w:val="32"/>
          <w:szCs w:val="32"/>
          <w:lang w:val="en-US" w:eastAsia="zh-CN"/>
        </w:rPr>
        <w:t>[交易性金融资产]、[债权投资]、[其他债权投资]、[其他权益工具投资]、[长期股权投资]、[投资性房地产]、[银行存款]、[其他科目]</w:t>
      </w:r>
      <w:r>
        <w:rPr>
          <w:rFonts w:hint="eastAsia" w:ascii="仿宋_GB2312" w:hAnsi="仿宋_GB2312" w:eastAsia="仿宋_GB2312" w:cs="仿宋_GB2312"/>
          <w:b w:val="0"/>
          <w:bCs w:val="0"/>
          <w:color w:val="auto"/>
          <w:sz w:val="32"/>
          <w:szCs w:val="32"/>
          <w:lang w:val="en-US" w:eastAsia="zh-CN"/>
        </w:rPr>
        <w:t>。对于暂未执行《企业会计准则第22号—金融工具确认和计量》（财会〔2017〕7号）、《企业会计准则第23号—金融资产转移》（财会〔2017〕8号）、《企业会计准则第24号—套期会计》（财会〔2017〕9号）、《企业会计准则第37号—金融工具列报》（财会〔2017〕14号）的保险机构，投资的会计科目包括</w:t>
      </w:r>
      <w:r>
        <w:rPr>
          <w:rFonts w:hint="eastAsia" w:ascii="仿宋_GB2312" w:hAnsi="仿宋_GB2312" w:eastAsia="仿宋_GB2312" w:cs="仿宋_GB2312"/>
          <w:b/>
          <w:bCs/>
          <w:color w:val="auto"/>
          <w:sz w:val="32"/>
          <w:szCs w:val="32"/>
          <w:lang w:val="en-US" w:eastAsia="zh-CN"/>
        </w:rPr>
        <w:t>[交易性金融资产]、[持有至到期投资]、[可供出售金融资产]、[贷款及应收款项]、[长期股权投资]、[投资性房地产]、[银行存款]、[其他科目]</w:t>
      </w:r>
      <w:r>
        <w:rPr>
          <w:rFonts w:hint="eastAsia" w:ascii="仿宋_GB2312" w:hAnsi="仿宋_GB2312" w:eastAsia="仿宋_GB2312" w:cs="仿宋_GB2312"/>
          <w:b w:val="0"/>
          <w:bCs w:val="0"/>
          <w:color w:val="auto"/>
          <w:sz w:val="32"/>
          <w:szCs w:val="32"/>
          <w:lang w:val="en-US" w:eastAsia="zh-CN"/>
        </w:rPr>
        <w:t>。</w:t>
      </w:r>
    </w:p>
    <w:p w14:paraId="64F90615">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（六）投资方式维度</w:t>
      </w:r>
    </w:p>
    <w:p w14:paraId="1460CDC2">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保险机构应根据</w:t>
      </w:r>
      <w:r>
        <w:rPr>
          <w:rFonts w:hint="default" w:ascii="仿宋_GB2312" w:hAnsi="仿宋_GB2312" w:eastAsia="仿宋_GB2312" w:cs="仿宋_GB2312"/>
          <w:b w:val="0"/>
          <w:bCs w:val="0"/>
          <w:color w:val="auto"/>
          <w:sz w:val="32"/>
          <w:szCs w:val="32"/>
          <w:highlight w:val="none"/>
          <w:lang w:val="en-US" w:eastAsia="zh-CN"/>
        </w:rPr>
        <w:t>《保险资金委托投资管理办法》（银保监规〔2022〕9号）</w:t>
      </w:r>
      <w:r>
        <w:rPr>
          <w:rFonts w:hint="eastAsia" w:ascii="仿宋_GB2312" w:hAnsi="仿宋_GB2312" w:eastAsia="仿宋_GB2312" w:cs="仿宋_GB2312"/>
          <w:b w:val="0"/>
          <w:bCs w:val="0"/>
          <w:color w:val="auto"/>
          <w:sz w:val="32"/>
          <w:szCs w:val="32"/>
          <w:highlight w:val="none"/>
          <w:lang w:val="en-US" w:eastAsia="zh-CN"/>
        </w:rPr>
        <w:t>确定投资方式</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包括</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委托投资]</w:t>
      </w:r>
      <w:r>
        <w:rPr>
          <w:rFonts w:hint="eastAsia" w:ascii="仿宋_GB2312" w:hAnsi="仿宋_GB2312" w:eastAsia="仿宋_GB2312" w:cs="仿宋_GB2312"/>
          <w:b/>
          <w:bCs/>
          <w:color w:val="auto"/>
          <w:sz w:val="32"/>
          <w:szCs w:val="32"/>
          <w:lang w:val="en-US" w:eastAsia="zh-CN"/>
        </w:rPr>
        <w:t>、[自主投资]</w:t>
      </w:r>
      <w:r>
        <w:rPr>
          <w:rFonts w:hint="eastAsia" w:ascii="仿宋_GB2312" w:hAnsi="仿宋_GB2312" w:eastAsia="仿宋_GB2312" w:cs="仿宋_GB2312"/>
          <w:b w:val="0"/>
          <w:bCs w:val="0"/>
          <w:color w:val="auto"/>
          <w:sz w:val="32"/>
          <w:szCs w:val="32"/>
          <w:lang w:val="en-US" w:eastAsia="zh-CN"/>
        </w:rPr>
        <w:t>。其中：</w:t>
      </w:r>
    </w:p>
    <w:p w14:paraId="1C4882D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方正小标宋简体" w:hAnsi="方正小标宋简体" w:eastAsia="方正小标宋简体" w:cs="方正小标宋简体"/>
          <w:color w:val="auto"/>
          <w:sz w:val="36"/>
          <w:szCs w:val="36"/>
        </w:rPr>
      </w:pP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委托投资]</w:t>
      </w:r>
      <w:r>
        <w:rPr>
          <w:rFonts w:hint="eastAsia" w:ascii="仿宋_GB2312" w:hAnsi="仿宋_GB2312" w:eastAsia="仿宋_GB2312" w:cs="仿宋_GB2312"/>
          <w:b w:val="0"/>
          <w:bCs w:val="0"/>
          <w:color w:val="auto"/>
          <w:sz w:val="32"/>
          <w:szCs w:val="32"/>
          <w:lang w:val="en-US" w:eastAsia="zh-CN"/>
        </w:rPr>
        <w:t>是</w:t>
      </w:r>
      <w:r>
        <w:rPr>
          <w:rFonts w:hint="default" w:ascii="仿宋_GB2312" w:hAnsi="仿宋_GB2312" w:eastAsia="仿宋_GB2312" w:cs="仿宋_GB2312"/>
          <w:b w:val="0"/>
          <w:bCs w:val="0"/>
          <w:color w:val="auto"/>
          <w:sz w:val="32"/>
          <w:szCs w:val="32"/>
          <w:lang w:val="en-US" w:eastAsia="zh-CN"/>
        </w:rPr>
        <w:t>指保险</w:t>
      </w:r>
      <w:r>
        <w:rPr>
          <w:rFonts w:hint="eastAsia" w:ascii="仿宋_GB2312" w:hAnsi="仿宋_GB2312" w:eastAsia="仿宋_GB2312" w:cs="仿宋_GB2312"/>
          <w:b w:val="0"/>
          <w:bCs w:val="0"/>
          <w:color w:val="auto"/>
          <w:sz w:val="32"/>
          <w:szCs w:val="32"/>
          <w:lang w:val="en-US" w:eastAsia="zh-CN"/>
        </w:rPr>
        <w:t>机构</w:t>
      </w:r>
      <w:r>
        <w:rPr>
          <w:rFonts w:hint="default" w:ascii="仿宋_GB2312" w:hAnsi="仿宋_GB2312" w:eastAsia="仿宋_GB2312" w:cs="仿宋_GB2312"/>
          <w:b w:val="0"/>
          <w:bCs w:val="0"/>
          <w:color w:val="auto"/>
          <w:sz w:val="32"/>
          <w:szCs w:val="32"/>
          <w:lang w:val="en-US" w:eastAsia="zh-CN"/>
        </w:rPr>
        <w:t>将保险资金委托给符合监管条件的保险资产管理机构，由受托人作为主动投资管理人，以委托人名义在境内外开展投资管理的行为。</w:t>
      </w:r>
    </w:p>
    <w:p w14:paraId="630F9C9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自主投资]</w:t>
      </w:r>
      <w:r>
        <w:rPr>
          <w:rFonts w:hint="eastAsia" w:ascii="仿宋_GB2312" w:hAnsi="仿宋_GB2312" w:eastAsia="仿宋_GB2312" w:cs="仿宋_GB2312"/>
          <w:b w:val="0"/>
          <w:bCs w:val="0"/>
          <w:color w:val="auto"/>
          <w:sz w:val="32"/>
          <w:szCs w:val="32"/>
          <w:lang w:val="en-US" w:eastAsia="zh-CN"/>
        </w:rPr>
        <w:t>是</w:t>
      </w:r>
      <w:r>
        <w:rPr>
          <w:rFonts w:hint="default" w:ascii="仿宋_GB2312" w:hAnsi="仿宋_GB2312" w:eastAsia="仿宋_GB2312" w:cs="仿宋_GB2312"/>
          <w:b w:val="0"/>
          <w:bCs w:val="0"/>
          <w:color w:val="auto"/>
          <w:sz w:val="32"/>
          <w:szCs w:val="32"/>
          <w:lang w:val="en-US" w:eastAsia="zh-CN"/>
        </w:rPr>
        <w:t>指</w:t>
      </w:r>
      <w:r>
        <w:rPr>
          <w:rFonts w:hint="eastAsia" w:ascii="仿宋_GB2312" w:hAnsi="仿宋_GB2312" w:eastAsia="仿宋_GB2312" w:cs="仿宋_GB2312"/>
          <w:b w:val="0"/>
          <w:bCs w:val="0"/>
          <w:color w:val="auto"/>
          <w:sz w:val="32"/>
          <w:szCs w:val="32"/>
          <w:lang w:val="en-US" w:eastAsia="zh-CN"/>
        </w:rPr>
        <w:t>除</w:t>
      </w:r>
      <w:r>
        <w:rPr>
          <w:rFonts w:hint="eastAsia" w:ascii="仿宋_GB2312" w:hAnsi="仿宋_GB2312" w:eastAsia="仿宋_GB2312" w:cs="仿宋_GB2312"/>
          <w:b/>
          <w:bCs/>
          <w:color w:val="auto"/>
          <w:sz w:val="32"/>
          <w:szCs w:val="32"/>
          <w:lang w:val="en-US" w:eastAsia="zh-CN"/>
        </w:rPr>
        <w:t>[委托投资]</w:t>
      </w:r>
      <w:r>
        <w:rPr>
          <w:rFonts w:hint="eastAsia" w:ascii="仿宋_GB2312" w:hAnsi="仿宋_GB2312" w:eastAsia="仿宋_GB2312" w:cs="仿宋_GB2312"/>
          <w:b w:val="0"/>
          <w:bCs w:val="0"/>
          <w:color w:val="auto"/>
          <w:sz w:val="32"/>
          <w:szCs w:val="32"/>
          <w:lang w:val="en-US" w:eastAsia="zh-CN"/>
        </w:rPr>
        <w:t>以外的</w:t>
      </w:r>
      <w:r>
        <w:rPr>
          <w:rFonts w:hint="default" w:ascii="仿宋_GB2312" w:hAnsi="仿宋_GB2312" w:eastAsia="仿宋_GB2312" w:cs="仿宋_GB2312"/>
          <w:b w:val="0"/>
          <w:bCs w:val="0"/>
          <w:color w:val="auto"/>
          <w:sz w:val="32"/>
          <w:szCs w:val="32"/>
          <w:lang w:val="en-US" w:eastAsia="zh-CN"/>
        </w:rPr>
        <w:t>全部投资行为。</w:t>
      </w:r>
    </w:p>
    <w:p w14:paraId="32D25C31">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b w:val="0"/>
          <w:bCs w:val="0"/>
          <w:color w:val="auto"/>
          <w:sz w:val="32"/>
          <w:szCs w:val="32"/>
          <w:lang w:val="en-US" w:eastAsia="zh-CN"/>
        </w:rPr>
      </w:pPr>
      <w:bookmarkStart w:id="38" w:name="_Toc76050941"/>
      <w:bookmarkStart w:id="39" w:name="_Toc1344702229"/>
      <w:bookmarkStart w:id="40" w:name="_Toc676441789"/>
      <w:r>
        <w:rPr>
          <w:rFonts w:hint="eastAsia" w:ascii="楷体_GB2312" w:hAnsi="楷体_GB2312" w:eastAsia="楷体_GB2312" w:cs="楷体_GB2312"/>
          <w:b w:val="0"/>
          <w:bCs w:val="0"/>
          <w:color w:val="auto"/>
          <w:sz w:val="32"/>
          <w:szCs w:val="32"/>
          <w:lang w:val="en-US" w:eastAsia="zh-CN"/>
        </w:rPr>
        <w:t>（七）行业分类维度</w:t>
      </w:r>
    </w:p>
    <w:p w14:paraId="31A789B7">
      <w:pPr>
        <w:pStyle w:val="57"/>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需要统计行业维度的资产范围包括：</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银行存款</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[债券]（</w:t>
      </w:r>
      <w:r>
        <w:rPr>
          <w:rFonts w:hint="eastAsia" w:ascii="仿宋_GB2312" w:hAnsi="仿宋_GB2312" w:eastAsia="仿宋_GB2312" w:cs="仿宋_GB2312"/>
          <w:b w:val="0"/>
          <w:bCs w:val="0"/>
          <w:color w:val="auto"/>
          <w:sz w:val="32"/>
          <w:szCs w:val="32"/>
          <w:highlight w:val="none"/>
          <w:lang w:val="en-US" w:eastAsia="zh-CN"/>
        </w:rPr>
        <w:t>不含</w:t>
      </w:r>
      <w:r>
        <w:rPr>
          <w:rFonts w:hint="eastAsia" w:ascii="仿宋_GB2312" w:hAnsi="仿宋_GB2312" w:eastAsia="仿宋_GB2312" w:cs="仿宋_GB2312"/>
          <w:b/>
          <w:bCs/>
          <w:color w:val="auto"/>
          <w:sz w:val="32"/>
          <w:szCs w:val="32"/>
          <w:highlight w:val="none"/>
          <w:lang w:val="en-US" w:eastAsia="zh-CN"/>
        </w:rPr>
        <w:t>[政府债券]）</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股票</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股权（不含不动产项目公司股权）</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、[基金（不含私募股权投资基金、公募REITs）]</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[私募证券投资基金]</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不动产（不含自用性不动产）</w:t>
      </w:r>
      <w:r>
        <w:rPr>
          <w:rFonts w:hint="eastAsia" w:ascii="仿宋_GB2312" w:hAnsi="仿宋_GB2312" w:eastAsia="仿宋_GB2312" w:cs="仿宋_GB2312"/>
          <w:b/>
          <w:bCs/>
          <w:color w:val="auto"/>
          <w:sz w:val="32"/>
          <w:szCs w:val="32"/>
          <w:highlight w:val="none"/>
          <w:lang w:val="en-US" w:eastAsia="zh-CN"/>
        </w:rPr>
        <w:t>]和[</w:t>
      </w:r>
      <w:r>
        <w:rPr>
          <w:rFonts w:hint="eastAsia" w:ascii="仿宋_GB2312" w:hAnsi="仿宋_GB2312" w:eastAsia="仿宋_GB2312" w:cs="仿宋_GB2312"/>
          <w:b/>
          <w:bCs/>
          <w:color w:val="auto"/>
          <w:sz w:val="32"/>
          <w:szCs w:val="32"/>
          <w:highlight w:val="none"/>
        </w:rPr>
        <w:t>金融产品</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等。其他类型资产暂不适用。</w:t>
      </w:r>
    </w:p>
    <w:p w14:paraId="5C5A6805">
      <w:pPr>
        <w:pStyle w:val="57"/>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各类</w:t>
      </w:r>
      <w:r>
        <w:rPr>
          <w:rFonts w:hint="eastAsia" w:ascii="仿宋_GB2312" w:hAnsi="仿宋_GB2312" w:eastAsia="仿宋_GB2312" w:cs="仿宋_GB2312"/>
          <w:color w:val="auto"/>
          <w:sz w:val="32"/>
          <w:szCs w:val="32"/>
          <w:highlight w:val="none"/>
        </w:rPr>
        <w:t>资产</w:t>
      </w:r>
      <w:r>
        <w:rPr>
          <w:rFonts w:hint="eastAsia" w:ascii="仿宋_GB2312" w:hAnsi="仿宋_GB2312" w:eastAsia="仿宋_GB2312" w:cs="仿宋_GB2312"/>
          <w:color w:val="auto"/>
          <w:sz w:val="32"/>
          <w:szCs w:val="32"/>
          <w:highlight w:val="none"/>
          <w:lang w:eastAsia="zh-CN"/>
        </w:rPr>
        <w:t>的行业分类参照市场通行的行业分类目录确定，比如，对于</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境内投资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的资产，参照</w:t>
      </w:r>
      <w:r>
        <w:rPr>
          <w:rFonts w:hint="eastAsia" w:ascii="仿宋_GB2312" w:hAnsi="仿宋_GB2312" w:eastAsia="仿宋_GB2312" w:cs="仿宋_GB2312"/>
          <w:color w:val="auto"/>
          <w:sz w:val="32"/>
          <w:szCs w:val="32"/>
          <w:highlight w:val="none"/>
        </w:rPr>
        <w:t>申银万国行业分类标准一级行业分类</w:t>
      </w:r>
      <w:r>
        <w:rPr>
          <w:rFonts w:hint="eastAsia" w:ascii="仿宋_GB2312" w:hAnsi="仿宋_GB2312" w:eastAsia="仿宋_GB2312" w:cs="仿宋_GB2312"/>
          <w:color w:val="auto"/>
          <w:sz w:val="32"/>
          <w:szCs w:val="32"/>
          <w:highlight w:val="none"/>
          <w:lang w:eastAsia="zh-CN"/>
        </w:rPr>
        <w:t>确定</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b/>
          <w:bCs/>
          <w:color w:val="auto"/>
          <w:sz w:val="32"/>
          <w:szCs w:val="32"/>
          <w:highlight w:val="none"/>
        </w:rPr>
        <w:t>[农林牧渔]、[基础化工]</w:t>
      </w:r>
      <w:r>
        <w:rPr>
          <w:rFonts w:hint="eastAsia" w:ascii="仿宋_GB2312" w:hAnsi="仿宋_GB2312" w:eastAsia="仿宋_GB2312" w:cs="仿宋_GB2312"/>
          <w:color w:val="auto"/>
          <w:sz w:val="32"/>
          <w:szCs w:val="32"/>
          <w:highlight w:val="none"/>
        </w:rPr>
        <w:t>等31个一级行业分类。</w:t>
      </w:r>
      <w:r>
        <w:rPr>
          <w:rFonts w:hint="eastAsia" w:ascii="仿宋_GB2312" w:hAnsi="仿宋_GB2312" w:eastAsia="仿宋_GB2312" w:cs="仿宋_GB2312"/>
          <w:color w:val="auto"/>
          <w:sz w:val="32"/>
          <w:szCs w:val="32"/>
          <w:highlight w:val="none"/>
          <w:lang w:eastAsia="zh-CN"/>
        </w:rPr>
        <w:t>对于</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跨境投资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的资产，</w:t>
      </w:r>
      <w:r>
        <w:rPr>
          <w:rFonts w:hint="eastAsia" w:ascii="仿宋_GB2312" w:hAnsi="仿宋_GB2312" w:eastAsia="仿宋_GB2312" w:cs="仿宋_GB2312"/>
          <w:color w:val="auto"/>
          <w:sz w:val="32"/>
          <w:szCs w:val="32"/>
          <w:highlight w:val="none"/>
          <w:lang w:eastAsia="zh-CN"/>
        </w:rPr>
        <w:t>参照</w:t>
      </w:r>
      <w:r>
        <w:rPr>
          <w:rFonts w:hint="eastAsia" w:ascii="仿宋_GB2312" w:hAnsi="仿宋_GB2312" w:eastAsia="仿宋_GB2312" w:cs="仿宋_GB2312"/>
          <w:color w:val="auto"/>
          <w:sz w:val="32"/>
          <w:szCs w:val="32"/>
          <w:highlight w:val="none"/>
        </w:rPr>
        <w:t>国际行业分类标准（GICS）一级行业分类，包括</w:t>
      </w:r>
      <w:r>
        <w:rPr>
          <w:rFonts w:hint="eastAsia" w:ascii="仿宋_GB2312" w:hAnsi="仿宋_GB2312" w:eastAsia="仿宋_GB2312" w:cs="仿宋_GB2312"/>
          <w:b/>
          <w:bCs/>
          <w:color w:val="auto"/>
          <w:sz w:val="32"/>
          <w:szCs w:val="32"/>
          <w:highlight w:val="none"/>
        </w:rPr>
        <w:t>[Energy]、[Materials]</w:t>
      </w:r>
      <w:r>
        <w:rPr>
          <w:rFonts w:hint="eastAsia" w:ascii="仿宋_GB2312" w:hAnsi="仿宋_GB2312" w:eastAsia="仿宋_GB2312" w:cs="仿宋_GB2312"/>
          <w:color w:val="auto"/>
          <w:sz w:val="32"/>
          <w:szCs w:val="32"/>
          <w:highlight w:val="none"/>
        </w:rPr>
        <w:t>等11个一级行业分类。</w:t>
      </w:r>
      <w:r>
        <w:rPr>
          <w:rFonts w:hint="eastAsia" w:ascii="仿宋_GB2312" w:hAnsi="仿宋_GB2312" w:eastAsia="仿宋_GB2312" w:cs="仿宋_GB2312"/>
          <w:color w:val="auto"/>
          <w:sz w:val="32"/>
          <w:szCs w:val="32"/>
          <w:highlight w:val="none"/>
          <w:lang w:eastAsia="zh-CN"/>
        </w:rPr>
        <w:t>具体分类标准如下：</w:t>
      </w:r>
    </w:p>
    <w:p w14:paraId="28C14F4B">
      <w:pPr>
        <w:pStyle w:val="57"/>
        <w:keepNext w:val="0"/>
        <w:keepLines w:val="0"/>
        <w:pageBreakBefore w:val="0"/>
        <w:widowControl/>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w:t>
      </w:r>
      <w:r>
        <w:rPr>
          <w:rFonts w:hint="eastAsia" w:ascii="仿宋_GB2312" w:hAnsi="仿宋_GB2312" w:eastAsia="仿宋_GB2312" w:cs="仿宋_GB2312"/>
          <w:b/>
          <w:bCs/>
          <w:color w:val="auto"/>
          <w:sz w:val="32"/>
          <w:szCs w:val="32"/>
          <w:highlight w:val="none"/>
        </w:rPr>
        <w:t>[银行存款]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[债券]</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[股票]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[股权（不含不动产项目公司股权）]</w:t>
      </w:r>
      <w:r>
        <w:rPr>
          <w:rFonts w:hint="eastAsia" w:ascii="仿宋_GB2312" w:hAnsi="仿宋_GB2312" w:eastAsia="仿宋_GB2312" w:cs="仿宋_GB2312"/>
          <w:color w:val="auto"/>
          <w:sz w:val="32"/>
          <w:szCs w:val="32"/>
          <w:highlight w:val="none"/>
        </w:rPr>
        <w:t>下的</w:t>
      </w:r>
      <w:r>
        <w:rPr>
          <w:rFonts w:hint="eastAsia" w:ascii="仿宋_GB2312" w:hAnsi="仿宋_GB2312" w:eastAsia="仿宋_GB2312" w:cs="仿宋_GB2312"/>
          <w:b/>
          <w:bCs/>
          <w:color w:val="auto"/>
          <w:sz w:val="32"/>
          <w:szCs w:val="32"/>
          <w:highlight w:val="none"/>
          <w:lang w:val="en-US" w:eastAsia="zh-CN"/>
        </w:rPr>
        <w:t>[未上市企业股权]</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直接股权投资，按照发行人或者融资人所属行业确认；对于</w:t>
      </w:r>
      <w:r>
        <w:rPr>
          <w:rFonts w:hint="eastAsia" w:ascii="仿宋_GB2312" w:hAnsi="仿宋_GB2312" w:eastAsia="仿宋_GB2312" w:cs="仿宋_GB2312"/>
          <w:b/>
          <w:bCs/>
          <w:color w:val="auto"/>
          <w:sz w:val="32"/>
          <w:szCs w:val="32"/>
          <w:highlight w:val="none"/>
        </w:rPr>
        <w:t>[基金（不含私募股权投资基金、公募REITs）]</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[私募证券投资基金]</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b/>
          <w:bCs/>
          <w:color w:val="auto"/>
          <w:sz w:val="32"/>
          <w:szCs w:val="32"/>
          <w:highlight w:val="none"/>
        </w:rPr>
        <w:t>[股权（不含不动产项目公司股权）]</w:t>
      </w:r>
      <w:r>
        <w:rPr>
          <w:rFonts w:hint="eastAsia" w:ascii="仿宋_GB2312" w:hAnsi="仿宋_GB2312" w:eastAsia="仿宋_GB2312" w:cs="仿宋_GB2312"/>
          <w:color w:val="auto"/>
          <w:sz w:val="32"/>
          <w:szCs w:val="32"/>
          <w:highlight w:val="none"/>
        </w:rPr>
        <w:t>下的</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私募股权投资基金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创投基金</w:t>
      </w:r>
      <w:r>
        <w:rPr>
          <w:rFonts w:hint="eastAsia" w:ascii="仿宋_GB2312" w:hAnsi="仿宋_GB2312" w:eastAsia="仿宋_GB2312" w:cs="仿宋_GB2312"/>
          <w:b/>
          <w:bCs/>
          <w:color w:val="auto"/>
          <w:sz w:val="32"/>
          <w:szCs w:val="32"/>
          <w:lang w:val="en-US" w:eastAsia="zh-CN"/>
        </w:rPr>
        <w:t>]等</w:t>
      </w:r>
      <w:r>
        <w:rPr>
          <w:rFonts w:hint="eastAsia" w:ascii="仿宋_GB2312" w:hAnsi="仿宋_GB2312" w:eastAsia="仿宋_GB2312" w:cs="仿宋_GB2312"/>
          <w:color w:val="auto"/>
          <w:sz w:val="32"/>
          <w:szCs w:val="32"/>
          <w:highlight w:val="none"/>
        </w:rPr>
        <w:t>间接股权投资（股权金融产品等），按照基金管理人或产品发行人所属行业确认；对于</w:t>
      </w:r>
      <w:r>
        <w:rPr>
          <w:rFonts w:hint="eastAsia" w:ascii="仿宋_GB2312" w:hAnsi="仿宋_GB2312" w:eastAsia="仿宋_GB2312" w:cs="仿宋_GB2312"/>
          <w:b/>
          <w:bCs/>
          <w:color w:val="auto"/>
          <w:sz w:val="32"/>
          <w:szCs w:val="32"/>
          <w:highlight w:val="none"/>
        </w:rPr>
        <w:t>[金融产品]</w:t>
      </w:r>
      <w:r>
        <w:rPr>
          <w:rFonts w:hint="eastAsia" w:ascii="仿宋_GB2312" w:hAnsi="仿宋_GB2312" w:eastAsia="仿宋_GB2312" w:cs="仿宋_GB2312"/>
          <w:color w:val="auto"/>
          <w:sz w:val="32"/>
          <w:szCs w:val="32"/>
          <w:highlight w:val="none"/>
        </w:rPr>
        <w:t>应当按照交易对手所属的行业进行判断。</w:t>
      </w:r>
      <w:r>
        <w:rPr>
          <w:rFonts w:hint="eastAsia" w:ascii="仿宋_GB2312" w:hAnsi="仿宋_GB2312" w:eastAsia="仿宋_GB2312" w:cs="仿宋_GB2312"/>
          <w:b/>
          <w:bCs/>
          <w:color w:val="auto"/>
          <w:sz w:val="32"/>
          <w:szCs w:val="32"/>
          <w:highlight w:val="none"/>
        </w:rPr>
        <w:t>[金融产品]</w:t>
      </w:r>
      <w:r>
        <w:rPr>
          <w:rFonts w:hint="eastAsia" w:ascii="仿宋_GB2312" w:hAnsi="仿宋_GB2312" w:eastAsia="仿宋_GB2312" w:cs="仿宋_GB2312"/>
          <w:color w:val="auto"/>
          <w:sz w:val="32"/>
          <w:szCs w:val="32"/>
          <w:highlight w:val="none"/>
        </w:rPr>
        <w:t>下有多个交易对手的，根据投资规模占比最大的交易对手确定。交易对手的确定标准如下：（1）交易对手为融资主体；（2）融资主体出现违约的，以担保人作为交易对手；（3）不能确定融资主体的，以产品发行人为交易对手。</w:t>
      </w:r>
      <w:bookmarkEnd w:id="38"/>
      <w:bookmarkEnd w:id="39"/>
      <w:bookmarkEnd w:id="40"/>
      <w:r>
        <w:rPr>
          <w:rFonts w:hint="default" w:ascii="仿宋_GB2312" w:hAnsi="仿宋_GB2312" w:eastAsia="仿宋_GB2312" w:cs="仿宋_GB2312"/>
          <w:b/>
          <w:bCs/>
          <w:color w:val="auto"/>
          <w:sz w:val="32"/>
          <w:szCs w:val="32"/>
          <w:lang w:val="en-US" w:eastAsia="zh-CN"/>
        </w:rPr>
        <w:t>[不动产（不含自用性不动产）]</w:t>
      </w:r>
      <w:r>
        <w:rPr>
          <w:rFonts w:hint="eastAsia" w:ascii="仿宋_GB2312" w:hAnsi="仿宋_GB2312" w:eastAsia="仿宋_GB2312" w:cs="仿宋_GB2312"/>
          <w:b w:val="0"/>
          <w:bCs w:val="0"/>
          <w:color w:val="auto"/>
          <w:sz w:val="32"/>
          <w:szCs w:val="32"/>
          <w:lang w:val="en-US" w:eastAsia="zh-CN"/>
        </w:rPr>
        <w:t>及其下属维度的资产均</w:t>
      </w:r>
      <w:r>
        <w:rPr>
          <w:rFonts w:hint="default" w:ascii="仿宋_GB2312" w:hAnsi="仿宋_GB2312" w:eastAsia="仿宋_GB2312" w:cs="仿宋_GB2312"/>
          <w:b w:val="0"/>
          <w:bCs w:val="0"/>
          <w:color w:val="auto"/>
          <w:sz w:val="32"/>
          <w:szCs w:val="32"/>
          <w:lang w:val="en-US" w:eastAsia="zh-CN"/>
        </w:rPr>
        <w:t>属于</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房地产行业</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w:t>
      </w:r>
    </w:p>
    <w:p w14:paraId="6F7E114C">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2"/>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（八）重点关注领域维度</w:t>
      </w:r>
    </w:p>
    <w:p w14:paraId="285B9946">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保险机构应根据</w:t>
      </w:r>
      <w:r>
        <w:rPr>
          <w:rFonts w:hint="eastAsia" w:ascii="仿宋_GB2312" w:hAnsi="仿宋_GB2312" w:eastAsia="仿宋_GB2312" w:cs="仿宋_GB2312"/>
          <w:color w:val="auto"/>
          <w:sz w:val="32"/>
          <w:szCs w:val="32"/>
          <w:highlight w:val="none"/>
        </w:rPr>
        <w:t>《低空经济及其核心产业统计分类（试行）》</w:t>
      </w:r>
      <w:r>
        <w:rPr>
          <w:rFonts w:hint="eastAsia" w:ascii="仿宋_GB2312" w:hAnsi="仿宋_GB2312" w:eastAsia="仿宋_GB2312" w:cs="仿宋_GB2312"/>
          <w:color w:val="auto"/>
          <w:sz w:val="32"/>
          <w:szCs w:val="32"/>
          <w:highlight w:val="none"/>
          <w:lang w:eastAsia="zh-CN"/>
        </w:rPr>
        <w:t>（发改低空〔</w:t>
      </w:r>
      <w:r>
        <w:rPr>
          <w:rFonts w:hint="eastAsia" w:ascii="仿宋_GB2312" w:hAnsi="仿宋_GB2312" w:eastAsia="仿宋_GB2312" w:cs="仿宋_GB2312"/>
          <w:color w:val="auto"/>
          <w:sz w:val="32"/>
          <w:szCs w:val="32"/>
          <w:highlight w:val="none"/>
          <w:lang w:val="en-US" w:eastAsia="zh-CN"/>
        </w:rPr>
        <w:t>2025〕1676号），确定其投向资产所属的国民经济行业分类是否属于低空经济领域，包括</w:t>
      </w:r>
      <w:r>
        <w:rPr>
          <w:rFonts w:hint="eastAsia" w:ascii="仿宋_GB2312" w:hAnsi="仿宋_GB2312" w:eastAsia="仿宋_GB2312" w:cs="仿宋_GB2312"/>
          <w:b/>
          <w:bCs/>
          <w:color w:val="auto"/>
          <w:sz w:val="32"/>
          <w:szCs w:val="32"/>
          <w:highlight w:val="none"/>
          <w:lang w:val="en-US" w:eastAsia="zh-CN"/>
        </w:rPr>
        <w:t>[低空经济领域]、[其他领域]</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[低空经济领域]</w:t>
      </w:r>
      <w:r>
        <w:rPr>
          <w:rFonts w:hint="eastAsia" w:ascii="仿宋_GB2312" w:hAnsi="仿宋_GB2312" w:eastAsia="仿宋_GB2312" w:cs="仿宋_GB2312"/>
          <w:color w:val="auto"/>
          <w:sz w:val="32"/>
          <w:szCs w:val="32"/>
          <w:highlight w:val="none"/>
          <w:lang w:val="en-US" w:eastAsia="zh-CN"/>
        </w:rPr>
        <w:t>包括</w:t>
      </w:r>
      <w:r>
        <w:rPr>
          <w:rFonts w:hint="eastAsia" w:ascii="仿宋_GB2312" w:hAnsi="仿宋_GB2312" w:eastAsia="仿宋_GB2312" w:cs="仿宋_GB2312"/>
          <w:b/>
          <w:bCs/>
          <w:color w:val="auto"/>
          <w:sz w:val="32"/>
          <w:szCs w:val="32"/>
          <w:highlight w:val="none"/>
          <w:lang w:val="en-US" w:eastAsia="zh-CN"/>
        </w:rPr>
        <w:t>[低空制造业]、[低空运营业]、[低空配套业]</w:t>
      </w:r>
      <w:r>
        <w:rPr>
          <w:rFonts w:hint="eastAsia" w:ascii="仿宋_GB2312" w:hAnsi="仿宋_GB2312" w:eastAsia="仿宋_GB2312" w:cs="仿宋_GB2312"/>
          <w:color w:val="auto"/>
          <w:sz w:val="32"/>
          <w:szCs w:val="32"/>
          <w:highlight w:val="none"/>
          <w:lang w:val="en-US" w:eastAsia="zh-CN"/>
        </w:rPr>
        <w:t>，具体分类标准详见</w:t>
      </w:r>
      <w:r>
        <w:rPr>
          <w:rFonts w:hint="eastAsia" w:ascii="仿宋_GB2312" w:hAnsi="仿宋_GB2312" w:eastAsia="仿宋_GB2312" w:cs="仿宋_GB2312"/>
          <w:color w:val="auto"/>
          <w:sz w:val="32"/>
          <w:szCs w:val="32"/>
          <w:highlight w:val="none"/>
        </w:rPr>
        <w:t>《低空经济及其核心产业统计分类（试行）》</w:t>
      </w:r>
      <w:r>
        <w:rPr>
          <w:rFonts w:hint="eastAsia" w:ascii="仿宋_GB2312" w:hAnsi="仿宋_GB2312" w:eastAsia="仿宋_GB2312" w:cs="仿宋_GB2312"/>
          <w:color w:val="auto"/>
          <w:sz w:val="32"/>
          <w:szCs w:val="32"/>
          <w:highlight w:val="none"/>
          <w:lang w:eastAsia="zh-CN"/>
        </w:rPr>
        <w:t>有关低空经济及其核心的产业统计分类。针对低空经济开展的金融服务、保险服务以及其他与低空经济相关的保险服务等，属于金融保险业务范畴，暂不统计在保险资金运用的</w:t>
      </w:r>
      <w:r>
        <w:rPr>
          <w:rFonts w:hint="eastAsia" w:ascii="仿宋_GB2312" w:hAnsi="仿宋_GB2312" w:eastAsia="仿宋_GB2312" w:cs="仿宋_GB2312"/>
          <w:b/>
          <w:bCs/>
          <w:color w:val="auto"/>
          <w:sz w:val="32"/>
          <w:szCs w:val="32"/>
          <w:highlight w:val="none"/>
          <w:lang w:val="en-US" w:eastAsia="zh-CN"/>
        </w:rPr>
        <w:t>[低空经济领域]</w:t>
      </w:r>
      <w:r>
        <w:rPr>
          <w:rFonts w:hint="eastAsia" w:ascii="仿宋_GB2312" w:hAnsi="仿宋_GB2312" w:eastAsia="仿宋_GB2312" w:cs="仿宋_GB2312"/>
          <w:color w:val="auto"/>
          <w:sz w:val="32"/>
          <w:szCs w:val="32"/>
          <w:highlight w:val="none"/>
          <w:lang w:val="en-US" w:eastAsia="zh-CN"/>
        </w:rPr>
        <w:t>中。</w:t>
      </w:r>
    </w:p>
    <w:p w14:paraId="584E4567">
      <w:pPr>
        <w:pStyle w:val="57"/>
        <w:keepNext w:val="0"/>
        <w:keepLines w:val="0"/>
        <w:pageBreakBefore w:val="0"/>
        <w:widowControl/>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需要统计</w:t>
      </w:r>
      <w:r>
        <w:rPr>
          <w:rFonts w:hint="eastAsia" w:ascii="仿宋_GB2312" w:hAnsi="仿宋_GB2312" w:eastAsia="仿宋_GB2312" w:cs="仿宋_GB2312"/>
          <w:color w:val="auto"/>
          <w:sz w:val="32"/>
          <w:szCs w:val="32"/>
          <w:highlight w:val="none"/>
          <w:lang w:eastAsia="zh-CN"/>
        </w:rPr>
        <w:t>重点关注</w:t>
      </w:r>
      <w:r>
        <w:rPr>
          <w:rFonts w:hint="eastAsia" w:ascii="仿宋_GB2312" w:hAnsi="仿宋_GB2312" w:eastAsia="仿宋_GB2312" w:cs="仿宋_GB2312"/>
          <w:color w:val="auto"/>
          <w:sz w:val="32"/>
          <w:szCs w:val="32"/>
          <w:highlight w:val="none"/>
        </w:rPr>
        <w:t>维度的资产范围包括：</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银行存款</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[债券]（</w:t>
      </w:r>
      <w:r>
        <w:rPr>
          <w:rFonts w:hint="eastAsia" w:ascii="仿宋_GB2312" w:hAnsi="仿宋_GB2312" w:eastAsia="仿宋_GB2312" w:cs="仿宋_GB2312"/>
          <w:b w:val="0"/>
          <w:bCs w:val="0"/>
          <w:color w:val="auto"/>
          <w:sz w:val="32"/>
          <w:szCs w:val="32"/>
          <w:highlight w:val="none"/>
          <w:lang w:val="en-US" w:eastAsia="zh-CN"/>
        </w:rPr>
        <w:t>不含</w:t>
      </w:r>
      <w:r>
        <w:rPr>
          <w:rFonts w:hint="eastAsia" w:ascii="仿宋_GB2312" w:hAnsi="仿宋_GB2312" w:eastAsia="仿宋_GB2312" w:cs="仿宋_GB2312"/>
          <w:b/>
          <w:bCs/>
          <w:color w:val="auto"/>
          <w:sz w:val="32"/>
          <w:szCs w:val="32"/>
          <w:highlight w:val="none"/>
          <w:lang w:val="en-US" w:eastAsia="zh-CN"/>
        </w:rPr>
        <w:t>[政府债券]）</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股票</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股权（不含不动产项目公司股权）</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、[基金（不含私募股权投资基金、公募REITs）]</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[私募证券投资基金]</w:t>
      </w:r>
      <w:r>
        <w:rPr>
          <w:rFonts w:hint="eastAsia" w:ascii="仿宋_GB2312" w:hAnsi="仿宋_GB2312" w:eastAsia="仿宋_GB2312" w:cs="仿宋_GB2312"/>
          <w:b/>
          <w:bCs/>
          <w:color w:val="auto"/>
          <w:sz w:val="32"/>
          <w:szCs w:val="32"/>
          <w:highlight w:val="none"/>
          <w:lang w:val="en-US" w:eastAsia="zh-CN"/>
        </w:rPr>
        <w:t>和[</w:t>
      </w:r>
      <w:r>
        <w:rPr>
          <w:rFonts w:hint="eastAsia" w:ascii="仿宋_GB2312" w:hAnsi="仿宋_GB2312" w:eastAsia="仿宋_GB2312" w:cs="仿宋_GB2312"/>
          <w:b/>
          <w:bCs/>
          <w:color w:val="auto"/>
          <w:sz w:val="32"/>
          <w:szCs w:val="32"/>
          <w:highlight w:val="none"/>
        </w:rPr>
        <w:t>金融产品</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等。其他类型资产暂不适用。</w:t>
      </w:r>
    </w:p>
    <w:p w14:paraId="2CE87E84">
      <w:pPr>
        <w:pStyle w:val="57"/>
        <w:keepNext w:val="0"/>
        <w:keepLines w:val="0"/>
        <w:pageBreakBefore w:val="0"/>
        <w:widowControl/>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w:t>
      </w:r>
      <w:r>
        <w:rPr>
          <w:rFonts w:hint="eastAsia" w:ascii="仿宋_GB2312" w:hAnsi="仿宋_GB2312" w:eastAsia="仿宋_GB2312" w:cs="仿宋_GB2312"/>
          <w:b/>
          <w:bCs/>
          <w:color w:val="auto"/>
          <w:sz w:val="32"/>
          <w:szCs w:val="32"/>
          <w:highlight w:val="none"/>
        </w:rPr>
        <w:t>[银行存款]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[债券]</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[股票]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[股权（不含不动产项目公司股权）]</w:t>
      </w:r>
      <w:r>
        <w:rPr>
          <w:rFonts w:hint="eastAsia" w:ascii="仿宋_GB2312" w:hAnsi="仿宋_GB2312" w:eastAsia="仿宋_GB2312" w:cs="仿宋_GB2312"/>
          <w:color w:val="auto"/>
          <w:sz w:val="32"/>
          <w:szCs w:val="32"/>
          <w:highlight w:val="none"/>
        </w:rPr>
        <w:t>下的</w:t>
      </w:r>
      <w:r>
        <w:rPr>
          <w:rFonts w:hint="eastAsia" w:ascii="仿宋_GB2312" w:hAnsi="仿宋_GB2312" w:eastAsia="仿宋_GB2312" w:cs="仿宋_GB2312"/>
          <w:b/>
          <w:bCs/>
          <w:color w:val="auto"/>
          <w:sz w:val="32"/>
          <w:szCs w:val="32"/>
          <w:highlight w:val="none"/>
          <w:lang w:val="en-US" w:eastAsia="zh-CN"/>
        </w:rPr>
        <w:t>[未上市企业股权]</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直接股权投资，按照发行人或者融资人所属行业确认；对于</w:t>
      </w:r>
      <w:r>
        <w:rPr>
          <w:rFonts w:hint="eastAsia" w:ascii="仿宋_GB2312" w:hAnsi="仿宋_GB2312" w:eastAsia="仿宋_GB2312" w:cs="仿宋_GB2312"/>
          <w:b/>
          <w:bCs/>
          <w:color w:val="auto"/>
          <w:sz w:val="32"/>
          <w:szCs w:val="32"/>
          <w:highlight w:val="none"/>
        </w:rPr>
        <w:t>[基金（不含私募股权投资基金、公募REITs）]</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[私募证券投资基金]</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b/>
          <w:bCs/>
          <w:color w:val="auto"/>
          <w:sz w:val="32"/>
          <w:szCs w:val="32"/>
          <w:highlight w:val="none"/>
        </w:rPr>
        <w:t>[股权（不含不动产项目公司股权）]</w:t>
      </w:r>
      <w:r>
        <w:rPr>
          <w:rFonts w:hint="eastAsia" w:ascii="仿宋_GB2312" w:hAnsi="仿宋_GB2312" w:eastAsia="仿宋_GB2312" w:cs="仿宋_GB2312"/>
          <w:color w:val="auto"/>
          <w:sz w:val="32"/>
          <w:szCs w:val="32"/>
          <w:highlight w:val="none"/>
        </w:rPr>
        <w:t>下的</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私募股权投资基金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创投基金</w:t>
      </w:r>
      <w:r>
        <w:rPr>
          <w:rFonts w:hint="eastAsia" w:ascii="仿宋_GB2312" w:hAnsi="仿宋_GB2312" w:eastAsia="仿宋_GB2312" w:cs="仿宋_GB2312"/>
          <w:b/>
          <w:bCs/>
          <w:color w:val="auto"/>
          <w:sz w:val="32"/>
          <w:szCs w:val="32"/>
          <w:lang w:val="en-US" w:eastAsia="zh-CN"/>
        </w:rPr>
        <w:t>]等</w:t>
      </w:r>
      <w:r>
        <w:rPr>
          <w:rFonts w:hint="eastAsia" w:ascii="仿宋_GB2312" w:hAnsi="仿宋_GB2312" w:eastAsia="仿宋_GB2312" w:cs="仿宋_GB2312"/>
          <w:color w:val="auto"/>
          <w:sz w:val="32"/>
          <w:szCs w:val="32"/>
          <w:highlight w:val="none"/>
        </w:rPr>
        <w:t>间接股权投资（股权金融产品等），按照基金管理人或产品发行人所属行业确认；对于</w:t>
      </w:r>
      <w:r>
        <w:rPr>
          <w:rFonts w:hint="eastAsia" w:ascii="仿宋_GB2312" w:hAnsi="仿宋_GB2312" w:eastAsia="仿宋_GB2312" w:cs="仿宋_GB2312"/>
          <w:b/>
          <w:bCs/>
          <w:color w:val="auto"/>
          <w:sz w:val="32"/>
          <w:szCs w:val="32"/>
          <w:highlight w:val="none"/>
        </w:rPr>
        <w:t>[金融产品]</w:t>
      </w:r>
      <w:r>
        <w:rPr>
          <w:rFonts w:hint="eastAsia" w:ascii="仿宋_GB2312" w:hAnsi="仿宋_GB2312" w:eastAsia="仿宋_GB2312" w:cs="仿宋_GB2312"/>
          <w:color w:val="auto"/>
          <w:sz w:val="32"/>
          <w:szCs w:val="32"/>
          <w:highlight w:val="none"/>
        </w:rPr>
        <w:t>应当按照交易对手所属的行业进行判断。</w:t>
      </w:r>
      <w:r>
        <w:rPr>
          <w:rFonts w:hint="eastAsia" w:ascii="仿宋_GB2312" w:hAnsi="仿宋_GB2312" w:eastAsia="仿宋_GB2312" w:cs="仿宋_GB2312"/>
          <w:b/>
          <w:bCs/>
          <w:color w:val="auto"/>
          <w:sz w:val="32"/>
          <w:szCs w:val="32"/>
          <w:highlight w:val="none"/>
        </w:rPr>
        <w:t>[金融产品]</w:t>
      </w:r>
      <w:r>
        <w:rPr>
          <w:rFonts w:hint="eastAsia" w:ascii="仿宋_GB2312" w:hAnsi="仿宋_GB2312" w:eastAsia="仿宋_GB2312" w:cs="仿宋_GB2312"/>
          <w:color w:val="auto"/>
          <w:sz w:val="32"/>
          <w:szCs w:val="32"/>
          <w:highlight w:val="none"/>
        </w:rPr>
        <w:t>下有多个交易对手的，根据投资规模占比最大的交易对手确定。交易对手的确定标准如下：（1）交易对手为融资主体；（2）融资主体出现违约的，以担保人作为交易对手；（3）不能确定融资主体的，以产品发行人为交易对手。</w:t>
      </w:r>
    </w:p>
    <w:p w14:paraId="618FE84A">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（九）联合营企业重点关注维度</w:t>
      </w:r>
    </w:p>
    <w:p w14:paraId="17057062">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保险机构通过长期股权法核算的股权投资项目（即联合营企业），应当按照投资项目填写明细情况。</w:t>
      </w:r>
    </w:p>
    <w:p w14:paraId="547B5EF9">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1.企业名称。</w:t>
      </w:r>
      <w:r>
        <w:rPr>
          <w:rFonts w:hint="eastAsia" w:ascii="仿宋_GB2312" w:hAnsi="仿宋_GB2312" w:eastAsia="仿宋_GB2312" w:cs="仿宋_GB2312"/>
          <w:b w:val="0"/>
          <w:bCs w:val="0"/>
          <w:color w:val="auto"/>
          <w:sz w:val="32"/>
          <w:szCs w:val="32"/>
          <w:highlight w:val="none"/>
          <w:lang w:val="en-US" w:eastAsia="zh-CN"/>
        </w:rPr>
        <w:t>指联合营企业的全称。</w:t>
      </w:r>
    </w:p>
    <w:p w14:paraId="39A7C1AA">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投资时间。</w:t>
      </w:r>
      <w:r>
        <w:rPr>
          <w:rFonts w:hint="eastAsia" w:ascii="仿宋_GB2312" w:hAnsi="仿宋_GB2312" w:eastAsia="仿宋_GB2312" w:cs="仿宋_GB2312"/>
          <w:b w:val="0"/>
          <w:bCs w:val="0"/>
          <w:color w:val="auto"/>
          <w:sz w:val="32"/>
          <w:szCs w:val="32"/>
          <w:highlight w:val="none"/>
          <w:lang w:val="en-US" w:eastAsia="zh-CN"/>
        </w:rPr>
        <w:t>是指投资该联合营企业的时间，按照“年月日”的方式填报，例如“20250802”。</w:t>
      </w:r>
    </w:p>
    <w:p w14:paraId="450EA725">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3.所属行业。</w:t>
      </w:r>
      <w:r>
        <w:rPr>
          <w:rFonts w:hint="eastAsia" w:ascii="仿宋_GB2312" w:hAnsi="仿宋_GB2312" w:eastAsia="仿宋_GB2312" w:cs="仿宋_GB2312"/>
          <w:b w:val="0"/>
          <w:bCs w:val="0"/>
          <w:color w:val="auto"/>
          <w:sz w:val="32"/>
          <w:szCs w:val="32"/>
          <w:highlight w:val="none"/>
          <w:lang w:val="en-US" w:eastAsia="zh-CN"/>
        </w:rPr>
        <w:t>是指该联合营企业所属的行业，按照“</w:t>
      </w:r>
      <w:r>
        <w:rPr>
          <w:rFonts w:hint="eastAsia" w:ascii="仿宋_GB2312" w:hAnsi="仿宋_GB2312" w:eastAsia="仿宋_GB2312" w:cs="仿宋_GB2312"/>
          <w:color w:val="auto"/>
          <w:sz w:val="32"/>
          <w:szCs w:val="32"/>
          <w:highlight w:val="none"/>
        </w:rPr>
        <w:t>（七）行业分类维度</w:t>
      </w:r>
      <w:r>
        <w:rPr>
          <w:rFonts w:hint="eastAsia" w:ascii="仿宋_GB2312" w:hAnsi="仿宋_GB2312" w:eastAsia="仿宋_GB2312" w:cs="仿宋_GB2312"/>
          <w:color w:val="auto"/>
          <w:sz w:val="32"/>
          <w:szCs w:val="32"/>
          <w:highlight w:val="none"/>
          <w:lang w:eastAsia="zh-CN"/>
        </w:rPr>
        <w:t>”有关</w:t>
      </w:r>
      <w:r>
        <w:rPr>
          <w:rFonts w:hint="eastAsia" w:ascii="仿宋_GB2312" w:hAnsi="仿宋_GB2312" w:eastAsia="仿宋_GB2312" w:cs="仿宋_GB2312"/>
          <w:b/>
          <w:bCs/>
          <w:color w:val="auto"/>
          <w:sz w:val="32"/>
          <w:szCs w:val="32"/>
          <w:highlight w:val="none"/>
        </w:rPr>
        <w:t>[股权（不含不动产项目公司股权）]</w:t>
      </w:r>
      <w:r>
        <w:rPr>
          <w:rFonts w:hint="eastAsia" w:ascii="仿宋_GB2312" w:hAnsi="仿宋_GB2312" w:eastAsia="仿宋_GB2312" w:cs="仿宋_GB2312"/>
          <w:b w:val="0"/>
          <w:bCs w:val="0"/>
          <w:color w:val="auto"/>
          <w:sz w:val="32"/>
          <w:szCs w:val="32"/>
          <w:highlight w:val="none"/>
          <w:lang w:eastAsia="zh-CN"/>
        </w:rPr>
        <w:t>开展行业分类。</w:t>
      </w:r>
    </w:p>
    <w:p w14:paraId="38B500D0">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4.上市情况。</w:t>
      </w:r>
      <w:r>
        <w:rPr>
          <w:rFonts w:hint="eastAsia" w:ascii="仿宋_GB2312" w:hAnsi="仿宋_GB2312" w:eastAsia="仿宋_GB2312" w:cs="仿宋_GB2312"/>
          <w:b w:val="0"/>
          <w:bCs w:val="0"/>
          <w:color w:val="auto"/>
          <w:sz w:val="32"/>
          <w:szCs w:val="32"/>
          <w:highlight w:val="none"/>
          <w:lang w:val="en-US" w:eastAsia="zh-CN"/>
        </w:rPr>
        <w:t>是指保险机构联合营企业的上市情况，按照“第一部分 基础信息类”中保险机构的上市情况开展分类。</w:t>
      </w:r>
    </w:p>
    <w:p w14:paraId="38B3A17B">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5.股票代码。</w:t>
      </w:r>
      <w:r>
        <w:rPr>
          <w:rFonts w:hint="eastAsia" w:ascii="仿宋_GB2312" w:hAnsi="仿宋_GB2312" w:eastAsia="仿宋_GB2312" w:cs="仿宋_GB2312"/>
          <w:b w:val="0"/>
          <w:bCs w:val="0"/>
          <w:color w:val="auto"/>
          <w:sz w:val="32"/>
          <w:szCs w:val="32"/>
          <w:highlight w:val="none"/>
          <w:lang w:val="en-US" w:eastAsia="zh-CN"/>
        </w:rPr>
        <w:t>如果保险机构联合营企业是上市公司，需要填写该企业的上市公司代码。</w:t>
      </w:r>
    </w:p>
    <w:p w14:paraId="651C186C">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（十）跨境不动产领域重点关注维度</w:t>
      </w:r>
    </w:p>
    <w:p w14:paraId="7E295C06">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保险机构跨境投资的不动产项目，应当按照投资项目填写不动产明细情况。</w:t>
      </w:r>
    </w:p>
    <w:p w14:paraId="62C05353">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1.项目名称。</w:t>
      </w:r>
      <w:r>
        <w:rPr>
          <w:rFonts w:hint="eastAsia" w:ascii="仿宋_GB2312" w:hAnsi="仿宋_GB2312" w:eastAsia="仿宋_GB2312" w:cs="仿宋_GB2312"/>
          <w:b w:val="0"/>
          <w:bCs w:val="0"/>
          <w:color w:val="auto"/>
          <w:sz w:val="32"/>
          <w:szCs w:val="32"/>
          <w:highlight w:val="none"/>
          <w:lang w:val="en-US" w:eastAsia="zh-CN"/>
        </w:rPr>
        <w:t>是指不动产项目的全称。</w:t>
      </w:r>
    </w:p>
    <w:p w14:paraId="469D714E">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2.所在国家（地区）。</w:t>
      </w:r>
      <w:r>
        <w:rPr>
          <w:rFonts w:hint="eastAsia" w:ascii="仿宋_GB2312" w:hAnsi="仿宋_GB2312" w:eastAsia="仿宋_GB2312" w:cs="仿宋_GB2312"/>
          <w:b w:val="0"/>
          <w:bCs w:val="0"/>
          <w:color w:val="auto"/>
          <w:sz w:val="32"/>
          <w:szCs w:val="32"/>
          <w:highlight w:val="none"/>
          <w:lang w:val="en-US" w:eastAsia="zh-CN"/>
        </w:rPr>
        <w:t>是指不动产项目所在的国家（地区），对于通过SPV或项目公司投资的不动产项目，是指剥离SPV或项目公司后底层不动产项目实际所在国家（地区），其分类及分类标准与“（三）地区维度”一致。</w:t>
      </w:r>
    </w:p>
    <w:p w14:paraId="51AEDC4A">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3.项目类别。</w:t>
      </w:r>
      <w:r>
        <w:rPr>
          <w:rFonts w:hint="eastAsia" w:ascii="仿宋_GB2312" w:hAnsi="仿宋_GB2312" w:eastAsia="仿宋_GB2312" w:cs="仿宋_GB2312"/>
          <w:b w:val="0"/>
          <w:bCs w:val="0"/>
          <w:color w:val="auto"/>
          <w:sz w:val="32"/>
          <w:szCs w:val="32"/>
          <w:highlight w:val="none"/>
          <w:lang w:val="en-US" w:eastAsia="zh-CN"/>
        </w:rPr>
        <w:t>是根据不动产项目的用途确定的类别，包括</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商业不动产</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办公不动产</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自用性不动产</w:t>
      </w:r>
      <w:r>
        <w:rPr>
          <w:rFonts w:hint="eastAsia" w:ascii="仿宋_GB2312" w:hAnsi="仿宋_GB2312" w:eastAsia="仿宋_GB2312" w:cs="仿宋_GB2312"/>
          <w:b/>
          <w:bCs/>
          <w:color w:val="auto"/>
          <w:sz w:val="32"/>
          <w:szCs w:val="32"/>
          <w:highlight w:val="none"/>
          <w:lang w:val="en-US" w:eastAsia="zh-CN"/>
        </w:rPr>
        <w:t>]、[其他不动产]。</w:t>
      </w:r>
    </w:p>
    <w:p w14:paraId="7B58AF46">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4.投资方式。</w:t>
      </w:r>
      <w:r>
        <w:rPr>
          <w:rFonts w:hint="eastAsia" w:ascii="仿宋_GB2312" w:hAnsi="仿宋_GB2312" w:eastAsia="仿宋_GB2312" w:cs="仿宋_GB2312"/>
          <w:b w:val="0"/>
          <w:bCs w:val="0"/>
          <w:color w:val="auto"/>
          <w:sz w:val="32"/>
          <w:szCs w:val="32"/>
          <w:highlight w:val="none"/>
          <w:lang w:val="en-US" w:eastAsia="zh-CN"/>
        </w:rPr>
        <w:t>是指投资该不动产项目采用的投资方式，包括</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债权</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股权</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物权</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，对于采用多种投资方式的，可以同时列报，比如</w:t>
      </w:r>
      <w:r>
        <w:rPr>
          <w:rFonts w:hint="eastAsia" w:ascii="仿宋_GB2312" w:hAnsi="仿宋_GB2312" w:eastAsia="仿宋_GB2312" w:cs="仿宋_GB2312"/>
          <w:b/>
          <w:bCs/>
          <w:color w:val="auto"/>
          <w:sz w:val="32"/>
          <w:szCs w:val="32"/>
          <w:highlight w:val="none"/>
          <w:lang w:val="en-US" w:eastAsia="zh-CN"/>
        </w:rPr>
        <w:t>[债券、股权]。</w:t>
      </w:r>
    </w:p>
    <w:p w14:paraId="10984A2A">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5.交易对手。</w:t>
      </w:r>
      <w:r>
        <w:rPr>
          <w:rFonts w:hint="eastAsia" w:ascii="仿宋_GB2312" w:hAnsi="仿宋_GB2312" w:eastAsia="仿宋_GB2312" w:cs="仿宋_GB2312"/>
          <w:b w:val="0"/>
          <w:bCs w:val="0"/>
          <w:color w:val="auto"/>
          <w:sz w:val="32"/>
          <w:szCs w:val="32"/>
          <w:highlight w:val="none"/>
          <w:lang w:val="en-US" w:eastAsia="zh-CN"/>
        </w:rPr>
        <w:t>是指投资不动产项目的交易对手方全称。</w:t>
      </w:r>
    </w:p>
    <w:p w14:paraId="70A976C6">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6.跨境资金运用方式。</w:t>
      </w:r>
      <w:r>
        <w:rPr>
          <w:rFonts w:hint="eastAsia" w:ascii="仿宋_GB2312" w:hAnsi="仿宋_GB2312" w:eastAsia="仿宋_GB2312" w:cs="仿宋_GB2312"/>
          <w:b w:val="0"/>
          <w:bCs w:val="0"/>
          <w:color w:val="auto"/>
          <w:sz w:val="32"/>
          <w:szCs w:val="32"/>
          <w:highlight w:val="none"/>
          <w:lang w:val="en-US" w:eastAsia="zh-CN"/>
        </w:rPr>
        <w:t>分类及分类标准与“（二）境内外投资维度”中</w:t>
      </w:r>
      <w:r>
        <w:rPr>
          <w:rFonts w:hint="eastAsia" w:ascii="仿宋_GB2312" w:hAnsi="仿宋_GB2312" w:eastAsia="仿宋_GB2312" w:cs="仿宋_GB2312"/>
          <w:b/>
          <w:bCs/>
          <w:color w:val="auto"/>
          <w:sz w:val="32"/>
          <w:szCs w:val="32"/>
          <w:highlight w:val="none"/>
          <w:lang w:val="en-US" w:eastAsia="zh-CN"/>
        </w:rPr>
        <w:t>[跨境投资]</w:t>
      </w:r>
      <w:r>
        <w:rPr>
          <w:rFonts w:hint="eastAsia" w:ascii="仿宋_GB2312" w:hAnsi="仿宋_GB2312" w:eastAsia="仿宋_GB2312" w:cs="仿宋_GB2312"/>
          <w:b w:val="0"/>
          <w:bCs w:val="0"/>
          <w:color w:val="auto"/>
          <w:sz w:val="32"/>
          <w:szCs w:val="32"/>
          <w:highlight w:val="none"/>
          <w:lang w:val="en-US" w:eastAsia="zh-CN"/>
        </w:rPr>
        <w:t>的下一级类别一致。</w:t>
      </w:r>
    </w:p>
    <w:p w14:paraId="253EEFA3">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7.投资币种。</w:t>
      </w:r>
      <w:r>
        <w:rPr>
          <w:rFonts w:hint="eastAsia" w:ascii="仿宋_GB2312" w:hAnsi="仿宋_GB2312" w:eastAsia="仿宋_GB2312" w:cs="仿宋_GB2312"/>
          <w:b w:val="0"/>
          <w:bCs w:val="0"/>
          <w:color w:val="auto"/>
          <w:sz w:val="32"/>
          <w:szCs w:val="32"/>
          <w:highlight w:val="none"/>
          <w:lang w:val="en-US" w:eastAsia="zh-CN"/>
        </w:rPr>
        <w:t>分类及分类标准与“（四）币种维度”一致。</w:t>
      </w:r>
    </w:p>
    <w:p w14:paraId="123ADA37">
      <w:pPr>
        <w:pStyle w:val="57"/>
        <w:keepNext w:val="0"/>
        <w:keepLines w:val="0"/>
        <w:pageBreakBefore w:val="0"/>
        <w:widowControl w:val="0"/>
        <w:kinsoku/>
        <w:wordWrap/>
        <w:overflowPunct/>
        <w:topLinePunct w:val="0"/>
        <w:bidi w:val="0"/>
        <w:snapToGrid/>
        <w:spacing w:after="0" w:line="600" w:lineRule="exact"/>
        <w:ind w:right="0" w:rightChars="0" w:firstLine="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8.初始投资时间。</w:t>
      </w:r>
      <w:r>
        <w:rPr>
          <w:rFonts w:hint="eastAsia" w:ascii="仿宋_GB2312" w:hAnsi="仿宋_GB2312" w:eastAsia="仿宋_GB2312" w:cs="仿宋_GB2312"/>
          <w:b w:val="0"/>
          <w:bCs w:val="0"/>
          <w:color w:val="auto"/>
          <w:sz w:val="32"/>
          <w:szCs w:val="32"/>
          <w:highlight w:val="none"/>
          <w:lang w:val="en-US" w:eastAsia="zh-CN"/>
        </w:rPr>
        <w:t>是指初始投资该不动产项目的时间，按照“年月日”的方式填报，例如“20250802”。</w:t>
      </w:r>
    </w:p>
    <w:p w14:paraId="06C577BC">
      <w:pPr>
        <w:pStyle w:val="57"/>
        <w:keepNext w:val="0"/>
        <w:keepLines w:val="0"/>
        <w:pageBreakBefore w:val="0"/>
        <w:kinsoku/>
        <w:wordWrap/>
        <w:overflowPunct/>
        <w:topLinePunct w:val="0"/>
        <w:bidi w:val="0"/>
        <w:spacing w:line="600" w:lineRule="exact"/>
        <w:ind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9.跨境融资情况。</w:t>
      </w:r>
      <w:r>
        <w:rPr>
          <w:rFonts w:hint="eastAsia" w:ascii="仿宋_GB2312" w:hAnsi="仿宋_GB2312" w:eastAsia="仿宋_GB2312" w:cs="仿宋_GB2312"/>
          <w:b w:val="0"/>
          <w:bCs w:val="0"/>
          <w:color w:val="auto"/>
          <w:sz w:val="32"/>
          <w:szCs w:val="32"/>
          <w:highlight w:val="none"/>
          <w:lang w:val="en-US" w:eastAsia="zh-CN"/>
        </w:rPr>
        <w:t>是指保险机构在投资该不动产项目时的跨境融资情况，需详细说明包括但不限于融资时间、方式、交易对手方、金额等信息。如果未开展跨境融资，则不适用。</w:t>
      </w:r>
    </w:p>
    <w:p w14:paraId="13F51543">
      <w:pPr>
        <w:pStyle w:val="57"/>
        <w:keepNext w:val="0"/>
        <w:keepLines w:val="0"/>
        <w:pageBreakBefore w:val="0"/>
        <w:kinsoku/>
        <w:wordWrap/>
        <w:overflowPunct/>
        <w:topLinePunct w:val="0"/>
        <w:bidi w:val="0"/>
        <w:spacing w:line="600" w:lineRule="exact"/>
        <w:ind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10.SPV设立情况。</w:t>
      </w:r>
      <w:r>
        <w:rPr>
          <w:rFonts w:hint="eastAsia" w:ascii="仿宋_GB2312" w:hAnsi="仿宋_GB2312" w:eastAsia="仿宋_GB2312" w:cs="仿宋_GB2312"/>
          <w:b w:val="0"/>
          <w:bCs w:val="0"/>
          <w:color w:val="auto"/>
          <w:sz w:val="32"/>
          <w:szCs w:val="32"/>
          <w:highlight w:val="none"/>
          <w:lang w:val="en-US" w:eastAsia="zh-CN"/>
        </w:rPr>
        <w:t>是指保险机构在投资该不动产项目时是否使用了SPV或项目公司的形式，需详细说明包括但不限于使用SPV或项目公司的总层数、第一层SPV或项目公司设立地点、时间、注册资本金等。如果未通过SPV或项目公司投资该不动产项目，则不适用。</w:t>
      </w:r>
    </w:p>
    <w:p w14:paraId="2B87A661">
      <w:pPr>
        <w:pStyle w:val="57"/>
        <w:keepNext w:val="0"/>
        <w:keepLines w:val="0"/>
        <w:pageBreakBefore w:val="0"/>
        <w:kinsoku/>
        <w:wordWrap/>
        <w:overflowPunct/>
        <w:topLinePunct w:val="0"/>
        <w:bidi w:val="0"/>
        <w:spacing w:line="600" w:lineRule="exact"/>
        <w:ind w:firstLine="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内保外贷情况</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如果保险机构通过内保外贷的方式投资该不动产项目，需详细说明包括但不限于开出保函银行名称、融资金额、融资利率、履约金融、融资起止时间、是否逾期及逾期金额等信息。如果未通过内保外贷方式投资该不动产项目的，则不适用。</w:t>
      </w:r>
    </w:p>
    <w:p w14:paraId="5FF51036">
      <w:pPr>
        <w:pStyle w:val="57"/>
        <w:keepNext w:val="0"/>
        <w:keepLines w:val="0"/>
        <w:pageBreakBefore w:val="0"/>
        <w:kinsoku/>
        <w:wordWrap/>
        <w:overflowPunct/>
        <w:topLinePunct w:val="0"/>
        <w:bidi w:val="0"/>
        <w:spacing w:line="600" w:lineRule="exact"/>
        <w:ind w:firstLine="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rPr>
        <w:t>不动产抵押贷款情况</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如果保险机构对该不动产进行了抵押贷款，需详细说明包括但不限于融资银行、融资币种、融资金额、融资利率、融资起止时间、是否逾期及逾期金额等信息。如果未开展不动产抵押贷款的，则不适用。</w:t>
      </w:r>
    </w:p>
    <w:p w14:paraId="2A2BCA69">
      <w:pPr>
        <w:keepNext w:val="0"/>
        <w:keepLines w:val="0"/>
        <w:pageBreakBefore w:val="0"/>
        <w:widowControl/>
        <w:kinsoku/>
        <w:wordWrap/>
        <w:overflowPunct/>
        <w:topLinePunct w:val="0"/>
        <w:bidi w:val="0"/>
        <w:snapToGrid/>
        <w:spacing w:after="0" w:line="600" w:lineRule="exact"/>
        <w:jc w:val="center"/>
        <w:textAlignment w:val="auto"/>
        <w:outlineLvl w:val="0"/>
        <w:rPr>
          <w:rStyle w:val="29"/>
          <w:color w:val="auto"/>
        </w:rPr>
      </w:pPr>
      <w:r>
        <w:rPr>
          <w:rFonts w:hint="eastAsia" w:ascii="黑体" w:hAnsi="黑体" w:eastAsia="黑体" w:cs="黑体"/>
          <w:color w:val="auto"/>
          <w:sz w:val="36"/>
          <w:szCs w:val="36"/>
          <w:lang w:val="en-US" w:eastAsia="zh-CN"/>
        </w:rPr>
        <w:br w:type="page"/>
      </w:r>
      <w:bookmarkStart w:id="41" w:name="_Toc942456890"/>
      <w:bookmarkStart w:id="42" w:name="_Toc1707962648"/>
      <w:bookmarkStart w:id="43" w:name="_Toc193610782"/>
      <w:bookmarkStart w:id="44" w:name="_Toc468936668"/>
      <w:bookmarkStart w:id="45" w:name="_Toc118130739"/>
      <w:bookmarkStart w:id="46" w:name="_Toc1571084210"/>
      <w:bookmarkStart w:id="47" w:name="_Toc2090543494"/>
      <w:bookmarkStart w:id="48" w:name="_Toc1870694860"/>
      <w:bookmarkStart w:id="49" w:name="_Toc352829499"/>
      <w:r>
        <w:rPr>
          <w:rStyle w:val="29"/>
          <w:color w:val="auto"/>
        </w:rPr>
        <w:t>第五部分 偿付能力及风险类</w:t>
      </w:r>
      <w:bookmarkEnd w:id="41"/>
      <w:bookmarkEnd w:id="42"/>
      <w:bookmarkEnd w:id="43"/>
      <w:bookmarkEnd w:id="44"/>
      <w:bookmarkEnd w:id="45"/>
      <w:bookmarkEnd w:id="46"/>
      <w:bookmarkEnd w:id="47"/>
      <w:bookmarkEnd w:id="48"/>
      <w:bookmarkEnd w:id="49"/>
    </w:p>
    <w:p w14:paraId="028FFDBF">
      <w:pPr>
        <w:pStyle w:val="56"/>
        <w:keepNext w:val="0"/>
        <w:keepLines w:val="0"/>
        <w:pageBreakBefore w:val="0"/>
        <w:kinsoku/>
        <w:wordWrap/>
        <w:overflowPunct/>
        <w:topLinePunct w:val="0"/>
        <w:bidi w:val="0"/>
        <w:spacing w:after="0" w:line="60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本部分主要统计保险机构</w:t>
      </w:r>
      <w:r>
        <w:rPr>
          <w:rFonts w:hint="eastAsia" w:ascii="仿宋_GB2312" w:hAnsi="仿宋_GB2312" w:eastAsia="仿宋_GB2312" w:cs="仿宋_GB2312"/>
          <w:color w:val="auto"/>
          <w:sz w:val="32"/>
          <w:szCs w:val="32"/>
          <w:highlight w:val="none"/>
          <w:lang w:val="en-US" w:eastAsia="zh-CN"/>
        </w:rPr>
        <w:t>偿付能力及资本有关情况、</w:t>
      </w:r>
      <w:r>
        <w:rPr>
          <w:rFonts w:hint="eastAsia" w:ascii="仿宋_GB2312" w:hAnsi="仿宋_GB2312" w:eastAsia="仿宋_GB2312" w:cs="仿宋_GB2312"/>
          <w:color w:val="auto"/>
          <w:sz w:val="32"/>
          <w:szCs w:val="32"/>
        </w:rPr>
        <w:t>投资资产风险分类、风险集中度等基础信息。</w:t>
      </w:r>
    </w:p>
    <w:p w14:paraId="747E4581">
      <w:pPr>
        <w:pStyle w:val="57"/>
        <w:keepNext w:val="0"/>
        <w:keepLines w:val="0"/>
        <w:pageBreakBefore w:val="0"/>
        <w:widowControl w:val="0"/>
        <w:numPr>
          <w:ilvl w:val="0"/>
          <w:numId w:val="0"/>
        </w:numPr>
        <w:kinsoku/>
        <w:wordWrap/>
        <w:overflowPunct/>
        <w:topLinePunct w:val="0"/>
        <w:bidi w:val="0"/>
        <w:snapToGrid/>
        <w:spacing w:after="0" w:line="600" w:lineRule="exact"/>
        <w:ind w:firstLine="64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一、偿付能力报表</w:t>
      </w:r>
    </w:p>
    <w:p w14:paraId="72087571">
      <w:pPr>
        <w:pStyle w:val="57"/>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保险集团和保险公司偿付能力报表相关指标，是指根据《保险公司偿付能力管理规定》（银保监会令2021年第1号）、《关于印发保险公司偿付能力监管规则（Ⅱ）的通知》（银保监发〔2021〕51号）、《关于实施保险公司偿付能力监管规则（Ⅱ）有关事项的通知》（银保监发〔2021〕52号）、《关于优化保险公司偿付能力监管标准的通知》（金规〔2023〕5号）等有关规定编制的合并范围或单体公司的偿付能力报表项目。</w:t>
      </w:r>
    </w:p>
    <w:p w14:paraId="60DCCC5A">
      <w:pPr>
        <w:pStyle w:val="56"/>
        <w:keepNext w:val="0"/>
        <w:keepLines w:val="0"/>
        <w:pageBreakBefore w:val="0"/>
        <w:widowControl w:val="0"/>
        <w:numPr>
          <w:ilvl w:val="0"/>
          <w:numId w:val="1"/>
        </w:numPr>
        <w:kinsoku/>
        <w:wordWrap/>
        <w:overflowPunct/>
        <w:topLinePunct w:val="0"/>
        <w:bidi w:val="0"/>
        <w:snapToGrid/>
        <w:spacing w:after="0" w:line="600" w:lineRule="exact"/>
        <w:ind w:firstLine="640" w:firstLineChars="200"/>
        <w:jc w:val="both"/>
        <w:textAlignment w:val="auto"/>
        <w:outlineLvl w:val="1"/>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保险</w:t>
      </w:r>
      <w:r>
        <w:rPr>
          <w:rFonts w:hint="eastAsia" w:ascii="黑体" w:hAnsi="黑体" w:eastAsia="黑体" w:cs="黑体"/>
          <w:color w:val="auto"/>
          <w:sz w:val="32"/>
          <w:szCs w:val="32"/>
          <w:lang w:val="en-US" w:eastAsia="zh-CN"/>
        </w:rPr>
        <w:t>公司</w:t>
      </w:r>
      <w:r>
        <w:rPr>
          <w:rFonts w:hint="eastAsia" w:ascii="黑体" w:hAnsi="黑体" w:eastAsia="黑体" w:cs="黑体"/>
          <w:color w:val="auto"/>
          <w:sz w:val="32"/>
          <w:szCs w:val="32"/>
        </w:rPr>
        <w:t>资本变动</w:t>
      </w:r>
    </w:p>
    <w:p w14:paraId="76A1C03C">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保险集团、保险公司应当对资本变动情况开展统计。</w:t>
      </w:r>
    </w:p>
    <w:p w14:paraId="171D3910">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firstLineChars="200"/>
        <w:jc w:val="both"/>
        <w:textAlignment w:val="auto"/>
        <w:outlineLvl w:val="2"/>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（一）统计指标及口径</w:t>
      </w:r>
    </w:p>
    <w:p w14:paraId="3512D1D3">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[金额]</w:t>
      </w:r>
      <w:r>
        <w:rPr>
          <w:rFonts w:hint="eastAsia" w:ascii="仿宋_GB2312" w:hAnsi="仿宋_GB2312" w:eastAsia="仿宋_GB2312" w:cs="仿宋_GB2312"/>
          <w:color w:val="auto"/>
          <w:kern w:val="2"/>
          <w:sz w:val="32"/>
          <w:szCs w:val="32"/>
          <w:lang w:val="en-US" w:eastAsia="zh-CN" w:bidi="ar-SA"/>
        </w:rPr>
        <w:t>是指根据偿付能力监管规定，确定的各类资本变动的金额。</w:t>
      </w:r>
    </w:p>
    <w:p w14:paraId="5155C0D4">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3"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b/>
          <w:bCs/>
          <w:color w:val="auto"/>
          <w:kern w:val="2"/>
          <w:sz w:val="32"/>
          <w:szCs w:val="32"/>
          <w:lang w:val="en-US" w:eastAsia="zh-CN" w:bidi="ar-SA"/>
        </w:rPr>
        <w:t>[实际资本变动</w:t>
      </w:r>
      <w:r>
        <w:rPr>
          <w:rFonts w:hint="eastAsia" w:ascii="仿宋_GB2312" w:hAnsi="仿宋_GB2312" w:eastAsia="仿宋_GB2312" w:cs="仿宋_GB2312"/>
          <w:b/>
          <w:bCs/>
          <w:color w:val="auto"/>
          <w:kern w:val="2"/>
          <w:sz w:val="32"/>
          <w:szCs w:val="32"/>
          <w:lang w:val="en-US" w:eastAsia="zh-CN" w:bidi="ar-SA"/>
        </w:rPr>
        <w:t>金额</w:t>
      </w:r>
      <w:r>
        <w:rPr>
          <w:rFonts w:hint="default"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按照统计期末实际资本与统计期初实际资本的差额填写。</w:t>
      </w:r>
    </w:p>
    <w:p w14:paraId="17117C08">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firstLineChars="200"/>
        <w:jc w:val="both"/>
        <w:textAlignment w:val="auto"/>
        <w:outlineLvl w:val="2"/>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（二）统计维度及分类标准</w:t>
      </w:r>
    </w:p>
    <w:p w14:paraId="5D843361">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0" w:firstLineChars="200"/>
        <w:jc w:val="both"/>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根据资本来源和去向的不同，资本变动类型可分为：</w:t>
      </w:r>
      <w:r>
        <w:rPr>
          <w:rFonts w:hint="eastAsia" w:ascii="仿宋_GB2312" w:hAnsi="仿宋_GB2312" w:eastAsia="仿宋_GB2312" w:cs="仿宋_GB2312"/>
          <w:b/>
          <w:bCs/>
          <w:color w:val="auto"/>
          <w:kern w:val="2"/>
          <w:sz w:val="32"/>
          <w:szCs w:val="32"/>
          <w:lang w:val="en-US" w:eastAsia="zh-CN" w:bidi="ar-SA"/>
        </w:rPr>
        <w:t>[股东增资]、[股东分红]、[资本工具]、[其他实际资本变动项目]。</w:t>
      </w:r>
      <w:r>
        <w:rPr>
          <w:rFonts w:hint="eastAsia" w:ascii="仿宋_GB2312" w:hAnsi="仿宋_GB2312" w:eastAsia="仿宋_GB2312" w:cs="仿宋_GB2312"/>
          <w:b w:val="0"/>
          <w:bCs w:val="0"/>
          <w:color w:val="auto"/>
          <w:kern w:val="2"/>
          <w:sz w:val="32"/>
          <w:szCs w:val="32"/>
          <w:lang w:val="en-US" w:eastAsia="zh-CN" w:bidi="ar-SA"/>
        </w:rPr>
        <w:t>分类标准如下：</w:t>
      </w:r>
    </w:p>
    <w:p w14:paraId="1116AAB9">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[股东增资]</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kern w:val="2"/>
          <w:sz w:val="32"/>
          <w:szCs w:val="32"/>
          <w:lang w:val="en-US" w:eastAsia="zh-CN" w:bidi="ar-SA"/>
        </w:rPr>
        <w:t>指保险公司的股东以货币</w:t>
      </w:r>
      <w:r>
        <w:rPr>
          <w:rFonts w:hint="eastAsia" w:ascii="仿宋_GB2312" w:hAnsi="仿宋_GB2312" w:eastAsia="仿宋_GB2312" w:cs="仿宋_GB2312"/>
          <w:color w:val="auto"/>
          <w:kern w:val="2"/>
          <w:sz w:val="32"/>
          <w:szCs w:val="32"/>
          <w:highlight w:val="none"/>
          <w:lang w:val="en-US" w:eastAsia="zh-CN" w:bidi="ar-SA"/>
        </w:rPr>
        <w:t>或其他方式</w:t>
      </w:r>
      <w:r>
        <w:rPr>
          <w:rFonts w:hint="eastAsia" w:ascii="仿宋_GB2312" w:hAnsi="仿宋_GB2312" w:eastAsia="仿宋_GB2312" w:cs="仿宋_GB2312"/>
          <w:color w:val="auto"/>
          <w:kern w:val="2"/>
          <w:sz w:val="32"/>
          <w:szCs w:val="32"/>
          <w:lang w:val="en-US" w:eastAsia="zh-CN" w:bidi="ar-SA"/>
        </w:rPr>
        <w:t>出资形成的实收资本、股本、资本公积。</w:t>
      </w:r>
    </w:p>
    <w:p w14:paraId="341AC79D">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after="0" w:line="600" w:lineRule="exact"/>
        <w:ind w:left="0" w:lef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[股东分红]</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kern w:val="2"/>
          <w:sz w:val="32"/>
          <w:szCs w:val="32"/>
          <w:lang w:val="en-US" w:eastAsia="zh-CN" w:bidi="ar-SA"/>
        </w:rPr>
        <w:t>指保险公司以现金、</w:t>
      </w:r>
      <w:r>
        <w:rPr>
          <w:rFonts w:hint="eastAsia" w:ascii="仿宋_GB2312" w:hAnsi="仿宋_GB2312" w:eastAsia="仿宋_GB2312" w:cs="仿宋_GB2312"/>
          <w:color w:val="auto"/>
          <w:kern w:val="2"/>
          <w:sz w:val="32"/>
          <w:szCs w:val="32"/>
          <w:highlight w:val="none"/>
          <w:lang w:val="en-US" w:eastAsia="zh-CN" w:bidi="ar-SA"/>
        </w:rPr>
        <w:t>股票、实物</w:t>
      </w:r>
      <w:r>
        <w:rPr>
          <w:rFonts w:hint="eastAsia" w:ascii="仿宋_GB2312" w:hAnsi="仿宋_GB2312" w:eastAsia="仿宋_GB2312" w:cs="仿宋_GB2312"/>
          <w:color w:val="auto"/>
          <w:kern w:val="2"/>
          <w:sz w:val="32"/>
          <w:szCs w:val="32"/>
          <w:lang w:val="en-US" w:eastAsia="zh-CN" w:bidi="ar-SA"/>
        </w:rPr>
        <w:t>等形式向股东分配的投资回报。</w:t>
      </w:r>
    </w:p>
    <w:p w14:paraId="0D46635C">
      <w:pPr>
        <w:pStyle w:val="56"/>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[资本工具]</w:t>
      </w:r>
      <w:r>
        <w:rPr>
          <w:rFonts w:hint="eastAsia" w:ascii="仿宋_GB2312" w:hAnsi="仿宋_GB2312" w:eastAsia="仿宋_GB2312" w:cs="仿宋_GB2312"/>
          <w:b w:val="0"/>
          <w:bCs w:val="0"/>
          <w:color w:val="auto"/>
          <w:kern w:val="2"/>
          <w:sz w:val="32"/>
          <w:szCs w:val="32"/>
          <w:lang w:val="en-US" w:eastAsia="zh-CN" w:bidi="ar-SA"/>
        </w:rPr>
        <w:t>本表</w:t>
      </w:r>
      <w:r>
        <w:rPr>
          <w:rFonts w:hint="eastAsia" w:ascii="仿宋_GB2312" w:hAnsi="仿宋_GB2312" w:eastAsia="仿宋_GB2312" w:cs="仿宋_GB2312"/>
          <w:color w:val="auto"/>
          <w:kern w:val="2"/>
          <w:sz w:val="32"/>
          <w:szCs w:val="32"/>
          <w:lang w:val="en-US" w:eastAsia="zh-CN" w:bidi="ar-SA"/>
        </w:rPr>
        <w:t>所填报的资本工具，需满足《保险公司偿付能力监管规则第1号：实际资本》规定的可认定为实际资本的有关条件，如资本补充债券等。根据资本工具的不同，</w:t>
      </w:r>
      <w:r>
        <w:rPr>
          <w:rFonts w:hint="eastAsia" w:ascii="仿宋_GB2312" w:hAnsi="仿宋_GB2312" w:eastAsia="仿宋_GB2312" w:cs="仿宋_GB2312"/>
          <w:b/>
          <w:bCs/>
          <w:color w:val="auto"/>
          <w:kern w:val="2"/>
          <w:sz w:val="32"/>
          <w:szCs w:val="32"/>
          <w:lang w:val="en-US" w:eastAsia="zh-CN" w:bidi="ar-SA"/>
        </w:rPr>
        <w:t>[资本工具]可细分为[资本补充债券]、[无固定期限资本债券]、[其他资本补充工具]。</w:t>
      </w:r>
      <w:r>
        <w:rPr>
          <w:rFonts w:hint="eastAsia" w:ascii="仿宋_GB2312" w:hAnsi="仿宋_GB2312" w:eastAsia="仿宋_GB2312" w:cs="仿宋_GB2312"/>
          <w:b w:val="0"/>
          <w:bCs w:val="0"/>
          <w:color w:val="auto"/>
          <w:kern w:val="2"/>
          <w:sz w:val="32"/>
          <w:szCs w:val="32"/>
          <w:lang w:val="en-US" w:eastAsia="zh-CN" w:bidi="ar-SA"/>
        </w:rPr>
        <w:t>保险公司发行资本补充工具应填报为实际资本的增加，赎回资本补充工具应填报为实际资本的减少。</w:t>
      </w:r>
      <w:r>
        <w:rPr>
          <w:rFonts w:hint="eastAsia" w:ascii="仿宋_GB2312" w:hAnsi="仿宋_GB2312" w:eastAsia="仿宋_GB2312" w:cs="仿宋_GB2312"/>
          <w:b/>
          <w:bCs/>
          <w:color w:val="auto"/>
          <w:kern w:val="2"/>
          <w:sz w:val="32"/>
          <w:szCs w:val="32"/>
          <w:lang w:val="en-US" w:eastAsia="zh-CN" w:bidi="ar-SA"/>
        </w:rPr>
        <w:t>其中，[资本补充债券]</w:t>
      </w:r>
      <w:r>
        <w:rPr>
          <w:rFonts w:hint="eastAsia" w:ascii="仿宋_GB2312" w:hAnsi="仿宋_GB2312" w:eastAsia="仿宋_GB2312" w:cs="仿宋_GB2312"/>
          <w:color w:val="auto"/>
          <w:kern w:val="2"/>
          <w:sz w:val="32"/>
          <w:szCs w:val="32"/>
          <w:lang w:val="en-US" w:eastAsia="zh-CN" w:bidi="ar-SA"/>
        </w:rPr>
        <w:t>指保险公司发行的用于补充资本，发行期限在五年以上（含五年），清偿顺序列于保单责任和其他普通负债之后，先于保险机构股权资本的债券。不含无固定期限资本债券。</w:t>
      </w:r>
      <w:r>
        <w:rPr>
          <w:rFonts w:hint="eastAsia" w:ascii="仿宋_GB2312" w:hAnsi="仿宋_GB2312" w:eastAsia="仿宋_GB2312" w:cs="仿宋_GB2312"/>
          <w:b/>
          <w:bCs/>
          <w:color w:val="auto"/>
          <w:kern w:val="2"/>
          <w:sz w:val="32"/>
          <w:szCs w:val="32"/>
          <w:lang w:val="en-US" w:eastAsia="zh-CN" w:bidi="ar-SA"/>
        </w:rPr>
        <w:t>[无固定期限资本债券]</w:t>
      </w:r>
      <w:r>
        <w:rPr>
          <w:rFonts w:hint="eastAsia" w:ascii="仿宋_GB2312" w:hAnsi="仿宋_GB2312" w:eastAsia="仿宋_GB2312" w:cs="仿宋_GB2312"/>
          <w:color w:val="auto"/>
          <w:kern w:val="2"/>
          <w:sz w:val="32"/>
          <w:szCs w:val="32"/>
          <w:lang w:val="en-US" w:eastAsia="zh-CN" w:bidi="ar-SA"/>
        </w:rPr>
        <w:t>指保险公司发行的没有固定期限、含有减记或转股条款、在持续经营状态下和破产清算状态下均可以吸收损失、满足偿付能力监管要求的资本补充债券。</w:t>
      </w:r>
      <w:r>
        <w:rPr>
          <w:rFonts w:hint="eastAsia" w:ascii="仿宋_GB2312" w:hAnsi="仿宋_GB2312" w:eastAsia="仿宋_GB2312" w:cs="仿宋_GB2312"/>
          <w:b/>
          <w:bCs/>
          <w:color w:val="auto"/>
          <w:kern w:val="2"/>
          <w:sz w:val="32"/>
          <w:szCs w:val="32"/>
          <w:lang w:val="en-US" w:eastAsia="zh-CN" w:bidi="ar-SA"/>
        </w:rPr>
        <w:t>[其他资本补充工具]</w:t>
      </w:r>
      <w:r>
        <w:rPr>
          <w:rFonts w:hint="eastAsia" w:ascii="仿宋_GB2312" w:hAnsi="仿宋_GB2312" w:eastAsia="仿宋_GB2312" w:cs="仿宋_GB2312"/>
          <w:color w:val="auto"/>
          <w:kern w:val="2"/>
          <w:sz w:val="32"/>
          <w:szCs w:val="32"/>
          <w:lang w:val="en-US" w:eastAsia="zh-CN" w:bidi="ar-SA"/>
        </w:rPr>
        <w:t>指保险公司为补充资本所发行除资本补充债券、无固定期限资本债券之外的其他资本补充工具。</w:t>
      </w:r>
    </w:p>
    <w:p w14:paraId="10FBA79F">
      <w:pPr>
        <w:pStyle w:val="56"/>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1"/>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三、风险类报表</w:t>
      </w:r>
    </w:p>
    <w:p w14:paraId="2EFDD17B">
      <w:pPr>
        <w:pStyle w:val="56"/>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（一）保险资产风险分类状况</w:t>
      </w:r>
    </w:p>
    <w:p w14:paraId="2F11076E">
      <w:pPr>
        <w:pStyle w:val="56"/>
        <w:keepNext w:val="0"/>
        <w:keepLines w:val="0"/>
        <w:pageBreakBefore w:val="0"/>
        <w:numPr>
          <w:ilvl w:val="0"/>
          <w:numId w:val="0"/>
        </w:numPr>
        <w:kinsoku/>
        <w:wordWrap/>
        <w:overflowPunct/>
        <w:topLinePunct w:val="0"/>
        <w:bidi w:val="0"/>
        <w:spacing w:after="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保险机构应当按照</w:t>
      </w:r>
      <w:r>
        <w:rPr>
          <w:rFonts w:hint="eastAsia" w:ascii="仿宋_GB2312" w:hAnsi="仿宋_GB2312" w:eastAsia="仿宋_GB2312" w:cs="仿宋_GB2312"/>
          <w:color w:val="auto"/>
          <w:sz w:val="32"/>
          <w:szCs w:val="32"/>
          <w:lang w:eastAsia="zh-CN"/>
        </w:rPr>
        <w:t>保险资金运用比例监管、</w:t>
      </w:r>
      <w:r>
        <w:rPr>
          <w:rFonts w:hint="eastAsia" w:ascii="仿宋_GB2312" w:hAnsi="仿宋_GB2312" w:eastAsia="仿宋_GB2312" w:cs="仿宋_GB2312"/>
          <w:color w:val="auto"/>
          <w:sz w:val="32"/>
          <w:szCs w:val="32"/>
        </w:rPr>
        <w:t>保险资产负债管理的有关要求，填报大类资产</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五级分类状况</w:t>
      </w:r>
      <w:r>
        <w:rPr>
          <w:rFonts w:hint="eastAsia" w:ascii="仿宋_GB2312" w:hAnsi="仿宋_GB2312" w:eastAsia="仿宋_GB2312" w:cs="仿宋_GB2312"/>
          <w:color w:val="auto"/>
          <w:sz w:val="32"/>
          <w:szCs w:val="32"/>
          <w:lang w:val="en-US" w:eastAsia="zh-CN"/>
        </w:rPr>
        <w:t>。</w:t>
      </w:r>
    </w:p>
    <w:p w14:paraId="69C58EDD">
      <w:pPr>
        <w:pStyle w:val="56"/>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（二）保险集团并表监测风险</w:t>
      </w:r>
    </w:p>
    <w:p w14:paraId="7F72A7C2">
      <w:pPr>
        <w:pStyle w:val="56"/>
        <w:keepNext w:val="0"/>
        <w:keepLines w:val="0"/>
        <w:pageBreakBefore w:val="0"/>
        <w:numPr>
          <w:ilvl w:val="0"/>
          <w:numId w:val="0"/>
        </w:numPr>
        <w:kinsoku/>
        <w:wordWrap/>
        <w:overflowPunct/>
        <w:topLinePunct w:val="0"/>
        <w:bidi w:val="0"/>
        <w:spacing w:after="0" w:line="60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color w:val="auto"/>
          <w:sz w:val="32"/>
          <w:szCs w:val="32"/>
          <w:lang w:val="en-US" w:eastAsia="zh-CN"/>
        </w:rPr>
        <w:t>保险集团（控股）公司应当基于合并资产负债表，开展下述统计。</w:t>
      </w:r>
    </w:p>
    <w:p w14:paraId="165FD59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[表外资产]</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指未在集团合并资产负债表中体现的、保险集团代表客户持有和投资的资产。</w:t>
      </w:r>
    </w:p>
    <w:p w14:paraId="2596953F">
      <w:pPr>
        <w:pStyle w:val="56"/>
        <w:keepNext w:val="0"/>
        <w:keepLines w:val="0"/>
        <w:pageBreakBefore w:val="0"/>
        <w:numPr>
          <w:ilvl w:val="0"/>
          <w:numId w:val="0"/>
        </w:numPr>
        <w:kinsoku/>
        <w:wordWrap/>
        <w:overflowPunct/>
        <w:topLinePunct w:val="0"/>
        <w:bidi w:val="0"/>
        <w:spacing w:line="600" w:lineRule="exact"/>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[表外负债]</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指集团财务报表附注中披露的合并资产负债表外的、保险集团需承担的义务，包括债务担保、金融担保、承诺事项等。</w:t>
      </w:r>
    </w:p>
    <w:p w14:paraId="5EAEF04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[境外营业收入]</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指保险集团营业收入中来源地为境外的营业收入部分。</w:t>
      </w:r>
    </w:p>
    <w:p w14:paraId="04DDCE5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[集团公司本级对外担保余额]</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指保险集团公司对外部非并表公司提供的担保余额。</w:t>
      </w:r>
    </w:p>
    <w:p w14:paraId="7A60FFC6">
      <w:pPr>
        <w:pStyle w:val="57"/>
        <w:keepNext w:val="0"/>
        <w:keepLines w:val="0"/>
        <w:pageBreakBefore w:val="0"/>
        <w:numPr>
          <w:ilvl w:val="0"/>
          <w:numId w:val="0"/>
        </w:numPr>
        <w:kinsoku/>
        <w:wordWrap/>
        <w:overflowPunct/>
        <w:topLinePunct w:val="0"/>
        <w:bidi w:val="0"/>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[集团公司本级担保余额与本级净资产的比率]</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指保险集团公司对外部非并表公司提供的担保余额与保险集团公司上一年末净资产的比率。</w:t>
      </w:r>
    </w:p>
    <w:p w14:paraId="28BEC73D">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[在其他金融机构的存放和拆借]</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指保险集团合并资产负债表中货币资金、结算备付金、拆出资金和定期存款的总和。</w:t>
      </w:r>
    </w:p>
    <w:p w14:paraId="1EDC164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[持有其他金融机构发行的债券]</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指保险集团持有金融机构发行的债券的账面价值。</w:t>
      </w:r>
    </w:p>
    <w:p w14:paraId="7358D29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[对其他金融机构的权益投资]</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指保险集团对其他金融机构的权益投资的账面价值，包括普通股票、证券投资基金、优先股权益融资工具、未上市企业股权等。</w:t>
      </w:r>
    </w:p>
    <w:p w14:paraId="533278A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[债券发行]</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指保险集团合并资产负债表中应付债券科目的余额。</w:t>
      </w:r>
    </w:p>
    <w:p w14:paraId="65C9C45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[其他金融机构的存放和拆借]</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指保险集团合并资产负债表中短期借款、向中央银行借款、银行同业及其他金融机构存放款项以及拆入资金的总和。</w:t>
      </w:r>
    </w:p>
    <w:p w14:paraId="6557230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[衍生金融资产]</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指保险集团合并资产负债表中衍生金融资产科目的余额。</w:t>
      </w:r>
    </w:p>
    <w:p w14:paraId="00E553BD">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[衍生金融负债]</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b w:val="0"/>
          <w:bCs w:val="0"/>
          <w:color w:val="auto"/>
          <w:sz w:val="32"/>
          <w:szCs w:val="32"/>
        </w:rPr>
        <w:t>指保险集团合并资产负债表中衍生金融负债科目的余额。</w:t>
      </w:r>
    </w:p>
    <w:p w14:paraId="4B955707">
      <w:pPr>
        <w:pStyle w:val="56"/>
        <w:keepNext w:val="0"/>
        <w:keepLines w:val="0"/>
        <w:pageBreakBefore w:val="0"/>
        <w:numPr>
          <w:ilvl w:val="0"/>
          <w:numId w:val="0"/>
        </w:numPr>
        <w:kinsoku/>
        <w:wordWrap/>
        <w:overflowPunct/>
        <w:topLinePunct w:val="0"/>
        <w:bidi w:val="0"/>
        <w:spacing w:line="6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rPr>
        <w:t>对境内非保险类金融企业投资形成的的长期股权投资的账面余额</w:t>
      </w:r>
      <w:r>
        <w:rPr>
          <w:rFonts w:hint="eastAsia" w:ascii="仿宋_GB2312" w:hAnsi="仿宋_GB2312" w:eastAsia="仿宋_GB2312" w:cs="仿宋_GB2312"/>
          <w:b/>
          <w:bCs/>
          <w:color w:val="auto"/>
          <w:sz w:val="32"/>
          <w:szCs w:val="32"/>
          <w:highlight w:val="none"/>
          <w:lang w:eastAsia="zh-CN"/>
        </w:rPr>
        <w:t>]</w:t>
      </w:r>
      <w:r>
        <w:rPr>
          <w:rFonts w:ascii="Times New Roman" w:hAnsi="Times New Roman" w:eastAsia="仿宋_GB2312" w:cs="Times New Roman"/>
          <w:color w:val="auto"/>
          <w:sz w:val="32"/>
          <w:szCs w:val="32"/>
          <w:highlight w:val="none"/>
        </w:rPr>
        <w:t>是</w:t>
      </w:r>
      <w:r>
        <w:rPr>
          <w:rFonts w:ascii="Times New Roman" w:hAnsi="Times New Roman" w:eastAsia="仿宋_GB2312" w:cs="Times New Roman"/>
          <w:bCs/>
          <w:color w:val="auto"/>
          <w:sz w:val="32"/>
          <w:szCs w:val="32"/>
          <w:highlight w:val="none"/>
        </w:rPr>
        <w:t>指</w:t>
      </w:r>
      <w:r>
        <w:rPr>
          <w:rFonts w:ascii="Times New Roman" w:hAnsi="Times New Roman" w:eastAsia="仿宋_GB2312" w:cs="Times New Roman"/>
          <w:color w:val="auto"/>
          <w:sz w:val="32"/>
          <w:szCs w:val="32"/>
          <w:highlight w:val="none"/>
        </w:rPr>
        <w:t>保险集团公司及其子公司对境内非保险类金融企业长期股权投资的账面</w:t>
      </w:r>
      <w:r>
        <w:rPr>
          <w:rFonts w:hint="eastAsia" w:ascii="Times New Roman" w:hAnsi="Times New Roman" w:eastAsia="仿宋_GB2312" w:cs="Times New Roman"/>
          <w:color w:val="auto"/>
          <w:sz w:val="32"/>
          <w:szCs w:val="32"/>
          <w:highlight w:val="none"/>
        </w:rPr>
        <w:t>余额</w:t>
      </w:r>
      <w:r>
        <w:rPr>
          <w:rFonts w:ascii="Times New Roman" w:hAnsi="Times New Roman" w:eastAsia="仿宋_GB2312" w:cs="Times New Roman"/>
          <w:color w:val="auto"/>
          <w:sz w:val="32"/>
          <w:szCs w:val="32"/>
          <w:highlight w:val="none"/>
        </w:rPr>
        <w:t>。</w:t>
      </w:r>
    </w:p>
    <w:p w14:paraId="039B533D">
      <w:pPr>
        <w:pStyle w:val="56"/>
        <w:keepNext w:val="0"/>
        <w:keepLines w:val="0"/>
        <w:pageBreakBefore w:val="0"/>
        <w:numPr>
          <w:ilvl w:val="0"/>
          <w:numId w:val="0"/>
        </w:numPr>
        <w:kinsoku/>
        <w:wordWrap/>
        <w:overflowPunct/>
        <w:topLinePunct w:val="0"/>
        <w:bidi w:val="0"/>
        <w:spacing w:line="6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rPr>
        <w:t>对境内非保险类金融企业开展重大股权投资的账面余额</w:t>
      </w:r>
      <w:r>
        <w:rPr>
          <w:rFonts w:hint="eastAsia" w:ascii="仿宋_GB2312" w:hAnsi="仿宋_GB2312" w:eastAsia="仿宋_GB2312" w:cs="仿宋_GB2312"/>
          <w:b/>
          <w:bCs/>
          <w:color w:val="auto"/>
          <w:sz w:val="32"/>
          <w:szCs w:val="32"/>
          <w:highlight w:val="none"/>
          <w:lang w:eastAsia="zh-CN"/>
        </w:rPr>
        <w:t>]</w:t>
      </w:r>
      <w:r>
        <w:rPr>
          <w:rFonts w:ascii="Times New Roman" w:hAnsi="Times New Roman" w:eastAsia="仿宋_GB2312" w:cs="Times New Roman"/>
          <w:color w:val="auto"/>
          <w:sz w:val="32"/>
          <w:szCs w:val="32"/>
        </w:rPr>
        <w:t>是</w:t>
      </w:r>
      <w:r>
        <w:rPr>
          <w:rFonts w:hint="eastAsia" w:ascii="Times New Roman" w:hAnsi="Times New Roman" w:eastAsia="仿宋_GB2312" w:cs="Times New Roman"/>
          <w:color w:val="auto"/>
          <w:sz w:val="32"/>
          <w:szCs w:val="32"/>
        </w:rPr>
        <w:t>指保险集团公司及其子公司对境内非保险类金融企业重大股权投资的账面余额。</w:t>
      </w:r>
    </w:p>
    <w:p w14:paraId="190827A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[对非保险类金融企业股权投资比率]</w:t>
      </w:r>
      <w:r>
        <w:rPr>
          <w:rFonts w:hint="eastAsia" w:ascii="仿宋_GB2312" w:hAnsi="仿宋_GB2312" w:eastAsia="仿宋_GB2312" w:cs="仿宋_GB2312"/>
          <w:b w:val="0"/>
          <w:bCs w:val="0"/>
          <w:color w:val="auto"/>
          <w:sz w:val="32"/>
          <w:szCs w:val="32"/>
        </w:rPr>
        <w:t>等于</w:t>
      </w:r>
      <w:r>
        <w:rPr>
          <w:rFonts w:hint="eastAsia" w:ascii="仿宋_GB2312" w:hAnsi="仿宋_GB2312" w:eastAsia="仿宋_GB2312" w:cs="仿宋_GB2312"/>
          <w:b/>
          <w:bCs/>
          <w:color w:val="auto"/>
          <w:sz w:val="32"/>
          <w:szCs w:val="32"/>
        </w:rPr>
        <w:t>[对境内非保险类金融企业投资形成的长期股权投资的账面余额合计]</w:t>
      </w:r>
      <w:r>
        <w:rPr>
          <w:rFonts w:hint="eastAsia" w:ascii="仿宋_GB2312" w:hAnsi="仿宋_GB2312" w:eastAsia="仿宋_GB2312" w:cs="仿宋_GB2312"/>
          <w:b w:val="0"/>
          <w:bCs w:val="0"/>
          <w:color w:val="auto"/>
          <w:sz w:val="32"/>
          <w:szCs w:val="32"/>
        </w:rPr>
        <w:t>与集团上一年末合并净资产的比率</w:t>
      </w:r>
      <w:r>
        <w:rPr>
          <w:rFonts w:hint="eastAsia" w:ascii="仿宋_GB2312" w:hAnsi="仿宋_GB2312" w:eastAsia="仿宋_GB2312" w:cs="仿宋_GB2312"/>
          <w:b/>
          <w:bCs/>
          <w:color w:val="auto"/>
          <w:sz w:val="32"/>
          <w:szCs w:val="32"/>
        </w:rPr>
        <w:t>。</w:t>
      </w:r>
    </w:p>
    <w:p w14:paraId="5F13868D">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[对非保险类金融企业重大股权投资比率]</w:t>
      </w:r>
      <w:r>
        <w:rPr>
          <w:rFonts w:hint="eastAsia" w:ascii="仿宋_GB2312" w:hAnsi="仿宋_GB2312" w:eastAsia="仿宋_GB2312" w:cs="仿宋_GB2312"/>
          <w:b w:val="0"/>
          <w:bCs w:val="0"/>
          <w:color w:val="auto"/>
          <w:sz w:val="32"/>
          <w:szCs w:val="32"/>
        </w:rPr>
        <w:t>等于</w:t>
      </w:r>
      <w:r>
        <w:rPr>
          <w:rFonts w:hint="eastAsia" w:ascii="仿宋_GB2312" w:hAnsi="仿宋_GB2312" w:eastAsia="仿宋_GB2312" w:cs="仿宋_GB2312"/>
          <w:b/>
          <w:bCs/>
          <w:color w:val="auto"/>
          <w:sz w:val="32"/>
          <w:szCs w:val="32"/>
        </w:rPr>
        <w:t>[对境内非保险类金融企业开展重大股权投资的账面余额合计]</w:t>
      </w:r>
      <w:r>
        <w:rPr>
          <w:rFonts w:hint="eastAsia" w:ascii="仿宋_GB2312" w:hAnsi="仿宋_GB2312" w:eastAsia="仿宋_GB2312" w:cs="仿宋_GB2312"/>
          <w:b w:val="0"/>
          <w:bCs w:val="0"/>
          <w:color w:val="auto"/>
          <w:sz w:val="32"/>
          <w:szCs w:val="32"/>
        </w:rPr>
        <w:t>与集团上一年末合并净资产的比率。</w:t>
      </w:r>
    </w:p>
    <w:p w14:paraId="7B555BD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[对境内非金融企业投资形成的长期股权投资的账面余额合计]</w:t>
      </w:r>
      <w:r>
        <w:rPr>
          <w:rFonts w:hint="eastAsia" w:ascii="仿宋_GB2312" w:hAnsi="仿宋_GB2312" w:eastAsia="仿宋_GB2312" w:cs="仿宋_GB2312"/>
          <w:b w:val="0"/>
          <w:bCs w:val="0"/>
          <w:color w:val="auto"/>
          <w:sz w:val="32"/>
          <w:szCs w:val="32"/>
        </w:rPr>
        <w:t>是指保险集团公司及其金融类子公司在境内投资的首层级非金融类企业的长期股权投资的账面余额。</w:t>
      </w:r>
    </w:p>
    <w:p w14:paraId="0BC6E9C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[对境内非金融企业重大股权投资的账面余额合计]</w:t>
      </w:r>
      <w:r>
        <w:rPr>
          <w:rFonts w:hint="eastAsia" w:ascii="仿宋_GB2312" w:hAnsi="仿宋_GB2312" w:eastAsia="仿宋_GB2312" w:cs="仿宋_GB2312"/>
          <w:b w:val="0"/>
          <w:bCs w:val="0"/>
          <w:color w:val="auto"/>
          <w:sz w:val="32"/>
          <w:szCs w:val="32"/>
        </w:rPr>
        <w:t>是指保险集团公司及其金融类子公司在境内投资的首层级非金融类企业的重大股权投资的账面余额。</w:t>
      </w:r>
    </w:p>
    <w:p w14:paraId="031C9022">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[对非金融类企业股权投资比率]</w:t>
      </w:r>
      <w:r>
        <w:rPr>
          <w:rFonts w:hint="eastAsia" w:ascii="仿宋_GB2312" w:hAnsi="仿宋_GB2312" w:eastAsia="仿宋_GB2312" w:cs="仿宋_GB2312"/>
          <w:b w:val="0"/>
          <w:bCs w:val="0"/>
          <w:color w:val="auto"/>
          <w:sz w:val="32"/>
          <w:szCs w:val="32"/>
        </w:rPr>
        <w:t>等于剔除</w:t>
      </w:r>
      <w:r>
        <w:rPr>
          <w:rFonts w:hint="eastAsia" w:ascii="仿宋_GB2312" w:hAnsi="仿宋_GB2312" w:eastAsia="仿宋_GB2312" w:cs="仿宋_GB2312"/>
          <w:b/>
          <w:bCs/>
          <w:color w:val="auto"/>
          <w:sz w:val="32"/>
          <w:szCs w:val="32"/>
        </w:rPr>
        <w:t>[为投资不动产设立项目公司而形成的长期股权投资账面余额合计]</w:t>
      </w:r>
      <w:r>
        <w:rPr>
          <w:rFonts w:hint="eastAsia" w:ascii="仿宋_GB2312" w:hAnsi="仿宋_GB2312" w:eastAsia="仿宋_GB2312" w:cs="仿宋_GB2312"/>
          <w:b w:val="0"/>
          <w:bCs w:val="0"/>
          <w:color w:val="auto"/>
          <w:sz w:val="32"/>
          <w:szCs w:val="32"/>
        </w:rPr>
        <w:t>后的</w:t>
      </w:r>
      <w:r>
        <w:rPr>
          <w:rFonts w:hint="eastAsia" w:ascii="仿宋_GB2312" w:hAnsi="仿宋_GB2312" w:eastAsia="仿宋_GB2312" w:cs="仿宋_GB2312"/>
          <w:b/>
          <w:bCs/>
          <w:color w:val="auto"/>
          <w:sz w:val="32"/>
          <w:szCs w:val="32"/>
        </w:rPr>
        <w:t>[对境内非金融企业重大股权投资的账面余额合计]</w:t>
      </w:r>
      <w:r>
        <w:rPr>
          <w:rFonts w:hint="eastAsia" w:ascii="仿宋_GB2312" w:hAnsi="仿宋_GB2312" w:eastAsia="仿宋_GB2312" w:cs="仿宋_GB2312"/>
          <w:b w:val="0"/>
          <w:bCs w:val="0"/>
          <w:color w:val="auto"/>
          <w:sz w:val="32"/>
          <w:szCs w:val="32"/>
        </w:rPr>
        <w:t>与集团上一年末合并净资产的比率。</w:t>
      </w:r>
    </w:p>
    <w:p w14:paraId="197FA13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[对非金融类企业重大股权投资比率]</w:t>
      </w:r>
      <w:r>
        <w:rPr>
          <w:rFonts w:hint="eastAsia" w:ascii="仿宋_GB2312" w:hAnsi="仿宋_GB2312" w:eastAsia="仿宋_GB2312" w:cs="仿宋_GB2312"/>
          <w:b w:val="0"/>
          <w:bCs w:val="0"/>
          <w:color w:val="auto"/>
          <w:sz w:val="32"/>
          <w:szCs w:val="32"/>
        </w:rPr>
        <w:t>等于剔除</w:t>
      </w:r>
      <w:r>
        <w:rPr>
          <w:rFonts w:hint="eastAsia" w:ascii="仿宋_GB2312" w:hAnsi="仿宋_GB2312" w:eastAsia="仿宋_GB2312" w:cs="仿宋_GB2312"/>
          <w:b/>
          <w:bCs/>
          <w:color w:val="auto"/>
          <w:sz w:val="32"/>
          <w:szCs w:val="32"/>
        </w:rPr>
        <w:t>[为投资不动产设立项目公司而形成的长期股权投资账面余额合计]、[对服务于保险集团内部的共享服务类非金融企业重大股权投资的账面余额合计]</w:t>
      </w:r>
      <w:r>
        <w:rPr>
          <w:rFonts w:hint="eastAsia" w:ascii="仿宋_GB2312" w:hAnsi="仿宋_GB2312" w:eastAsia="仿宋_GB2312" w:cs="仿宋_GB2312"/>
          <w:b w:val="0"/>
          <w:bCs w:val="0"/>
          <w:color w:val="auto"/>
          <w:sz w:val="32"/>
          <w:szCs w:val="32"/>
        </w:rPr>
        <w:t>后的</w:t>
      </w:r>
      <w:r>
        <w:rPr>
          <w:rFonts w:hint="eastAsia" w:ascii="仿宋_GB2312" w:hAnsi="仿宋_GB2312" w:eastAsia="仿宋_GB2312" w:cs="仿宋_GB2312"/>
          <w:b/>
          <w:bCs/>
          <w:color w:val="auto"/>
          <w:sz w:val="32"/>
          <w:szCs w:val="32"/>
        </w:rPr>
        <w:t>[对境内非金融企业重大股权投资的账面余额合计]</w:t>
      </w:r>
      <w:r>
        <w:rPr>
          <w:rFonts w:hint="eastAsia" w:ascii="仿宋_GB2312" w:hAnsi="仿宋_GB2312" w:eastAsia="仿宋_GB2312" w:cs="仿宋_GB2312"/>
          <w:b w:val="0"/>
          <w:bCs w:val="0"/>
          <w:color w:val="auto"/>
          <w:sz w:val="32"/>
          <w:szCs w:val="32"/>
        </w:rPr>
        <w:t>与集团上一年末合并净资产的比率。</w:t>
      </w:r>
    </w:p>
    <w:p w14:paraId="2C628AE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[为投资不动产设立项目公司而形成的长期股权投资的账面余额]</w:t>
      </w:r>
      <w:r>
        <w:rPr>
          <w:rFonts w:hint="eastAsia" w:ascii="仿宋_GB2312" w:hAnsi="仿宋_GB2312" w:eastAsia="仿宋_GB2312" w:cs="仿宋_GB2312"/>
          <w:b w:val="0"/>
          <w:bCs w:val="0"/>
          <w:color w:val="auto"/>
          <w:sz w:val="32"/>
          <w:szCs w:val="32"/>
        </w:rPr>
        <w:t>是指保险集团公司及其金融类子公司在境内投资的首层级为投资不动产设立的项目公司的重大股权投资的账面余额。</w:t>
      </w:r>
    </w:p>
    <w:p w14:paraId="3FAC4A6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[对服务于保险集团内部的共享服务类非金融企业重大股权投资账面余额]</w:t>
      </w:r>
      <w:r>
        <w:rPr>
          <w:rFonts w:hint="eastAsia" w:ascii="仿宋_GB2312" w:hAnsi="仿宋_GB2312" w:eastAsia="仿宋_GB2312" w:cs="仿宋_GB2312"/>
          <w:b w:val="0"/>
          <w:bCs w:val="0"/>
          <w:color w:val="auto"/>
          <w:sz w:val="32"/>
          <w:szCs w:val="32"/>
        </w:rPr>
        <w:t>是指保险集团公司及其金融类子公司在境内投资的首层级服务于保险集团内部的共享服务类非金融企业的重大股权投资的账面余额。</w:t>
      </w:r>
    </w:p>
    <w:p w14:paraId="4CBA549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[对境外主体投资形成的长期股权投资的账面余额合计]</w:t>
      </w:r>
      <w:r>
        <w:rPr>
          <w:rFonts w:hint="eastAsia" w:ascii="仿宋_GB2312" w:hAnsi="仿宋_GB2312" w:eastAsia="仿宋_GB2312" w:cs="仿宋_GB2312"/>
          <w:b w:val="0"/>
          <w:bCs w:val="0"/>
          <w:color w:val="auto"/>
          <w:sz w:val="32"/>
          <w:szCs w:val="32"/>
        </w:rPr>
        <w:t>是指保险集团公司及其境内子公司在境外投资的首层级境外主体长期股权投资的账面余额。</w:t>
      </w:r>
    </w:p>
    <w:p w14:paraId="38567156">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[对境外主体重大股权投资的账面余额合计]</w:t>
      </w:r>
      <w:r>
        <w:rPr>
          <w:rFonts w:hint="eastAsia" w:ascii="仿宋_GB2312" w:hAnsi="仿宋_GB2312" w:eastAsia="仿宋_GB2312" w:cs="仿宋_GB2312"/>
          <w:b w:val="0"/>
          <w:bCs w:val="0"/>
          <w:color w:val="auto"/>
          <w:sz w:val="32"/>
          <w:szCs w:val="32"/>
        </w:rPr>
        <w:t>是指保险集团公司及其境内子公司在境外投资的首层级境外主体重大股权投资的账面余额。</w:t>
      </w:r>
    </w:p>
    <w:p w14:paraId="19AC0B9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[对境外主体股权投资比率]</w:t>
      </w:r>
      <w:r>
        <w:rPr>
          <w:rFonts w:hint="eastAsia" w:ascii="仿宋_GB2312" w:hAnsi="仿宋_GB2312" w:eastAsia="仿宋_GB2312" w:cs="仿宋_GB2312"/>
          <w:b w:val="0"/>
          <w:bCs w:val="0"/>
          <w:color w:val="auto"/>
          <w:sz w:val="32"/>
          <w:szCs w:val="32"/>
        </w:rPr>
        <w:t>等于</w:t>
      </w:r>
      <w:r>
        <w:rPr>
          <w:rFonts w:hint="eastAsia" w:ascii="仿宋_GB2312" w:hAnsi="仿宋_GB2312" w:eastAsia="仿宋_GB2312" w:cs="仿宋_GB2312"/>
          <w:b/>
          <w:bCs/>
          <w:color w:val="auto"/>
          <w:sz w:val="32"/>
          <w:szCs w:val="32"/>
        </w:rPr>
        <w:t>[对境外主体投资形成的长期股权投资的账面余额合计]</w:t>
      </w:r>
      <w:r>
        <w:rPr>
          <w:rFonts w:hint="eastAsia" w:ascii="仿宋_GB2312" w:hAnsi="仿宋_GB2312" w:eastAsia="仿宋_GB2312" w:cs="仿宋_GB2312"/>
          <w:b w:val="0"/>
          <w:bCs w:val="0"/>
          <w:color w:val="auto"/>
          <w:sz w:val="32"/>
          <w:szCs w:val="32"/>
        </w:rPr>
        <w:t>与集团上一年末合并净资产的比率。</w:t>
      </w:r>
    </w:p>
    <w:p w14:paraId="28C1549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[对境外主体重大股权投资比率]</w:t>
      </w:r>
      <w:r>
        <w:rPr>
          <w:rFonts w:hint="eastAsia" w:ascii="仿宋_GB2312" w:hAnsi="仿宋_GB2312" w:eastAsia="仿宋_GB2312" w:cs="仿宋_GB2312"/>
          <w:b w:val="0"/>
          <w:bCs w:val="0"/>
          <w:color w:val="auto"/>
          <w:sz w:val="32"/>
          <w:szCs w:val="32"/>
        </w:rPr>
        <w:t>等于</w:t>
      </w:r>
      <w:r>
        <w:rPr>
          <w:rFonts w:hint="eastAsia" w:ascii="仿宋_GB2312" w:hAnsi="仿宋_GB2312" w:eastAsia="仿宋_GB2312" w:cs="仿宋_GB2312"/>
          <w:b/>
          <w:bCs/>
          <w:color w:val="auto"/>
          <w:sz w:val="32"/>
          <w:szCs w:val="32"/>
        </w:rPr>
        <w:t>[对境外主体重大股权投资的账面余额合计]</w:t>
      </w:r>
      <w:r>
        <w:rPr>
          <w:rFonts w:hint="eastAsia" w:ascii="仿宋_GB2312" w:hAnsi="仿宋_GB2312" w:eastAsia="仿宋_GB2312" w:cs="仿宋_GB2312"/>
          <w:b w:val="0"/>
          <w:bCs w:val="0"/>
          <w:color w:val="auto"/>
          <w:sz w:val="32"/>
          <w:szCs w:val="32"/>
        </w:rPr>
        <w:t>与集团上一年末合并净资产的比率。</w:t>
      </w:r>
    </w:p>
    <w:p w14:paraId="1F7C9E0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[是否存在对单一境外主体投资账面余额超过集团合并净资产5%的情形]</w:t>
      </w:r>
      <w:r>
        <w:rPr>
          <w:rFonts w:hint="eastAsia" w:ascii="仿宋_GB2312" w:hAnsi="仿宋_GB2312" w:eastAsia="仿宋_GB2312" w:cs="仿宋_GB2312"/>
          <w:b w:val="0"/>
          <w:bCs w:val="0"/>
          <w:color w:val="auto"/>
          <w:sz w:val="32"/>
          <w:szCs w:val="32"/>
          <w:lang w:eastAsia="zh-CN"/>
        </w:rPr>
        <w:t>是</w:t>
      </w:r>
      <w:r>
        <w:rPr>
          <w:rFonts w:hint="eastAsia" w:ascii="仿宋_GB2312" w:hAnsi="仿宋_GB2312" w:eastAsia="仿宋_GB2312" w:cs="仿宋_GB2312"/>
          <w:b w:val="0"/>
          <w:bCs w:val="0"/>
          <w:color w:val="auto"/>
          <w:sz w:val="32"/>
          <w:szCs w:val="32"/>
        </w:rPr>
        <w:t>指保险集团公司及其境内子公司投资单一境外非金融主体的账面余额与集团上一年末合并净资产的比率不得超过5%。本条规定的境外主体不包括保险集团公司及其境内金融类子公司为投资不动产设立的项目公司。</w:t>
      </w:r>
    </w:p>
    <w:p w14:paraId="502080C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[双重</w:t>
      </w:r>
      <w:r>
        <w:rPr>
          <w:rFonts w:hint="eastAsia" w:ascii="仿宋_GB2312" w:hAnsi="仿宋_GB2312" w:eastAsia="仿宋_GB2312" w:cs="仿宋_GB2312"/>
          <w:b/>
          <w:bCs/>
          <w:color w:val="auto"/>
          <w:sz w:val="32"/>
          <w:szCs w:val="32"/>
          <w:lang w:eastAsia="zh-CN"/>
        </w:rPr>
        <w:t>杠杆</w:t>
      </w:r>
      <w:r>
        <w:rPr>
          <w:rFonts w:hint="eastAsia" w:ascii="仿宋_GB2312" w:hAnsi="仿宋_GB2312" w:eastAsia="仿宋_GB2312" w:cs="仿宋_GB2312"/>
          <w:b/>
          <w:bCs/>
          <w:color w:val="auto"/>
          <w:sz w:val="32"/>
          <w:szCs w:val="32"/>
        </w:rPr>
        <w:t>率]</w:t>
      </w:r>
      <w:r>
        <w:rPr>
          <w:rFonts w:hint="eastAsia" w:ascii="仿宋_GB2312" w:hAnsi="仿宋_GB2312" w:eastAsia="仿宋_GB2312" w:cs="仿宋_GB2312"/>
          <w:b w:val="0"/>
          <w:bCs w:val="0"/>
          <w:color w:val="auto"/>
          <w:sz w:val="32"/>
          <w:szCs w:val="32"/>
        </w:rPr>
        <w:t>是指保险集团公司长期股权投资账面价值与所有者权益之比；账面价值是指账面余额扣除减值准备。</w:t>
      </w:r>
    </w:p>
    <w:p w14:paraId="4CA5BDF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[集团本级未来3个月现金流缺口]</w:t>
      </w:r>
      <w:r>
        <w:rPr>
          <w:rFonts w:hint="eastAsia" w:ascii="仿宋_GB2312" w:hAnsi="仿宋_GB2312" w:eastAsia="仿宋_GB2312" w:cs="仿宋_GB2312"/>
          <w:b w:val="0"/>
          <w:bCs w:val="0"/>
          <w:color w:val="auto"/>
          <w:sz w:val="32"/>
          <w:szCs w:val="32"/>
        </w:rPr>
        <w:t>指保险集团公司未来3个月预期现金流入减去流出的差额。</w:t>
      </w:r>
    </w:p>
    <w:p w14:paraId="4CA629D5">
      <w:pPr>
        <w:pStyle w:val="56"/>
        <w:keepNext w:val="0"/>
        <w:keepLines w:val="0"/>
        <w:pageBreakBefore w:val="0"/>
        <w:numPr>
          <w:ilvl w:val="0"/>
          <w:numId w:val="0"/>
        </w:numPr>
        <w:kinsoku/>
        <w:wordWrap/>
        <w:overflowPunct/>
        <w:topLinePunct w:val="0"/>
        <w:bidi w:val="0"/>
        <w:spacing w:line="60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[并表投资账面余额]</w:t>
      </w:r>
      <w:r>
        <w:rPr>
          <w:rFonts w:hint="eastAsia" w:ascii="仿宋_GB2312" w:hAnsi="仿宋_GB2312" w:eastAsia="仿宋_GB2312" w:cs="仿宋_GB2312"/>
          <w:b w:val="0"/>
          <w:bCs w:val="0"/>
          <w:color w:val="auto"/>
          <w:sz w:val="32"/>
          <w:szCs w:val="32"/>
          <w:lang w:val="en-US" w:eastAsia="zh-CN"/>
        </w:rPr>
        <w:t>是指保险集团合并资产负债表中，所有合并资产的投资账面余额，不仅包括保险资金，还包括非保险资金。</w:t>
      </w:r>
    </w:p>
    <w:p w14:paraId="48779E9B">
      <w:pPr>
        <w:pStyle w:val="56"/>
        <w:keepNext w:val="0"/>
        <w:keepLines w:val="0"/>
        <w:pageBreakBefore w:val="0"/>
        <w:numPr>
          <w:ilvl w:val="0"/>
          <w:numId w:val="0"/>
        </w:numPr>
        <w:kinsoku/>
        <w:wordWrap/>
        <w:overflowPunct/>
        <w:topLinePunct w:val="0"/>
        <w:bidi w:val="0"/>
        <w:spacing w:line="600" w:lineRule="exact"/>
        <w:ind w:firstLine="643"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[并表投资收益]</w:t>
      </w:r>
      <w:r>
        <w:rPr>
          <w:rFonts w:hint="eastAsia" w:ascii="仿宋_GB2312" w:hAnsi="仿宋_GB2312" w:eastAsia="仿宋_GB2312" w:cs="仿宋_GB2312"/>
          <w:b w:val="0"/>
          <w:bCs w:val="0"/>
          <w:color w:val="auto"/>
          <w:sz w:val="32"/>
          <w:szCs w:val="32"/>
          <w:lang w:val="en-US" w:eastAsia="zh-CN"/>
        </w:rPr>
        <w:t>是指保险集团并表投资获得的投资收益，其定义可参照“第四部分 保险资金运用”中有关</w:t>
      </w:r>
      <w:r>
        <w:rPr>
          <w:rFonts w:hint="eastAsia" w:ascii="仿宋_GB2312" w:hAnsi="仿宋_GB2312" w:eastAsia="仿宋_GB2312" w:cs="仿宋_GB2312"/>
          <w:b/>
          <w:bCs/>
          <w:color w:val="auto"/>
          <w:sz w:val="32"/>
          <w:szCs w:val="32"/>
          <w:lang w:val="en-US" w:eastAsia="zh-CN"/>
        </w:rPr>
        <w:t>[实现收益]</w:t>
      </w:r>
      <w:r>
        <w:rPr>
          <w:rFonts w:hint="eastAsia" w:ascii="仿宋_GB2312" w:hAnsi="仿宋_GB2312" w:eastAsia="仿宋_GB2312" w:cs="仿宋_GB2312"/>
          <w:b w:val="0"/>
          <w:bCs w:val="0"/>
          <w:color w:val="auto"/>
          <w:sz w:val="32"/>
          <w:szCs w:val="32"/>
          <w:lang w:val="en-US" w:eastAsia="zh-CN"/>
        </w:rPr>
        <w:t>的定义。</w:t>
      </w:r>
    </w:p>
    <w:p w14:paraId="3E7109A3">
      <w:pPr>
        <w:pStyle w:val="56"/>
        <w:keepNext w:val="0"/>
        <w:keepLines w:val="0"/>
        <w:pageBreakBefore w:val="0"/>
        <w:numPr>
          <w:ilvl w:val="0"/>
          <w:numId w:val="0"/>
        </w:numPr>
        <w:kinsoku/>
        <w:wordWrap/>
        <w:overflowPunct/>
        <w:topLinePunct w:val="0"/>
        <w:bidi w:val="0"/>
        <w:spacing w:line="600" w:lineRule="exact"/>
        <w:ind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[并表财务投资收益率]</w:t>
      </w:r>
      <w:r>
        <w:rPr>
          <w:rFonts w:hint="eastAsia" w:ascii="仿宋_GB2312" w:hAnsi="仿宋_GB2312" w:eastAsia="仿宋_GB2312" w:cs="仿宋_GB2312"/>
          <w:b w:val="0"/>
          <w:bCs w:val="0"/>
          <w:color w:val="auto"/>
          <w:sz w:val="32"/>
          <w:szCs w:val="32"/>
          <w:lang w:val="en-US" w:eastAsia="zh-CN"/>
        </w:rPr>
        <w:t>是指保险集团并表投资已实现收益与并表投资的平均账面余额的比率，其定义可参照“第四部分 保险资金运用类”中有关</w:t>
      </w:r>
      <w:r>
        <w:rPr>
          <w:rFonts w:hint="eastAsia" w:ascii="仿宋_GB2312" w:hAnsi="仿宋_GB2312" w:eastAsia="仿宋_GB2312" w:cs="仿宋_GB2312"/>
          <w:b/>
          <w:bCs/>
          <w:color w:val="auto"/>
          <w:sz w:val="32"/>
          <w:szCs w:val="32"/>
          <w:lang w:val="en-US" w:eastAsia="zh-CN"/>
        </w:rPr>
        <w:t>[财务投资收益率]</w:t>
      </w:r>
      <w:r>
        <w:rPr>
          <w:rFonts w:hint="eastAsia" w:ascii="仿宋_GB2312" w:hAnsi="仿宋_GB2312" w:eastAsia="仿宋_GB2312" w:cs="仿宋_GB2312"/>
          <w:b w:val="0"/>
          <w:bCs w:val="0"/>
          <w:color w:val="auto"/>
          <w:sz w:val="32"/>
          <w:szCs w:val="32"/>
          <w:lang w:val="en-US" w:eastAsia="zh-CN"/>
        </w:rPr>
        <w:t>的定义。</w:t>
      </w:r>
    </w:p>
    <w:p w14:paraId="77B90193">
      <w:pPr>
        <w:pStyle w:val="56"/>
        <w:keepNext w:val="0"/>
        <w:keepLines w:val="0"/>
        <w:pageBreakBefore w:val="0"/>
        <w:numPr>
          <w:ilvl w:val="0"/>
          <w:numId w:val="0"/>
        </w:numPr>
        <w:kinsoku/>
        <w:wordWrap/>
        <w:overflowPunct/>
        <w:topLinePunct w:val="0"/>
        <w:bidi w:val="0"/>
        <w:spacing w:line="600" w:lineRule="exact"/>
        <w:ind w:firstLine="643"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[并表综合投资收益率]</w:t>
      </w:r>
      <w:r>
        <w:rPr>
          <w:rFonts w:hint="eastAsia" w:ascii="仿宋_GB2312" w:hAnsi="仿宋_GB2312" w:eastAsia="仿宋_GB2312" w:cs="仿宋_GB2312"/>
          <w:b w:val="0"/>
          <w:bCs w:val="0"/>
          <w:color w:val="auto"/>
          <w:sz w:val="32"/>
          <w:szCs w:val="32"/>
          <w:lang w:val="en-US" w:eastAsia="zh-CN"/>
        </w:rPr>
        <w:t>是指保险集团并表投资已实现收益和未实现收益总和与并表投资的平均账面余额的比率，其定义可参照“第四部分 保险资金运用类”中有关</w:t>
      </w:r>
      <w:r>
        <w:rPr>
          <w:rFonts w:hint="eastAsia" w:ascii="仿宋_GB2312" w:hAnsi="仿宋_GB2312" w:eastAsia="仿宋_GB2312" w:cs="仿宋_GB2312"/>
          <w:b/>
          <w:bCs/>
          <w:color w:val="auto"/>
          <w:sz w:val="32"/>
          <w:szCs w:val="32"/>
          <w:lang w:val="en-US" w:eastAsia="zh-CN"/>
        </w:rPr>
        <w:t>[综合投资收益率]</w:t>
      </w:r>
      <w:r>
        <w:rPr>
          <w:rFonts w:hint="eastAsia" w:ascii="仿宋_GB2312" w:hAnsi="仿宋_GB2312" w:eastAsia="仿宋_GB2312" w:cs="仿宋_GB2312"/>
          <w:b w:val="0"/>
          <w:bCs w:val="0"/>
          <w:color w:val="auto"/>
          <w:sz w:val="32"/>
          <w:szCs w:val="32"/>
          <w:lang w:val="en-US" w:eastAsia="zh-CN"/>
        </w:rPr>
        <w:t>的定义。</w:t>
      </w:r>
    </w:p>
    <w:p w14:paraId="55300B74">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p>
    <w:p w14:paraId="2EB5B6E7">
      <w:pPr>
        <w:keepNext w:val="0"/>
        <w:keepLines w:val="0"/>
        <w:pageBreakBefore w:val="0"/>
        <w:kinsoku/>
        <w:wordWrap/>
        <w:overflowPunct/>
        <w:topLinePunct w:val="0"/>
        <w:bidi w:val="0"/>
        <w:spacing w:after="0" w:line="600" w:lineRule="exact"/>
        <w:jc w:val="center"/>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Cs w:val="32"/>
          <w:lang w:val="en-US" w:eastAsia="zh-CN"/>
        </w:rPr>
        <w:br w:type="page"/>
      </w:r>
      <w:bookmarkStart w:id="50" w:name="_Toc281874412"/>
      <w:bookmarkStart w:id="51" w:name="_Toc1805922828"/>
      <w:r>
        <w:rPr>
          <w:rFonts w:hint="eastAsia" w:ascii="黑体" w:hAnsi="黑体" w:eastAsia="黑体" w:cs="黑体"/>
          <w:color w:val="auto"/>
          <w:spacing w:val="-11"/>
          <w:sz w:val="32"/>
          <w:szCs w:val="32"/>
          <w:lang w:val="en-US" w:eastAsia="zh-CN"/>
        </w:rPr>
        <w:t>第六部分 支持发展及重点关注类</w:t>
      </w:r>
      <w:bookmarkEnd w:id="50"/>
      <w:bookmarkEnd w:id="51"/>
    </w:p>
    <w:p w14:paraId="146B7508">
      <w:pPr>
        <w:pStyle w:val="57"/>
        <w:keepNext w:val="0"/>
        <w:keepLines w:val="0"/>
        <w:pageBreakBefore w:val="0"/>
        <w:widowControl w:val="0"/>
        <w:kinsoku/>
        <w:wordWrap/>
        <w:overflowPunct/>
        <w:topLinePunct w:val="0"/>
        <w:bidi w:val="0"/>
        <w:snapToGrid/>
        <w:spacing w:after="0" w:line="60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val="en-US" w:eastAsia="zh-CN"/>
        </w:rPr>
        <w:t>部分</w:t>
      </w:r>
      <w:r>
        <w:rPr>
          <w:rFonts w:hint="eastAsia" w:ascii="仿宋_GB2312" w:hAnsi="仿宋_GB2312" w:eastAsia="仿宋_GB2312" w:cs="仿宋_GB2312"/>
          <w:color w:val="auto"/>
          <w:sz w:val="32"/>
          <w:szCs w:val="32"/>
          <w:lang w:eastAsia="zh-CN"/>
        </w:rPr>
        <w:t>主要统计</w:t>
      </w:r>
      <w:r>
        <w:rPr>
          <w:rFonts w:hint="eastAsia" w:ascii="仿宋_GB2312" w:hAnsi="仿宋_GB2312" w:eastAsia="仿宋_GB2312" w:cs="仿宋_GB2312"/>
          <w:color w:val="auto"/>
          <w:sz w:val="32"/>
          <w:szCs w:val="32"/>
          <w:lang w:val="en-US" w:eastAsia="zh-CN"/>
        </w:rPr>
        <w:t>保险公司在金融“五篇大文章”、互联网保险、商保年金、大病保险、农业保险、首台套、重点新材料等重点关注领域的数据。</w:t>
      </w:r>
    </w:p>
    <w:p w14:paraId="448CE04D">
      <w:pPr>
        <w:pStyle w:val="56"/>
        <w:keepNext w:val="0"/>
        <w:keepLines w:val="0"/>
        <w:pageBreakBefore w:val="0"/>
        <w:kinsoku/>
        <w:wordWrap/>
        <w:overflowPunct/>
        <w:topLinePunct w:val="0"/>
        <w:bidi w:val="0"/>
        <w:spacing w:after="0" w:line="600" w:lineRule="exact"/>
        <w:ind w:left="0" w:leftChars="0" w:firstLine="640" w:firstLineChars="200"/>
        <w:jc w:val="both"/>
        <w:textAlignment w:val="auto"/>
        <w:outlineLvl w:val="1"/>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一、保险资金支持金融“五篇大文章”重点领域</w:t>
      </w:r>
    </w:p>
    <w:p w14:paraId="2BC77AF4">
      <w:pPr>
        <w:pStyle w:val="56"/>
        <w:keepNext w:val="0"/>
        <w:keepLines w:val="0"/>
        <w:pageBreakBefore w:val="0"/>
        <w:numPr>
          <w:ilvl w:val="0"/>
          <w:numId w:val="0"/>
        </w:numPr>
        <w:kinsoku/>
        <w:wordWrap/>
        <w:overflowPunct/>
        <w:topLinePunct w:val="0"/>
        <w:bidi w:val="0"/>
        <w:spacing w:after="0" w:line="600" w:lineRule="exact"/>
        <w:ind w:leftChars="0" w:firstLine="640" w:firstLineChars="200"/>
        <w:jc w:val="both"/>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保险机构按照“第四部分 保险资金运用类”开展统计时，需要根据</w:t>
      </w:r>
      <w:r>
        <w:rPr>
          <w:rFonts w:hint="default" w:ascii="仿宋_GB2312" w:hAnsi="仿宋_GB2312" w:eastAsia="仿宋_GB2312" w:cs="仿宋_GB2312"/>
          <w:color w:val="auto"/>
          <w:sz w:val="32"/>
          <w:szCs w:val="32"/>
          <w:lang w:val="en-US" w:eastAsia="zh-CN"/>
        </w:rPr>
        <w:t>保险资金支持金融</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五篇大文章</w:t>
      </w:r>
      <w:r>
        <w:rPr>
          <w:rFonts w:hint="eastAsia" w:ascii="仿宋_GB2312" w:hAnsi="仿宋_GB2312" w:eastAsia="仿宋_GB2312" w:cs="仿宋_GB2312"/>
          <w:color w:val="auto"/>
          <w:sz w:val="32"/>
          <w:szCs w:val="32"/>
          <w:lang w:val="en-US" w:eastAsia="zh-CN"/>
        </w:rPr>
        <w:t>”情况，填报保险公司在金融“五篇大文章”领域的投资情况。适用于</w:t>
      </w:r>
      <w:r>
        <w:rPr>
          <w:rFonts w:hint="eastAsia" w:ascii="仿宋_GB2312" w:hAnsi="仿宋_GB2312" w:eastAsia="仿宋_GB2312" w:cs="仿宋_GB2312"/>
          <w:b/>
          <w:bCs/>
          <w:color w:val="auto"/>
          <w:sz w:val="32"/>
          <w:szCs w:val="32"/>
          <w:lang w:val="en-US" w:eastAsia="zh-CN"/>
        </w:rPr>
        <w:t>[境内投资]</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b/>
          <w:bCs/>
          <w:color w:val="auto"/>
          <w:sz w:val="32"/>
          <w:szCs w:val="32"/>
          <w:lang w:val="en-US" w:eastAsia="zh-CN"/>
        </w:rPr>
        <w:t>[债券]、[基金</w:t>
      </w:r>
      <w:r>
        <w:rPr>
          <w:rFonts w:hint="eastAsia" w:ascii="仿宋_GB2312" w:hAnsi="仿宋_GB2312" w:eastAsia="仿宋_GB2312" w:cs="仿宋_GB2312"/>
          <w:b/>
          <w:bCs/>
          <w:color w:val="auto"/>
          <w:sz w:val="32"/>
          <w:szCs w:val="32"/>
        </w:rPr>
        <w:t>（不含私募股权投资基金、公募REITs）</w:t>
      </w:r>
      <w:r>
        <w:rPr>
          <w:rFonts w:hint="eastAsia" w:ascii="仿宋_GB2312" w:hAnsi="仿宋_GB2312" w:eastAsia="仿宋_GB2312" w:cs="仿宋_GB2312"/>
          <w:b/>
          <w:bCs/>
          <w:color w:val="auto"/>
          <w:sz w:val="32"/>
          <w:szCs w:val="32"/>
          <w:lang w:val="en-US" w:eastAsia="zh-CN"/>
        </w:rPr>
        <w:t>]、[股票]、[股权</w:t>
      </w:r>
      <w:r>
        <w:rPr>
          <w:rFonts w:hint="eastAsia" w:ascii="仿宋_GB2312" w:hAnsi="仿宋_GB2312" w:eastAsia="仿宋_GB2312" w:cs="仿宋_GB2312"/>
          <w:b/>
          <w:bCs/>
          <w:color w:val="auto"/>
          <w:sz w:val="32"/>
          <w:szCs w:val="32"/>
        </w:rPr>
        <w:t>（不含不动产项目公司股权）</w:t>
      </w:r>
      <w:r>
        <w:rPr>
          <w:rFonts w:hint="eastAsia" w:ascii="仿宋_GB2312" w:hAnsi="仿宋_GB2312" w:eastAsia="仿宋_GB2312" w:cs="仿宋_GB2312"/>
          <w:b/>
          <w:bCs/>
          <w:color w:val="auto"/>
          <w:sz w:val="32"/>
          <w:szCs w:val="32"/>
          <w:lang w:val="en-US" w:eastAsia="zh-CN"/>
        </w:rPr>
        <w:t>]、[不动产（不含自用性不动产）]、[金融产品]</w:t>
      </w:r>
      <w:r>
        <w:rPr>
          <w:rFonts w:hint="eastAsia" w:ascii="仿宋_GB2312" w:hAnsi="仿宋_GB2312" w:eastAsia="仿宋_GB2312" w:cs="仿宋_GB2312"/>
          <w:color w:val="auto"/>
          <w:sz w:val="32"/>
          <w:szCs w:val="32"/>
          <w:lang w:val="en-US" w:eastAsia="zh-CN"/>
        </w:rPr>
        <w:t>等资产，以及境内主体在境外发行的上述相关类型的资产。</w:t>
      </w:r>
    </w:p>
    <w:p w14:paraId="1FA86B76">
      <w:pPr>
        <w:pStyle w:val="56"/>
        <w:keepNext w:val="0"/>
        <w:keepLines w:val="0"/>
        <w:pageBreakBefore w:val="0"/>
        <w:numPr>
          <w:ilvl w:val="0"/>
          <w:numId w:val="0"/>
        </w:numPr>
        <w:kinsoku/>
        <w:wordWrap/>
        <w:overflowPunct/>
        <w:topLinePunct w:val="0"/>
        <w:bidi w:val="0"/>
        <w:spacing w:after="0" w:line="600" w:lineRule="exact"/>
        <w:ind w:leftChars="0" w:firstLine="640" w:firstLineChars="200"/>
        <w:jc w:val="both"/>
        <w:textAlignment w:val="auto"/>
        <w:outlineLvl w:val="2"/>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lang w:val="en-US" w:eastAsia="zh-CN"/>
        </w:rPr>
        <w:t>统计指标及口径</w:t>
      </w:r>
    </w:p>
    <w:p w14:paraId="27791BD5">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具体统计指标与“第四部分 保险资金运用类”的统计指标一致。</w:t>
      </w:r>
    </w:p>
    <w:p w14:paraId="7F4E962B">
      <w:pPr>
        <w:pStyle w:val="56"/>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（二）统计维度及分类标准</w:t>
      </w:r>
    </w:p>
    <w:p w14:paraId="15691CDC">
      <w:pPr>
        <w:keepNext w:val="0"/>
        <w:keepLines w:val="0"/>
        <w:pageBreakBefore w:val="0"/>
        <w:widowControl w:val="0"/>
        <w:kinsoku/>
        <w:wordWrap/>
        <w:overflowPunct/>
        <w:topLinePunct w:val="0"/>
        <w:autoSpaceDE w:val="0"/>
        <w:autoSpaceDN w:val="0"/>
        <w:bidi w:val="0"/>
        <w:adjustRightInd w:val="0"/>
        <w:spacing w:after="0" w:line="600" w:lineRule="exact"/>
        <w:ind w:firstLine="640"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保险机构应根据资金投向行业，确定资产是否属于“五篇大文章”领域。包括</w:t>
      </w:r>
      <w:r>
        <w:rPr>
          <w:rFonts w:hint="eastAsia" w:ascii="仿宋_GB2312" w:hAnsi="仿宋_GB2312" w:eastAsia="仿宋_GB2312" w:cs="仿宋_GB2312"/>
          <w:b/>
          <w:bCs/>
          <w:color w:val="auto"/>
          <w:kern w:val="2"/>
          <w:sz w:val="32"/>
          <w:szCs w:val="32"/>
          <w:lang w:val="en-US" w:eastAsia="zh-CN" w:bidi="ar-SA"/>
        </w:rPr>
        <w:t>[科技领域]、[绿色领域]、[养老领域]、[普惠领域]、[数字领域]、[其他领域]。</w:t>
      </w:r>
    </w:p>
    <w:p w14:paraId="1CD6F243">
      <w:pPr>
        <w:keepNext w:val="0"/>
        <w:keepLines w:val="0"/>
        <w:pageBreakBefore w:val="0"/>
        <w:widowControl w:val="0"/>
        <w:kinsoku/>
        <w:wordWrap/>
        <w:overflowPunct/>
        <w:topLinePunct w:val="0"/>
        <w:autoSpaceDE w:val="0"/>
        <w:autoSpaceDN w:val="0"/>
        <w:bidi w:val="0"/>
        <w:adjustRightInd w:val="0"/>
        <w:spacing w:after="0"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[科技领域]</w:t>
      </w:r>
      <w:r>
        <w:rPr>
          <w:rFonts w:hint="eastAsia" w:ascii="仿宋_GB2312" w:hAnsi="仿宋_GB2312" w:eastAsia="仿宋_GB2312" w:cs="仿宋_GB2312"/>
          <w:color w:val="auto"/>
          <w:kern w:val="2"/>
          <w:sz w:val="32"/>
          <w:szCs w:val="32"/>
          <w:lang w:val="en-US" w:eastAsia="zh-CN" w:bidi="ar-SA"/>
        </w:rPr>
        <w:t>的二级领域包括</w:t>
      </w:r>
      <w:r>
        <w:rPr>
          <w:rFonts w:hint="eastAsia" w:ascii="仿宋_GB2312" w:hAnsi="仿宋_GB2312" w:eastAsia="仿宋_GB2312" w:cs="仿宋_GB2312"/>
          <w:b/>
          <w:bCs/>
          <w:color w:val="auto"/>
          <w:kern w:val="2"/>
          <w:sz w:val="32"/>
          <w:szCs w:val="32"/>
          <w:lang w:val="en-US" w:eastAsia="zh-CN" w:bidi="ar-SA"/>
        </w:rPr>
        <w:t>[科技型企业]、[高技术制造业]、[高技术服务业]、[战略性新兴产业]、[知识产权（专利）密集型产业]、[其他科技领域]</w:t>
      </w:r>
      <w:r>
        <w:rPr>
          <w:rFonts w:hint="eastAsia" w:ascii="仿宋_GB2312" w:hAnsi="仿宋_GB2312" w:eastAsia="仿宋_GB2312" w:cs="仿宋_GB2312"/>
          <w:color w:val="auto"/>
          <w:kern w:val="2"/>
          <w:sz w:val="32"/>
          <w:szCs w:val="32"/>
          <w:lang w:val="en-US" w:eastAsia="zh-CN" w:bidi="ar-SA"/>
        </w:rPr>
        <w:t>。</w:t>
      </w:r>
    </w:p>
    <w:p w14:paraId="54E7CC25">
      <w:pPr>
        <w:keepNext w:val="0"/>
        <w:keepLines w:val="0"/>
        <w:pageBreakBefore w:val="0"/>
        <w:widowControl w:val="0"/>
        <w:kinsoku/>
        <w:wordWrap/>
        <w:overflowPunct/>
        <w:topLinePunct w:val="0"/>
        <w:autoSpaceDE w:val="0"/>
        <w:autoSpaceDN w:val="0"/>
        <w:bidi w:val="0"/>
        <w:adjustRightInd w:val="0"/>
        <w:spacing w:after="0" w:line="60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[绿色领域]</w:t>
      </w:r>
      <w:r>
        <w:rPr>
          <w:rFonts w:hint="eastAsia" w:ascii="仿宋_GB2312" w:hAnsi="仿宋_GB2312" w:eastAsia="仿宋_GB2312" w:cs="仿宋_GB2312"/>
          <w:color w:val="auto"/>
          <w:kern w:val="2"/>
          <w:sz w:val="32"/>
          <w:szCs w:val="32"/>
          <w:lang w:val="en-US" w:eastAsia="zh-CN" w:bidi="ar-SA"/>
        </w:rPr>
        <w:t>的二级领域包括</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节能降碳产业</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环境保护产业</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资源循环利用产业</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能源绿色低碳转型产业</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生态保护修复和利用贷款</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基础设施绿色升级</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绿色服务</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绿色消费</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绿色贸易</w:t>
      </w:r>
      <w:r>
        <w:rPr>
          <w:rFonts w:hint="eastAsia" w:ascii="仿宋_GB2312" w:hAnsi="仿宋_GB2312" w:eastAsia="仿宋_GB2312" w:cs="仿宋_GB2312"/>
          <w:b/>
          <w:bCs/>
          <w:color w:val="auto"/>
          <w:kern w:val="2"/>
          <w:sz w:val="32"/>
          <w:szCs w:val="32"/>
          <w:lang w:val="en-US" w:eastAsia="zh-CN" w:bidi="ar-SA"/>
        </w:rPr>
        <w:t>]、[其他绿色领域]</w:t>
      </w:r>
      <w:r>
        <w:rPr>
          <w:rFonts w:hint="eastAsia" w:ascii="仿宋_GB2312" w:hAnsi="仿宋_GB2312" w:eastAsia="仿宋_GB2312" w:cs="仿宋_GB2312"/>
          <w:b w:val="0"/>
          <w:bCs w:val="0"/>
          <w:color w:val="auto"/>
          <w:kern w:val="2"/>
          <w:sz w:val="32"/>
          <w:szCs w:val="32"/>
          <w:lang w:val="en-US" w:eastAsia="zh-CN" w:bidi="ar-SA"/>
        </w:rPr>
        <w:t>。</w:t>
      </w:r>
    </w:p>
    <w:p w14:paraId="6BCC44A1">
      <w:pPr>
        <w:keepNext w:val="0"/>
        <w:keepLines w:val="0"/>
        <w:pageBreakBefore w:val="0"/>
        <w:widowControl w:val="0"/>
        <w:kinsoku/>
        <w:wordWrap/>
        <w:overflowPunct/>
        <w:topLinePunct w:val="0"/>
        <w:autoSpaceDE w:val="0"/>
        <w:autoSpaceDN w:val="0"/>
        <w:bidi w:val="0"/>
        <w:adjustRightInd w:val="0"/>
        <w:spacing w:after="0"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[普惠领域]</w:t>
      </w:r>
      <w:r>
        <w:rPr>
          <w:rFonts w:hint="eastAsia" w:ascii="仿宋_GB2312" w:hAnsi="仿宋_GB2312" w:eastAsia="仿宋_GB2312" w:cs="仿宋_GB2312"/>
          <w:color w:val="auto"/>
          <w:kern w:val="2"/>
          <w:sz w:val="32"/>
          <w:szCs w:val="32"/>
          <w:lang w:val="en-US" w:eastAsia="zh-CN" w:bidi="ar-SA"/>
        </w:rPr>
        <w:t>的二级领域包括</w:t>
      </w:r>
      <w:r>
        <w:rPr>
          <w:rFonts w:hint="eastAsia" w:ascii="仿宋_GB2312" w:hAnsi="仿宋_GB2312" w:eastAsia="仿宋_GB2312" w:cs="仿宋_GB2312"/>
          <w:b/>
          <w:bCs/>
          <w:color w:val="auto"/>
          <w:kern w:val="2"/>
          <w:sz w:val="32"/>
          <w:szCs w:val="32"/>
          <w:lang w:val="en-US" w:eastAsia="zh-CN" w:bidi="ar-SA"/>
        </w:rPr>
        <w:t>[小微企业]、[乡村产业]、[其他普惠领域]</w:t>
      </w:r>
      <w:r>
        <w:rPr>
          <w:rFonts w:hint="eastAsia" w:ascii="仿宋_GB2312" w:hAnsi="仿宋_GB2312" w:eastAsia="仿宋_GB2312" w:cs="仿宋_GB2312"/>
          <w:color w:val="auto"/>
          <w:kern w:val="2"/>
          <w:sz w:val="32"/>
          <w:szCs w:val="32"/>
          <w:lang w:val="en-US" w:eastAsia="zh-CN" w:bidi="ar-SA"/>
        </w:rPr>
        <w:t>。</w:t>
      </w:r>
    </w:p>
    <w:p w14:paraId="598379C8">
      <w:pPr>
        <w:keepNext w:val="0"/>
        <w:keepLines w:val="0"/>
        <w:pageBreakBefore w:val="0"/>
        <w:widowControl w:val="0"/>
        <w:kinsoku/>
        <w:wordWrap/>
        <w:overflowPunct/>
        <w:topLinePunct w:val="0"/>
        <w:autoSpaceDE w:val="0"/>
        <w:autoSpaceDN w:val="0"/>
        <w:bidi w:val="0"/>
        <w:adjustRightInd w:val="0"/>
        <w:spacing w:after="0" w:line="60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[数字领域]</w:t>
      </w:r>
      <w:r>
        <w:rPr>
          <w:rFonts w:hint="eastAsia" w:ascii="仿宋_GB2312" w:hAnsi="仿宋_GB2312" w:eastAsia="仿宋_GB2312" w:cs="仿宋_GB2312"/>
          <w:color w:val="auto"/>
          <w:kern w:val="2"/>
          <w:sz w:val="32"/>
          <w:szCs w:val="32"/>
          <w:lang w:val="en-US" w:eastAsia="zh-CN" w:bidi="ar-SA"/>
        </w:rPr>
        <w:t>的二级领域包括</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数字产品制造业</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数字产品服务业</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数字技术应用业</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数字要素驱动业</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数字化效率提升业</w:t>
      </w:r>
      <w:r>
        <w:rPr>
          <w:rFonts w:hint="eastAsia" w:ascii="仿宋_GB2312" w:hAnsi="仿宋_GB2312" w:eastAsia="仿宋_GB2312" w:cs="仿宋_GB2312"/>
          <w:b/>
          <w:bCs/>
          <w:color w:val="auto"/>
          <w:kern w:val="2"/>
          <w:sz w:val="32"/>
          <w:szCs w:val="32"/>
          <w:lang w:val="en-US" w:eastAsia="zh-CN" w:bidi="ar-SA"/>
        </w:rPr>
        <w:t>]、[其他数字领域]</w:t>
      </w:r>
      <w:r>
        <w:rPr>
          <w:rFonts w:hint="eastAsia" w:ascii="仿宋_GB2312" w:hAnsi="仿宋_GB2312" w:eastAsia="仿宋_GB2312" w:cs="仿宋_GB2312"/>
          <w:color w:val="auto"/>
          <w:kern w:val="2"/>
          <w:sz w:val="32"/>
          <w:szCs w:val="32"/>
          <w:lang w:val="en-US" w:eastAsia="zh-CN" w:bidi="ar-SA"/>
        </w:rPr>
        <w:t>。</w:t>
      </w:r>
    </w:p>
    <w:p w14:paraId="584C1829">
      <w:pPr>
        <w:keepNext w:val="0"/>
        <w:keepLines w:val="0"/>
        <w:pageBreakBefore w:val="0"/>
        <w:widowControl w:val="0"/>
        <w:kinsoku/>
        <w:wordWrap/>
        <w:overflowPunct/>
        <w:topLinePunct w:val="0"/>
        <w:autoSpaceDE w:val="0"/>
        <w:autoSpaceDN w:val="0"/>
        <w:bidi w:val="0"/>
        <w:adjustRightInd w:val="0"/>
        <w:spacing w:after="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某项投资资产涉及多个领域的，应当同时填报，比如，</w:t>
      </w:r>
      <w:r>
        <w:rPr>
          <w:rFonts w:hint="eastAsia" w:ascii="仿宋_GB2312" w:hAnsi="仿宋_GB2312" w:eastAsia="仿宋_GB2312" w:cs="仿宋_GB2312"/>
          <w:b/>
          <w:bCs/>
          <w:color w:val="auto"/>
          <w:kern w:val="2"/>
          <w:sz w:val="32"/>
          <w:szCs w:val="32"/>
          <w:lang w:val="en-US" w:eastAsia="zh-CN" w:bidi="ar-SA"/>
        </w:rPr>
        <w:t>[科技型企业、</w:t>
      </w:r>
      <w:r>
        <w:rPr>
          <w:rFonts w:hint="default" w:ascii="仿宋_GB2312" w:hAnsi="仿宋_GB2312" w:eastAsia="仿宋_GB2312" w:cs="仿宋_GB2312"/>
          <w:b/>
          <w:bCs/>
          <w:color w:val="auto"/>
          <w:kern w:val="2"/>
          <w:sz w:val="32"/>
          <w:szCs w:val="32"/>
          <w:lang w:val="en-US" w:eastAsia="zh-CN" w:bidi="ar-SA"/>
        </w:rPr>
        <w:t>节能降碳产业</w:t>
      </w:r>
      <w:r>
        <w:rPr>
          <w:rFonts w:hint="eastAsia" w:ascii="仿宋_GB2312" w:hAnsi="仿宋_GB2312" w:eastAsia="仿宋_GB2312" w:cs="仿宋_GB2312"/>
          <w:b/>
          <w:bCs/>
          <w:color w:val="auto"/>
          <w:kern w:val="2"/>
          <w:sz w:val="32"/>
          <w:szCs w:val="32"/>
          <w:lang w:val="en-US" w:eastAsia="zh-CN" w:bidi="ar-SA"/>
        </w:rPr>
        <w:t>、</w:t>
      </w:r>
      <w:r>
        <w:rPr>
          <w:rFonts w:hint="default" w:ascii="仿宋_GB2312" w:hAnsi="仿宋_GB2312" w:eastAsia="仿宋_GB2312" w:cs="仿宋_GB2312"/>
          <w:b/>
          <w:bCs/>
          <w:color w:val="auto"/>
          <w:kern w:val="2"/>
          <w:sz w:val="32"/>
          <w:szCs w:val="32"/>
          <w:lang w:val="en-US" w:eastAsia="zh-CN" w:bidi="ar-SA"/>
        </w:rPr>
        <w:t>数字要素驱动业</w:t>
      </w:r>
      <w:r>
        <w:rPr>
          <w:rFonts w:hint="eastAsia" w:ascii="仿宋_GB2312" w:hAnsi="仿宋_GB2312" w:eastAsia="仿宋_GB2312" w:cs="仿宋_GB2312"/>
          <w:b/>
          <w:bCs/>
          <w:color w:val="auto"/>
          <w:kern w:val="2"/>
          <w:sz w:val="32"/>
          <w:szCs w:val="32"/>
          <w:lang w:val="en-US" w:eastAsia="zh-CN" w:bidi="ar-SA"/>
        </w:rPr>
        <w:t>]、[科技领域、绿色领域]、[科技领域、绿色领域、养老领域、普惠领域、数字领域]</w:t>
      </w:r>
      <w:r>
        <w:rPr>
          <w:rFonts w:hint="eastAsia" w:ascii="仿宋_GB2312" w:hAnsi="仿宋_GB2312" w:eastAsia="仿宋_GB2312" w:cs="仿宋_GB2312"/>
          <w:b w:val="0"/>
          <w:bCs w:val="0"/>
          <w:color w:val="auto"/>
          <w:kern w:val="2"/>
          <w:sz w:val="32"/>
          <w:szCs w:val="32"/>
          <w:lang w:val="en-US" w:eastAsia="zh-CN" w:bidi="ar-SA"/>
        </w:rPr>
        <w:t>等。对于二级领域同时涉及多个金融“五篇大文章”领域的投资资产，在汇总成一级领域时，只计算一次，不重复计算，比如，</w:t>
      </w:r>
      <w:r>
        <w:rPr>
          <w:rFonts w:hint="eastAsia" w:ascii="仿宋_GB2312" w:hAnsi="仿宋_GB2312" w:eastAsia="仿宋_GB2312" w:cs="仿宋_GB2312"/>
          <w:b/>
          <w:bCs/>
          <w:color w:val="auto"/>
          <w:kern w:val="2"/>
          <w:sz w:val="32"/>
          <w:szCs w:val="32"/>
          <w:lang w:val="en-US" w:eastAsia="zh-CN" w:bidi="ar-SA"/>
        </w:rPr>
        <w:t>[科技领域]＝[科技型企业]＋[高技术制造业]＋[高技术服务业]＋[战略性新兴产业]＋[知识产权（专利）密集型产业]＋[其他科技领域]</w:t>
      </w:r>
      <w:r>
        <w:rPr>
          <w:rFonts w:hint="eastAsia" w:ascii="仿宋_GB2312" w:hAnsi="仿宋_GB2312" w:eastAsia="仿宋_GB2312" w:cs="仿宋_GB2312"/>
          <w:b w:val="0"/>
          <w:bCs w:val="0"/>
          <w:color w:val="auto"/>
          <w:kern w:val="2"/>
          <w:sz w:val="32"/>
          <w:szCs w:val="32"/>
          <w:lang w:val="en-US" w:eastAsia="zh-CN" w:bidi="ar-SA"/>
        </w:rPr>
        <w:t>，同时属于</w:t>
      </w:r>
      <w:r>
        <w:rPr>
          <w:rFonts w:hint="eastAsia" w:ascii="仿宋_GB2312" w:hAnsi="仿宋_GB2312" w:eastAsia="仿宋_GB2312" w:cs="仿宋_GB2312"/>
          <w:b/>
          <w:bCs/>
          <w:color w:val="auto"/>
          <w:kern w:val="2"/>
          <w:sz w:val="32"/>
          <w:szCs w:val="32"/>
          <w:lang w:val="en-US" w:eastAsia="zh-CN" w:bidi="ar-SA"/>
        </w:rPr>
        <w:t>[科技型企业、高技术制造业]</w:t>
      </w:r>
      <w:r>
        <w:rPr>
          <w:rFonts w:hint="eastAsia" w:ascii="仿宋_GB2312" w:hAnsi="仿宋_GB2312" w:eastAsia="仿宋_GB2312" w:cs="仿宋_GB2312"/>
          <w:b w:val="0"/>
          <w:bCs w:val="0"/>
          <w:color w:val="auto"/>
          <w:kern w:val="2"/>
          <w:sz w:val="32"/>
          <w:szCs w:val="32"/>
          <w:lang w:val="en-US" w:eastAsia="zh-CN" w:bidi="ar-SA"/>
        </w:rPr>
        <w:t>的，在汇总时只选择其中一个领域计入，不重复计算。</w:t>
      </w:r>
    </w:p>
    <w:p w14:paraId="60C5D296">
      <w:pPr>
        <w:keepNext w:val="0"/>
        <w:keepLines w:val="0"/>
        <w:pageBreakBefore w:val="0"/>
        <w:widowControl w:val="0"/>
        <w:kinsoku/>
        <w:wordWrap/>
        <w:overflowPunct/>
        <w:topLinePunct w:val="0"/>
        <w:autoSpaceDE w:val="0"/>
        <w:autoSpaceDN w:val="0"/>
        <w:bidi w:val="0"/>
        <w:adjustRightInd w:val="0"/>
        <w:spacing w:after="0" w:line="60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[“五篇大文章”领域]</w:t>
      </w:r>
      <w:r>
        <w:rPr>
          <w:rFonts w:hint="eastAsia" w:ascii="仿宋_GB2312" w:hAnsi="仿宋_GB2312" w:eastAsia="仿宋_GB2312" w:cs="仿宋_GB2312"/>
          <w:b w:val="0"/>
          <w:bCs w:val="0"/>
          <w:color w:val="auto"/>
          <w:kern w:val="2"/>
          <w:sz w:val="32"/>
          <w:szCs w:val="32"/>
          <w:lang w:val="en-US" w:eastAsia="zh-CN" w:bidi="ar-SA"/>
        </w:rPr>
        <w:t>是汇总值，</w:t>
      </w:r>
      <w:r>
        <w:rPr>
          <w:rFonts w:hint="eastAsia" w:ascii="仿宋_GB2312" w:hAnsi="仿宋_GB2312" w:eastAsia="仿宋_GB2312" w:cs="仿宋_GB2312"/>
          <w:b/>
          <w:bCs/>
          <w:color w:val="auto"/>
          <w:kern w:val="2"/>
          <w:sz w:val="32"/>
          <w:szCs w:val="32"/>
          <w:lang w:val="en-US" w:eastAsia="zh-CN" w:bidi="ar-SA"/>
        </w:rPr>
        <w:t>[“五篇大文章”领域]＝[科技领域]＋[绿色领域]＋[养老领域]＋[普惠领域]＋[数字领域]</w:t>
      </w:r>
      <w:r>
        <w:rPr>
          <w:rFonts w:hint="eastAsia" w:ascii="仿宋_GB2312" w:hAnsi="仿宋_GB2312" w:eastAsia="仿宋_GB2312" w:cs="仿宋_GB2312"/>
          <w:b w:val="0"/>
          <w:bCs w:val="0"/>
          <w:color w:val="auto"/>
          <w:kern w:val="2"/>
          <w:sz w:val="32"/>
          <w:szCs w:val="32"/>
          <w:lang w:val="en-US" w:eastAsia="zh-CN" w:bidi="ar-SA"/>
        </w:rPr>
        <w:t>，对于同时属于多个金融“五篇大文章”领域的投资资产，在汇总成</w:t>
      </w:r>
      <w:r>
        <w:rPr>
          <w:rFonts w:hint="eastAsia" w:ascii="仿宋_GB2312" w:hAnsi="仿宋_GB2312" w:eastAsia="仿宋_GB2312" w:cs="仿宋_GB2312"/>
          <w:b/>
          <w:bCs/>
          <w:color w:val="auto"/>
          <w:kern w:val="2"/>
          <w:sz w:val="32"/>
          <w:szCs w:val="32"/>
          <w:lang w:val="en-US" w:eastAsia="zh-CN" w:bidi="ar-SA"/>
        </w:rPr>
        <w:t>[“五篇大文章”领域]</w:t>
      </w:r>
      <w:r>
        <w:rPr>
          <w:rFonts w:hint="eastAsia" w:ascii="仿宋_GB2312" w:hAnsi="仿宋_GB2312" w:eastAsia="仿宋_GB2312" w:cs="仿宋_GB2312"/>
          <w:b w:val="0"/>
          <w:bCs w:val="0"/>
          <w:color w:val="auto"/>
          <w:kern w:val="2"/>
          <w:sz w:val="32"/>
          <w:szCs w:val="32"/>
          <w:lang w:val="en-US" w:eastAsia="zh-CN" w:bidi="ar-SA"/>
        </w:rPr>
        <w:t>时只选取其中一个领域计入，不重复计算。</w:t>
      </w:r>
    </w:p>
    <w:p w14:paraId="24F60DAD">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kern w:val="2"/>
          <w:sz w:val="32"/>
          <w:szCs w:val="32"/>
          <w:lang w:val="en-US" w:eastAsia="zh-CN" w:bidi="ar-SA"/>
        </w:rPr>
        <w:t>保险机构应当</w:t>
      </w:r>
      <w:r>
        <w:rPr>
          <w:rFonts w:hint="eastAsia" w:ascii="仿宋_GB2312" w:hAnsi="仿宋_GB2312" w:eastAsia="仿宋_GB2312" w:cs="仿宋_GB2312"/>
          <w:color w:val="auto"/>
          <w:kern w:val="2"/>
          <w:sz w:val="32"/>
          <w:szCs w:val="32"/>
          <w:lang w:val="en-US" w:eastAsia="zh-CN" w:bidi="ar-SA"/>
        </w:rPr>
        <w:t>对各类型</w:t>
      </w:r>
      <w:r>
        <w:rPr>
          <w:rFonts w:hint="default" w:ascii="仿宋_GB2312" w:hAnsi="仿宋_GB2312" w:eastAsia="仿宋_GB2312" w:cs="仿宋_GB2312"/>
          <w:color w:val="auto"/>
          <w:kern w:val="2"/>
          <w:sz w:val="32"/>
          <w:szCs w:val="32"/>
          <w:lang w:val="en-US" w:eastAsia="zh-CN" w:bidi="ar-SA"/>
        </w:rPr>
        <w:t>投资资产进行全面梳理，</w:t>
      </w:r>
      <w:r>
        <w:rPr>
          <w:rFonts w:hint="eastAsia" w:ascii="仿宋_GB2312" w:hAnsi="仿宋_GB2312" w:eastAsia="仿宋_GB2312" w:cs="仿宋_GB2312"/>
          <w:color w:val="auto"/>
          <w:kern w:val="2"/>
          <w:sz w:val="32"/>
          <w:szCs w:val="32"/>
          <w:lang w:val="en-US" w:eastAsia="zh-CN" w:bidi="ar-SA"/>
        </w:rPr>
        <w:t>首先确定是否属于</w:t>
      </w:r>
      <w:r>
        <w:rPr>
          <w:rFonts w:hint="default" w:ascii="仿宋_GB2312" w:hAnsi="仿宋_GB2312" w:eastAsia="仿宋_GB2312" w:cs="仿宋_GB2312"/>
          <w:b w:val="0"/>
          <w:bCs w:val="0"/>
          <w:color w:val="auto"/>
          <w:kern w:val="2"/>
          <w:sz w:val="32"/>
          <w:szCs w:val="32"/>
          <w:lang w:val="en-US" w:eastAsia="zh-CN" w:bidi="ar-SA"/>
        </w:rPr>
        <w:t>“五篇大文章”</w:t>
      </w:r>
      <w:r>
        <w:rPr>
          <w:rFonts w:hint="eastAsia" w:ascii="仿宋_GB2312" w:hAnsi="仿宋_GB2312" w:eastAsia="仿宋_GB2312" w:cs="仿宋_GB2312"/>
          <w:b w:val="0"/>
          <w:bCs w:val="0"/>
          <w:color w:val="auto"/>
          <w:kern w:val="2"/>
          <w:sz w:val="32"/>
          <w:szCs w:val="32"/>
          <w:lang w:val="en-US" w:eastAsia="zh-CN" w:bidi="ar-SA"/>
        </w:rPr>
        <w:t>领域</w:t>
      </w:r>
      <w:r>
        <w:rPr>
          <w:rFonts w:hint="eastAsia" w:ascii="仿宋_GB2312" w:hAnsi="仿宋_GB2312" w:eastAsia="仿宋_GB2312" w:cs="仿宋_GB2312"/>
          <w:color w:val="auto"/>
          <w:kern w:val="2"/>
          <w:sz w:val="32"/>
          <w:szCs w:val="32"/>
          <w:lang w:val="en-US" w:eastAsia="zh-CN" w:bidi="ar-SA"/>
        </w:rPr>
        <w:t>，对于不属于上述领域的，填入</w:t>
      </w:r>
      <w:r>
        <w:rPr>
          <w:rFonts w:hint="eastAsia" w:ascii="仿宋_GB2312" w:hAnsi="仿宋_GB2312" w:eastAsia="仿宋_GB2312" w:cs="仿宋_GB2312"/>
          <w:b/>
          <w:bCs/>
          <w:color w:val="auto"/>
          <w:kern w:val="2"/>
          <w:sz w:val="32"/>
          <w:szCs w:val="32"/>
          <w:lang w:val="en-US" w:eastAsia="zh-CN" w:bidi="ar-SA"/>
        </w:rPr>
        <w:t>[其他领域]</w:t>
      </w:r>
      <w:r>
        <w:rPr>
          <w:rFonts w:hint="eastAsia" w:ascii="仿宋_GB2312" w:hAnsi="仿宋_GB2312" w:eastAsia="仿宋_GB2312" w:cs="仿宋_GB2312"/>
          <w:color w:val="auto"/>
          <w:kern w:val="2"/>
          <w:sz w:val="32"/>
          <w:szCs w:val="32"/>
          <w:lang w:val="en-US" w:eastAsia="zh-CN" w:bidi="ar-SA"/>
        </w:rPr>
        <w:t>。确定过程遵循如下原则：</w:t>
      </w:r>
    </w:p>
    <w:p w14:paraId="155ACE5B">
      <w:pPr>
        <w:pStyle w:val="56"/>
        <w:keepNext w:val="0"/>
        <w:keepLines w:val="0"/>
        <w:pageBreakBefore w:val="0"/>
        <w:kinsoku/>
        <w:wordWrap/>
        <w:overflowPunct/>
        <w:topLinePunct w:val="0"/>
        <w:bidi w:val="0"/>
        <w:spacing w:line="600" w:lineRule="exact"/>
        <w:ind w:firstLine="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1.科技领域的分类标准。</w:t>
      </w:r>
      <w:r>
        <w:rPr>
          <w:rFonts w:hint="eastAsia" w:ascii="仿宋_GB2312" w:hAnsi="仿宋_GB2312" w:eastAsia="仿宋_GB2312" w:cs="仿宋_GB2312"/>
          <w:b w:val="0"/>
          <w:bCs w:val="0"/>
          <w:color w:val="auto"/>
          <w:sz w:val="32"/>
          <w:szCs w:val="32"/>
          <w:highlight w:val="none"/>
          <w:lang w:val="en-US" w:eastAsia="zh-CN"/>
        </w:rPr>
        <w:t>保险机构应当按照以下标准判断投资资产是否属于</w:t>
      </w:r>
      <w:r>
        <w:rPr>
          <w:rFonts w:hint="eastAsia" w:ascii="仿宋_GB2312" w:hAnsi="仿宋_GB2312" w:eastAsia="仿宋_GB2312" w:cs="仿宋_GB2312"/>
          <w:b/>
          <w:bCs/>
          <w:color w:val="auto"/>
          <w:sz w:val="32"/>
          <w:szCs w:val="32"/>
          <w:highlight w:val="none"/>
          <w:lang w:val="en-US" w:eastAsia="zh-CN"/>
        </w:rPr>
        <w:t>[科技领域]</w:t>
      </w:r>
      <w:r>
        <w:rPr>
          <w:rFonts w:hint="eastAsia" w:ascii="仿宋_GB2312" w:hAnsi="仿宋_GB2312" w:eastAsia="仿宋_GB2312" w:cs="仿宋_GB2312"/>
          <w:b w:val="0"/>
          <w:bCs w:val="0"/>
          <w:color w:val="auto"/>
          <w:sz w:val="32"/>
          <w:szCs w:val="32"/>
          <w:highlight w:val="none"/>
          <w:lang w:val="en-US" w:eastAsia="zh-CN"/>
        </w:rPr>
        <w:t>及其下一级领域投资：</w:t>
      </w:r>
    </w:p>
    <w:p w14:paraId="6353CDAA">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科技型企业名录。保险机构某项投资资产直接或穿透后投资于科技型企业名录的，属于科技领域投资。科技型企业名录包括：高新技术企业、科技型中小企业、“专精特新”中小企业、专精特新“小巨人”企业、创新型中小企业、“国家技术创新示范企业”和“制造业单项冠军企业”等其他科技型企业。</w:t>
      </w:r>
    </w:p>
    <w:p w14:paraId="55798EBB">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科技相关产业目录。保险机构某项投资资产直接或穿透后投资于科技相关产业目录的，属于科技领域投资。科技相关产业目录包括：《高技术产业（制造业）分类（2017)》《高技术产业（服务业）分类（2018）》《战略性新兴产业分类（2018）》《工业战略性新兴产业分类目录（2023）》《知识产权（专利）密集型产业统计分类2019）》等。</w:t>
      </w:r>
    </w:p>
    <w:p w14:paraId="27FEA752">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其他判断标准。除科技型企业目录和科技相关产业目录外，满足下列条件之一的投资资产属于科技领域投资：对于公募证券投资基金、银行理财产品、公开募集基础设施证券投资基金（公募REITs）、资产支持证券、私募股权投资母基金（PE FOF），私募股权二级市场基金（S基金）以及底层资产超过100笔的资产支持计划等投资资产，若其投资策略、募集说明书、产品合同、定期报告等产品发行文件中明确将科技型企业和科技相关产业作为主要投资方向，属于科技领域投资。对于组合类资管产品、股权投资计划、私募股权投资基金以及底层资产不超过100笔的债权投资计划、资产支持计划、集合资金信托计划、资产支持专项计划和债转股投资计划等投资资产，若其投资策略、募集说明书、产品合同、定期报告等产品发行文件中明确将科技型企业和科技相关产业作为主要投资方向，且穿透后底层资产的相关投资占比不低于80%，可全部纳入科技领域投资；若低于80%，应当按照穿透后底层资产实际投资规模进行填报。</w:t>
      </w:r>
    </w:p>
    <w:p w14:paraId="15BFE2E0">
      <w:pPr>
        <w:pStyle w:val="56"/>
        <w:keepNext w:val="0"/>
        <w:keepLines w:val="0"/>
        <w:pageBreakBefore w:val="0"/>
        <w:kinsoku/>
        <w:wordWrap/>
        <w:overflowPunct/>
        <w:topLinePunct w:val="0"/>
        <w:bidi w:val="0"/>
        <w:spacing w:line="600" w:lineRule="exact"/>
        <w:ind w:firstLine="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2.绿色领域的分类标准。</w:t>
      </w:r>
      <w:r>
        <w:rPr>
          <w:rFonts w:hint="eastAsia" w:ascii="仿宋_GB2312" w:hAnsi="仿宋_GB2312" w:eastAsia="仿宋_GB2312" w:cs="仿宋_GB2312"/>
          <w:b w:val="0"/>
          <w:bCs w:val="0"/>
          <w:color w:val="auto"/>
          <w:sz w:val="32"/>
          <w:szCs w:val="32"/>
          <w:highlight w:val="none"/>
          <w:lang w:val="en-US" w:eastAsia="zh-CN"/>
        </w:rPr>
        <w:t>保险机构应当按照以下标准判断投资资产是否属于</w:t>
      </w:r>
      <w:r>
        <w:rPr>
          <w:rFonts w:hint="eastAsia" w:ascii="仿宋_GB2312" w:hAnsi="仿宋_GB2312" w:eastAsia="仿宋_GB2312" w:cs="仿宋_GB2312"/>
          <w:b/>
          <w:bCs/>
          <w:color w:val="auto"/>
          <w:sz w:val="32"/>
          <w:szCs w:val="32"/>
          <w:highlight w:val="none"/>
          <w:lang w:val="en-US" w:eastAsia="zh-CN"/>
        </w:rPr>
        <w:t>[绿色领域]</w:t>
      </w:r>
      <w:r>
        <w:rPr>
          <w:rFonts w:hint="eastAsia" w:ascii="仿宋_GB2312" w:hAnsi="仿宋_GB2312" w:eastAsia="仿宋_GB2312" w:cs="仿宋_GB2312"/>
          <w:b w:val="0"/>
          <w:bCs w:val="0"/>
          <w:color w:val="auto"/>
          <w:sz w:val="32"/>
          <w:szCs w:val="32"/>
          <w:highlight w:val="none"/>
          <w:lang w:val="en-US" w:eastAsia="zh-CN"/>
        </w:rPr>
        <w:t>及其下一级领域投资：</w:t>
      </w:r>
    </w:p>
    <w:p w14:paraId="0436F482">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相关产业和支持项目目录。保险机构某项投资资产直接或穿透后的投资对象符合《绿色低碳转型产业指导目录（2024年版）》或《绿色金融支持项目目录（2025年版）》，且该投资对象最近一个会计年度的绿色营业收入占比不低于50%的，该项投资属于绿色领域投资。若保险机构难以获取投资对象具体的绿色营业收入数据，可根据其主营业务、经营实际以及公司披露有关信息判断，若有证据表明其绿色营业收入不低于50%的，可全部纳入绿色领域投资。</w:t>
      </w:r>
    </w:p>
    <w:p w14:paraId="500CF008">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（2）其他判断标准。除相关产业和支持目录外，满足下列条件之一的投资资产属于绿色领域投资：一是对于债券，符合《中国绿色债券原则》的境内债券以及符合《绿色债券原则》（Green Bond Principles）、《气候债券标准》（Climate Bonds Standard）等国际绿色标准的境外债券，属于绿色领域投资。其中，对于地方政府专项债券，若其募集资金投向符合绿色低碳转型相关产业，按穿透后底层项目实际流向绿色领域的规模填报。二是对于公募证券投资基金、银行理财产品、公开募集基础设施证券投资基金（公募REITs）、资产支持证券、私募股权投资母基金（PE FOF），私募股权二级市场基金（S基金）以及底层资产超过100笔的资产支持计划等投资资产，若其投资策略、募集说明书、产品合同、定期报告等产品发行文件中明确将绿色低碳转型相关产业作为主要投资方向，属于绿色领域投资。三是对于组合类资管产品、股权投资计划、私募股权投资基金，以及底层资产不超过100笔的债权投资计划、资产支持计划、集合资金信托计划、资产支持专项计划和债转股投资计划等投资资产，若其投资策略、募集说明书、产品合同、定期报告等产品发行文件中明确将绿色低碳转型相关产业作为主要投资方向，且穿透后相关底层资产的投资占比不低于80%，可全部纳入绿色领域投资；若低于80%，应当按照穿透后底层资产实际投资规模进行填报。四是对于投资性不动产，符合中国绿色建筑评价标准（一星至三星级）或者取得LEED绿色建筑认证（Leadership in Energy and Environmental Design）等条件的，属于绿色领域投资。</w:t>
      </w:r>
    </w:p>
    <w:p w14:paraId="376228A2">
      <w:pPr>
        <w:pStyle w:val="56"/>
        <w:keepNext w:val="0"/>
        <w:keepLines w:val="0"/>
        <w:pageBreakBefore w:val="0"/>
        <w:kinsoku/>
        <w:wordWrap/>
        <w:overflowPunct/>
        <w:topLinePunct w:val="0"/>
        <w:bidi w:val="0"/>
        <w:spacing w:line="600" w:lineRule="exact"/>
        <w:ind w:firstLine="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3.普惠领域的分类标准。</w:t>
      </w:r>
      <w:r>
        <w:rPr>
          <w:rFonts w:hint="eastAsia" w:ascii="仿宋_GB2312" w:hAnsi="仿宋_GB2312" w:eastAsia="仿宋_GB2312" w:cs="仿宋_GB2312"/>
          <w:b w:val="0"/>
          <w:bCs w:val="0"/>
          <w:color w:val="auto"/>
          <w:sz w:val="32"/>
          <w:szCs w:val="32"/>
          <w:highlight w:val="none"/>
          <w:lang w:val="en-US" w:eastAsia="zh-CN"/>
        </w:rPr>
        <w:t>保险机构应当按照以下标准判断投资资产是否属于</w:t>
      </w:r>
      <w:r>
        <w:rPr>
          <w:rFonts w:hint="eastAsia" w:ascii="仿宋_GB2312" w:hAnsi="仿宋_GB2312" w:eastAsia="仿宋_GB2312" w:cs="仿宋_GB2312"/>
          <w:b/>
          <w:bCs/>
          <w:color w:val="auto"/>
          <w:sz w:val="32"/>
          <w:szCs w:val="32"/>
          <w:highlight w:val="none"/>
          <w:lang w:val="en-US" w:eastAsia="zh-CN"/>
        </w:rPr>
        <w:t>[普惠领域]</w:t>
      </w:r>
      <w:r>
        <w:rPr>
          <w:rFonts w:hint="eastAsia" w:ascii="仿宋_GB2312" w:hAnsi="仿宋_GB2312" w:eastAsia="仿宋_GB2312" w:cs="仿宋_GB2312"/>
          <w:b w:val="0"/>
          <w:bCs w:val="0"/>
          <w:color w:val="auto"/>
          <w:sz w:val="32"/>
          <w:szCs w:val="32"/>
          <w:highlight w:val="none"/>
          <w:lang w:val="en-US" w:eastAsia="zh-CN"/>
        </w:rPr>
        <w:t>及其下一级领域投资：</w:t>
      </w:r>
    </w:p>
    <w:p w14:paraId="72295598">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（1）小微企业。符合《中小企业划型标准规定》（工信部联企业〔2011〕300号）或《统计上大中小微型企业划分办法（2017）》（国统字〔2017〕213号）所定义的小型微型企业，属于普惠领域投资。</w:t>
      </w:r>
    </w:p>
    <w:p w14:paraId="272D048F">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（2）乡村产业。保险机构某项投资资产直接或穿透后的投资对象属于《农业及相关产业统计分类（2020）》或《全国乡村重点产业指导目录（2021）》涵盖的三农相关产业和乡村振兴范围的，属于普惠领域投资。</w:t>
      </w:r>
    </w:p>
    <w:p w14:paraId="1D7A28A9">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其他判断标准。除上述标准外，满足下列条件之一的投资资产属于普惠领域投资：一是对于公募证券投资基金、银行理财产品、公开募集基础设施证券投资基金（公募REITs）、资产支持证券、私募股权投资母基金（PE FOF），私募股权二级市场基金（S基金），以及底层资产超过100笔的资产支持计划等投资资产，若其投资策略、募集说明书、产品合同、定期报告等产品发行文件中明确将上述普惠领域作为主要投资方向，属于普惠领域投资。二是对于组合类资管产品、股权投资计划、私募股权投资基金，以及底层资产不超过100笔的债权投资计划、资产支持计划、集合资金信托计划、资产支持专项计划和债转股投资计划等投资资产，若其投资策略、募集说明书、产品合同、定期报告等产品发行文件中明确将上述普惠领域作为主要投资方向，且穿透后底层资产的相关投资占比不低于80%，可全部纳入普惠领域投资；若低于80%，应当按照穿透后底层资产的实际投资规模进行填报。</w:t>
      </w:r>
    </w:p>
    <w:p w14:paraId="01036091">
      <w:pPr>
        <w:pStyle w:val="56"/>
        <w:keepNext w:val="0"/>
        <w:keepLines w:val="0"/>
        <w:pageBreakBefore w:val="0"/>
        <w:kinsoku/>
        <w:wordWrap/>
        <w:overflowPunct/>
        <w:topLinePunct w:val="0"/>
        <w:bidi w:val="0"/>
        <w:spacing w:line="600" w:lineRule="exact"/>
        <w:ind w:firstLine="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4.养老领域的分类标准。</w:t>
      </w:r>
      <w:r>
        <w:rPr>
          <w:rFonts w:hint="eastAsia" w:ascii="仿宋_GB2312" w:hAnsi="仿宋_GB2312" w:eastAsia="仿宋_GB2312" w:cs="仿宋_GB2312"/>
          <w:b w:val="0"/>
          <w:bCs w:val="0"/>
          <w:color w:val="auto"/>
          <w:sz w:val="32"/>
          <w:szCs w:val="32"/>
          <w:highlight w:val="none"/>
          <w:lang w:val="en-US" w:eastAsia="zh-CN"/>
        </w:rPr>
        <w:t>保险机构应当按照以下标准判断投资资产是否属于</w:t>
      </w:r>
      <w:r>
        <w:rPr>
          <w:rFonts w:hint="eastAsia" w:ascii="仿宋_GB2312" w:hAnsi="仿宋_GB2312" w:eastAsia="仿宋_GB2312" w:cs="仿宋_GB2312"/>
          <w:b/>
          <w:bCs/>
          <w:color w:val="auto"/>
          <w:sz w:val="32"/>
          <w:szCs w:val="32"/>
          <w:highlight w:val="none"/>
          <w:lang w:val="en-US" w:eastAsia="zh-CN"/>
        </w:rPr>
        <w:t>[养老领域]</w:t>
      </w:r>
      <w:r>
        <w:rPr>
          <w:rFonts w:hint="eastAsia" w:ascii="仿宋_GB2312" w:hAnsi="仿宋_GB2312" w:eastAsia="仿宋_GB2312" w:cs="仿宋_GB2312"/>
          <w:b w:val="0"/>
          <w:bCs w:val="0"/>
          <w:color w:val="auto"/>
          <w:sz w:val="32"/>
          <w:szCs w:val="32"/>
          <w:highlight w:val="none"/>
          <w:lang w:val="en-US" w:eastAsia="zh-CN"/>
        </w:rPr>
        <w:t>投资：</w:t>
      </w:r>
    </w:p>
    <w:p w14:paraId="08EEF0E8">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养老产业。保险机构某项投资资产直接或穿透后的投资对象属于《养老产业统计分类（2020）》的，属于养老领域投资。对于无法直接判断投资对象是否属于《养老产业统计分类（2020）》的，保险机构可根据投资对象的主营业务、经营实际以及公司披露等有关信息判断，若有证据表明其养老营业收入不低于50%的，可全部纳入养老领域投资。</w:t>
      </w:r>
    </w:p>
    <w:p w14:paraId="1BCE98F9">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（2）其他判断标准。一是对于公募证券投资基金、银行理财产品、公开募集基础设施证券投资基金（公募REITs）、资产支持证券、私募股权投资母基金（PE FOF），私募股权二级市场基金（S基金），以及底层资产超过100笔的资产支持计划等投资资产，若其投资策略、募集说明书、产品合同、定期报告等产品发行文件中明确将养老相关产业作为主要投资方向，属于养老领域投资。二是对于组合类资管产品、股权投资计划和私募股权投资基金，以及底层资产不超过100笔的债权投资计划、资产支持计划、集合资金信托计划、资产支持专项计划和债转股投资计划等投资资产，若其投资策略、募集说明书、产品合同、定期报告等产品发行文件中明确将养老和银发经济相关产业作为主要投资方向，且穿透后底层资产相关投资占比不低于80%，可全部纳入养老领域投资；若低于80%，应当按照穿透后底层资产实际投资规模进行填报。</w:t>
      </w:r>
    </w:p>
    <w:p w14:paraId="1FE5456B">
      <w:pPr>
        <w:pStyle w:val="56"/>
        <w:keepNext w:val="0"/>
        <w:keepLines w:val="0"/>
        <w:pageBreakBefore w:val="0"/>
        <w:kinsoku/>
        <w:wordWrap/>
        <w:overflowPunct/>
        <w:topLinePunct w:val="0"/>
        <w:bidi w:val="0"/>
        <w:spacing w:line="600" w:lineRule="exact"/>
        <w:ind w:firstLine="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5.数字领域的分类标准。</w:t>
      </w:r>
      <w:r>
        <w:rPr>
          <w:rFonts w:hint="eastAsia" w:ascii="仿宋_GB2312" w:hAnsi="仿宋_GB2312" w:eastAsia="仿宋_GB2312" w:cs="仿宋_GB2312"/>
          <w:b w:val="0"/>
          <w:bCs w:val="0"/>
          <w:color w:val="auto"/>
          <w:sz w:val="32"/>
          <w:szCs w:val="32"/>
          <w:highlight w:val="none"/>
          <w:lang w:val="en-US" w:eastAsia="zh-CN"/>
        </w:rPr>
        <w:t>保险机构应当按照以下标准判断投资资产是否属于</w:t>
      </w:r>
      <w:r>
        <w:rPr>
          <w:rFonts w:hint="eastAsia" w:ascii="仿宋_GB2312" w:hAnsi="仿宋_GB2312" w:eastAsia="仿宋_GB2312" w:cs="仿宋_GB2312"/>
          <w:b/>
          <w:bCs/>
          <w:color w:val="auto"/>
          <w:sz w:val="32"/>
          <w:szCs w:val="32"/>
          <w:highlight w:val="none"/>
          <w:lang w:val="en-US" w:eastAsia="zh-CN"/>
        </w:rPr>
        <w:t>[数字领域]</w:t>
      </w:r>
      <w:r>
        <w:rPr>
          <w:rFonts w:hint="eastAsia" w:ascii="仿宋_GB2312" w:hAnsi="仿宋_GB2312" w:eastAsia="仿宋_GB2312" w:cs="仿宋_GB2312"/>
          <w:b w:val="0"/>
          <w:bCs w:val="0"/>
          <w:color w:val="auto"/>
          <w:sz w:val="32"/>
          <w:szCs w:val="32"/>
          <w:highlight w:val="none"/>
          <w:lang w:val="en-US" w:eastAsia="zh-CN"/>
        </w:rPr>
        <w:t>及其下一级领域投资：</w:t>
      </w:r>
    </w:p>
    <w:p w14:paraId="7FC7745D">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数字产业。保险机构某项投资资产直接或穿透后的投资对象属于《数字经济及其核心产业统计分类（2021）》的，属于数字领域投资。对于无法直接判断投资对象是否属于《数字经济及其核心产业统计分类（2021）》的，保险机构可根据投资对象的主营业务、经营实际以及公司披露等有关信息判断，若有证据表明其数字营业收入不低于50%的，可全部纳入数字领域投资。</w:t>
      </w:r>
    </w:p>
    <w:p w14:paraId="54A7EDFD">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（2）其他判断标准。一是对于公募证券投资基金、银行理财产品、公开募集基础设施证券投资基金（公募REITs）、资产支持证券、私募股权投资母基金（PE FOF），私募股权二级市场基金（S基金），以及底层资产超过100笔的资产支持计划等投资资产，若其投资策略、募集说明书、产品合同、定期报告等产品发行文件中明确将数字经济和数字化效率提升相关产业作为主要投资方向，属于数字领域投资。二是对于组合类资管产品、股权投资计划、私募股权投资基金，以及底层资产不超过100笔的债权投资计划、资产支持计划、集合资金信托计划、资产支持专项计划和债转股投资计划等投资资产，若其投资策略、募集说明书、产品合同、定期报告等产品发行文件中明确将数字经济和数字化效率提升相关产业作为主要投资方向，且穿透后底层资产相关投资占比不低于80%，可全部纳入数字领域投资；若低于80%，应当按照穿透后底层资产实际投资规模进行填报。三是对于以项目公司股权形式投资的不动产，被投资项目符合一体化数据中心、计算机机房等投资，属于数字领域投资。</w:t>
      </w:r>
    </w:p>
    <w:p w14:paraId="3F754C24">
      <w:pPr>
        <w:pStyle w:val="57"/>
        <w:keepNext w:val="0"/>
        <w:keepLines w:val="0"/>
        <w:pageBreakBefore w:val="0"/>
        <w:kinsoku/>
        <w:wordWrap/>
        <w:overflowPunct/>
        <w:topLinePunct w:val="0"/>
        <w:bidi w:val="0"/>
        <w:spacing w:after="0" w:line="600" w:lineRule="exact"/>
        <w:ind w:firstLine="640"/>
        <w:jc w:val="both"/>
        <w:textAlignment w:val="auto"/>
        <w:outlineLvl w:val="1"/>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二、科技保险重点领域</w:t>
      </w:r>
    </w:p>
    <w:p w14:paraId="473827EF">
      <w:pPr>
        <w:pStyle w:val="56"/>
        <w:keepNext w:val="0"/>
        <w:keepLines w:val="0"/>
        <w:pageBreakBefore w:val="0"/>
        <w:kinsoku/>
        <w:wordWrap/>
        <w:overflowPunct/>
        <w:topLinePunct w:val="0"/>
        <w:bidi w:val="0"/>
        <w:spacing w:after="0" w:line="60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科技保险是指服务国家创新驱动发展战略，支持高水平科技自立自强，为科技研发、成果转化、产业化推广等科技活动以及科技活动主体，提供风险保障和资金支持等经济行为的统称。</w:t>
      </w:r>
      <w:r>
        <w:rPr>
          <w:rFonts w:hint="eastAsia" w:ascii="仿宋_GB2312" w:hAnsi="仿宋_GB2312" w:eastAsia="仿宋_GB2312" w:cs="仿宋_GB2312"/>
          <w:color w:val="auto"/>
          <w:sz w:val="32"/>
          <w:szCs w:val="32"/>
          <w:lang w:eastAsia="zh-CN"/>
        </w:rPr>
        <w:t>本部分科技保险包括两方</w:t>
      </w:r>
      <w:r>
        <w:rPr>
          <w:rFonts w:hint="eastAsia" w:ascii="仿宋_GB2312" w:hAnsi="仿宋_GB2312" w:eastAsia="仿宋_GB2312" w:cs="仿宋_GB2312"/>
          <w:color w:val="auto"/>
          <w:sz w:val="32"/>
          <w:szCs w:val="32"/>
        </w:rPr>
        <w:t>面内容：为科技活动风险提供保障的保险业务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为科技活动主体提供保障的保险业务。</w:t>
      </w:r>
    </w:p>
    <w:p w14:paraId="3F7D811A">
      <w:pPr>
        <w:pStyle w:val="57"/>
        <w:keepNext w:val="0"/>
        <w:keepLines w:val="0"/>
        <w:pageBreakBefore w:val="0"/>
        <w:numPr>
          <w:ilvl w:val="0"/>
          <w:numId w:val="0"/>
        </w:numPr>
        <w:kinsoku/>
        <w:wordWrap/>
        <w:overflowPunct/>
        <w:topLinePunct w:val="0"/>
        <w:bidi w:val="0"/>
        <w:spacing w:after="0" w:line="600" w:lineRule="exact"/>
        <w:ind w:leftChars="0" w:firstLine="640"/>
        <w:jc w:val="both"/>
        <w:textAlignment w:val="auto"/>
        <w:outlineLvl w:val="2"/>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lang w:val="en-US" w:eastAsia="zh-CN"/>
        </w:rPr>
        <w:t>统计指标及口径</w:t>
      </w:r>
    </w:p>
    <w:p w14:paraId="3C7F8260">
      <w:pPr>
        <w:pStyle w:val="56"/>
        <w:keepNext w:val="0"/>
        <w:keepLines w:val="0"/>
        <w:pageBreakBefore w:val="0"/>
        <w:kinsoku/>
        <w:wordWrap/>
        <w:overflowPunct/>
        <w:topLinePunct w:val="0"/>
        <w:bidi w:val="0"/>
        <w:spacing w:after="0" w:line="60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保险公司应当填报</w:t>
      </w:r>
      <w:r>
        <w:rPr>
          <w:rFonts w:hint="eastAsia" w:ascii="仿宋_GB2312" w:hAnsi="Times New Roman" w:eastAsia="仿宋_GB2312" w:cs="仿宋_GB2312"/>
          <w:i w:val="0"/>
          <w:iCs w:val="0"/>
          <w:caps w:val="0"/>
          <w:color w:val="auto"/>
          <w:spacing w:val="0"/>
          <w:kern w:val="0"/>
          <w:sz w:val="32"/>
          <w:szCs w:val="32"/>
          <w:shd w:val="clear" w:color="auto" w:fill="FEFEFE"/>
          <w:lang w:val="en-US" w:eastAsia="zh-CN" w:bidi="ar"/>
        </w:rPr>
        <w:t>科技保险业务</w:t>
      </w:r>
      <w:r>
        <w:rPr>
          <w:rFonts w:hint="eastAsia" w:ascii="仿宋_GB2312" w:hAnsi="仿宋_GB2312" w:eastAsia="仿宋_GB2312" w:cs="仿宋_GB2312"/>
          <w:color w:val="auto"/>
          <w:sz w:val="32"/>
          <w:szCs w:val="32"/>
          <w:lang w:val="en-US" w:eastAsia="zh-CN"/>
        </w:rPr>
        <w:t>的相关指标数据。包括</w:t>
      </w:r>
      <w:r>
        <w:rPr>
          <w:rFonts w:hint="eastAsia" w:ascii="仿宋_GB2312" w:hAnsi="仿宋_GB2312" w:eastAsia="仿宋_GB2312" w:cs="仿宋_GB2312"/>
          <w:b/>
          <w:bCs/>
          <w:color w:val="auto"/>
          <w:sz w:val="32"/>
          <w:szCs w:val="32"/>
          <w:lang w:val="en-US" w:eastAsia="zh-CN"/>
        </w:rPr>
        <w:t>[保费]、</w:t>
      </w:r>
      <w:r>
        <w:rPr>
          <w:rFonts w:hint="eastAsia" w:ascii="仿宋_GB2312" w:hAnsi="仿宋_GB2312" w:eastAsia="仿宋_GB2312" w:cs="仿宋_GB2312"/>
          <w:b/>
          <w:bCs/>
          <w:color w:val="auto"/>
          <w:sz w:val="32"/>
          <w:szCs w:val="32"/>
          <w:highlight w:val="none"/>
          <w:lang w:val="en-US" w:eastAsia="zh-CN"/>
        </w:rPr>
        <w:t>[本年新增保单数量]、</w:t>
      </w:r>
      <w:r>
        <w:rPr>
          <w:rFonts w:hint="eastAsia" w:ascii="仿宋_GB2312" w:hAnsi="仿宋_GB2312" w:eastAsia="仿宋_GB2312" w:cs="仿宋_GB2312"/>
          <w:b/>
          <w:bCs/>
          <w:color w:val="auto"/>
          <w:sz w:val="32"/>
          <w:szCs w:val="32"/>
          <w:lang w:val="en-US" w:eastAsia="zh-CN"/>
        </w:rPr>
        <w:t>[本年新增保险金额]、[赔付件数]、[赔付金额]、</w:t>
      </w:r>
      <w:r>
        <w:rPr>
          <w:rFonts w:hint="eastAsia" w:ascii="仿宋_GB2312" w:hAnsi="仿宋_GB2312" w:eastAsia="仿宋_GB2312" w:cs="仿宋_GB2312"/>
          <w:b/>
          <w:bCs/>
          <w:color w:val="auto"/>
          <w:sz w:val="32"/>
          <w:szCs w:val="32"/>
        </w:rPr>
        <w:t>[服务科技企业或人员数量]</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统计口径与“第三部分 业务类”相关统计指标的口径一致</w:t>
      </w:r>
      <w:r>
        <w:rPr>
          <w:rFonts w:hint="eastAsia" w:ascii="仿宋_GB2312" w:hAnsi="仿宋_GB2312" w:eastAsia="仿宋_GB2312" w:cs="仿宋_GB2312"/>
          <w:color w:val="auto"/>
          <w:sz w:val="32"/>
          <w:szCs w:val="32"/>
          <w:lang w:val="en-US" w:eastAsia="zh-CN"/>
        </w:rPr>
        <w:t>。</w:t>
      </w:r>
    </w:p>
    <w:p w14:paraId="1A4797E8">
      <w:pPr>
        <w:pStyle w:val="56"/>
        <w:keepNext w:val="0"/>
        <w:keepLines w:val="0"/>
        <w:pageBreakBefore w:val="0"/>
        <w:kinsoku/>
        <w:wordWrap/>
        <w:overflowPunct/>
        <w:topLinePunct w:val="0"/>
        <w:bidi w:val="0"/>
        <w:spacing w:after="0" w:line="600" w:lineRule="exact"/>
        <w:ind w:firstLine="56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[服务科技企业或人员数量]</w:t>
      </w:r>
      <w:r>
        <w:rPr>
          <w:rFonts w:hint="eastAsia" w:ascii="仿宋_GB2312" w:hAnsi="仿宋_GB2312" w:eastAsia="仿宋_GB2312" w:cs="仿宋_GB2312"/>
          <w:b w:val="0"/>
          <w:bCs w:val="0"/>
          <w:color w:val="auto"/>
          <w:sz w:val="32"/>
          <w:szCs w:val="32"/>
          <w:highlight w:val="none"/>
          <w:lang w:val="en-US" w:eastAsia="zh-CN"/>
        </w:rPr>
        <w:t>是指在统计期内，保险公司为科技企业提供风险保障的企业数量或者为科技人员提供知识产权、人才创业等风险保障的人员数量。由下一层级维度向上一层级维度汇总时，同一家科技企业、同一名科技人员仅计算1次，不重复计算。例如，同一家科技企业分别投保了</w:t>
      </w:r>
      <w:r>
        <w:rPr>
          <w:rFonts w:hint="eastAsia" w:ascii="仿宋_GB2312" w:hAnsi="仿宋_GB2312" w:eastAsia="仿宋_GB2312" w:cs="仿宋_GB2312"/>
          <w:b/>
          <w:bCs/>
          <w:color w:val="auto"/>
          <w:sz w:val="32"/>
          <w:szCs w:val="32"/>
          <w:highlight w:val="none"/>
          <w:lang w:val="en-US" w:eastAsia="zh-CN"/>
        </w:rPr>
        <w:t>[科技研发、成果转化风险类保险]</w:t>
      </w:r>
      <w:r>
        <w:rPr>
          <w:rFonts w:hint="eastAsia" w:ascii="仿宋_GB2312" w:hAnsi="仿宋_GB2312" w:eastAsia="仿宋_GB2312" w:cs="仿宋_GB2312"/>
          <w:b w:val="0"/>
          <w:bCs w:val="0"/>
          <w:color w:val="auto"/>
          <w:sz w:val="32"/>
          <w:szCs w:val="32"/>
          <w:highlight w:val="none"/>
          <w:lang w:val="en-US" w:eastAsia="zh-CN"/>
        </w:rPr>
        <w:t>下的</w:t>
      </w:r>
      <w:r>
        <w:rPr>
          <w:rFonts w:hint="eastAsia" w:ascii="仿宋_GB2312" w:hAnsi="仿宋_GB2312" w:eastAsia="仿宋_GB2312" w:cs="仿宋_GB2312"/>
          <w:b/>
          <w:bCs/>
          <w:color w:val="auto"/>
          <w:sz w:val="32"/>
          <w:szCs w:val="32"/>
          <w:highlight w:val="none"/>
          <w:lang w:val="en-US" w:eastAsia="zh-CN"/>
        </w:rPr>
        <w:t>[研发费用损失保险]</w:t>
      </w:r>
      <w:r>
        <w:rPr>
          <w:rFonts w:hint="eastAsia"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b/>
          <w:bCs/>
          <w:color w:val="auto"/>
          <w:sz w:val="32"/>
          <w:szCs w:val="32"/>
          <w:highlight w:val="none"/>
          <w:lang w:val="en-US" w:eastAsia="zh-CN"/>
        </w:rPr>
        <w:t>[产品研发责任保险]，</w:t>
      </w:r>
      <w:r>
        <w:rPr>
          <w:rFonts w:hint="eastAsia" w:ascii="仿宋_GB2312" w:hAnsi="仿宋_GB2312" w:eastAsia="仿宋_GB2312" w:cs="仿宋_GB2312"/>
          <w:b w:val="0"/>
          <w:bCs w:val="0"/>
          <w:color w:val="auto"/>
          <w:sz w:val="32"/>
          <w:szCs w:val="32"/>
          <w:highlight w:val="none"/>
          <w:lang w:val="en-US" w:eastAsia="zh-CN"/>
        </w:rPr>
        <w:t>在统计</w:t>
      </w:r>
      <w:r>
        <w:rPr>
          <w:rFonts w:hint="eastAsia" w:ascii="仿宋_GB2312" w:hAnsi="仿宋_GB2312" w:eastAsia="仿宋_GB2312" w:cs="仿宋_GB2312"/>
          <w:b/>
          <w:bCs/>
          <w:color w:val="auto"/>
          <w:sz w:val="32"/>
          <w:szCs w:val="32"/>
          <w:highlight w:val="none"/>
        </w:rPr>
        <w:t>[研发费用损失保险]</w:t>
      </w:r>
      <w:r>
        <w:rPr>
          <w:rFonts w:hint="eastAsia" w:ascii="仿宋_GB2312" w:hAnsi="仿宋_GB2312" w:eastAsia="仿宋_GB2312" w:cs="仿宋_GB2312"/>
          <w:b w:val="0"/>
          <w:bCs w:val="0"/>
          <w:color w:val="auto"/>
          <w:sz w:val="32"/>
          <w:szCs w:val="32"/>
          <w:highlight w:val="none"/>
        </w:rPr>
        <w:t>和</w:t>
      </w:r>
      <w:r>
        <w:rPr>
          <w:rFonts w:hint="eastAsia" w:ascii="仿宋_GB2312" w:hAnsi="仿宋_GB2312" w:eastAsia="仿宋_GB2312" w:cs="仿宋_GB2312"/>
          <w:b/>
          <w:bCs/>
          <w:color w:val="auto"/>
          <w:sz w:val="32"/>
          <w:szCs w:val="32"/>
          <w:highlight w:val="none"/>
        </w:rPr>
        <w:t>[产品研发责任保险]</w:t>
      </w:r>
      <w:r>
        <w:rPr>
          <w:rFonts w:hint="eastAsia" w:ascii="仿宋_GB2312" w:hAnsi="仿宋_GB2312" w:eastAsia="仿宋_GB2312" w:cs="仿宋_GB2312"/>
          <w:b w:val="0"/>
          <w:bCs w:val="0"/>
          <w:color w:val="auto"/>
          <w:sz w:val="32"/>
          <w:szCs w:val="32"/>
          <w:highlight w:val="none"/>
          <w:lang w:eastAsia="zh-CN"/>
        </w:rPr>
        <w:t>各自的</w:t>
      </w:r>
      <w:r>
        <w:rPr>
          <w:rFonts w:hint="eastAsia" w:ascii="仿宋_GB2312" w:hAnsi="仿宋_GB2312" w:eastAsia="仿宋_GB2312" w:cs="仿宋_GB2312"/>
          <w:b/>
          <w:bCs/>
          <w:color w:val="auto"/>
          <w:sz w:val="32"/>
          <w:szCs w:val="32"/>
          <w:highlight w:val="none"/>
          <w:lang w:val="en-US" w:eastAsia="zh-CN"/>
        </w:rPr>
        <w:t>[服务科技企业或人员数量]</w:t>
      </w:r>
      <w:r>
        <w:rPr>
          <w:rFonts w:hint="eastAsia" w:ascii="仿宋_GB2312" w:hAnsi="仿宋_GB2312" w:eastAsia="仿宋_GB2312" w:cs="仿宋_GB2312"/>
          <w:b w:val="0"/>
          <w:bCs w:val="0"/>
          <w:color w:val="auto"/>
          <w:sz w:val="32"/>
          <w:szCs w:val="32"/>
          <w:highlight w:val="none"/>
          <w:lang w:val="en-US" w:eastAsia="zh-CN"/>
        </w:rPr>
        <w:t>时，分别计算1次；在统计</w:t>
      </w:r>
      <w:r>
        <w:rPr>
          <w:rFonts w:hint="eastAsia" w:ascii="仿宋_GB2312" w:hAnsi="仿宋_GB2312" w:eastAsia="仿宋_GB2312" w:cs="仿宋_GB2312"/>
          <w:b/>
          <w:bCs/>
          <w:color w:val="auto"/>
          <w:sz w:val="32"/>
          <w:szCs w:val="32"/>
          <w:highlight w:val="none"/>
          <w:lang w:val="en-US" w:eastAsia="zh-CN"/>
        </w:rPr>
        <w:t>[科技研发、成果转化风险类保险]的[服务科技企业或人员数量]</w:t>
      </w:r>
      <w:r>
        <w:rPr>
          <w:rFonts w:hint="eastAsia" w:ascii="仿宋_GB2312" w:hAnsi="仿宋_GB2312" w:eastAsia="仿宋_GB2312" w:cs="仿宋_GB2312"/>
          <w:b w:val="0"/>
          <w:bCs w:val="0"/>
          <w:color w:val="auto"/>
          <w:sz w:val="32"/>
          <w:szCs w:val="32"/>
          <w:highlight w:val="none"/>
          <w:lang w:val="en-US" w:eastAsia="zh-CN"/>
        </w:rPr>
        <w:t>时，仅计算1次。</w:t>
      </w:r>
    </w:p>
    <w:p w14:paraId="3BF7D9CB">
      <w:pPr>
        <w:pStyle w:val="56"/>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（二）统计维度及分类标准</w:t>
      </w:r>
    </w:p>
    <w:p w14:paraId="05FD7BB2">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1.科技保险产品维度。</w:t>
      </w:r>
      <w:r>
        <w:rPr>
          <w:rFonts w:hint="eastAsia" w:ascii="仿宋_GB2312" w:hAnsi="仿宋_GB2312" w:eastAsia="仿宋_GB2312" w:cs="仿宋_GB2312"/>
          <w:b w:val="0"/>
          <w:bCs w:val="0"/>
          <w:color w:val="auto"/>
          <w:sz w:val="32"/>
          <w:szCs w:val="32"/>
          <w:highlight w:val="none"/>
          <w:lang w:val="en-US" w:eastAsia="zh-CN"/>
        </w:rPr>
        <w:t>是针对科技活动风险的保险业务]，</w:t>
      </w:r>
      <w:r>
        <w:rPr>
          <w:rFonts w:hint="eastAsia" w:ascii="仿宋_GB2312" w:hAnsi="仿宋_GB2312" w:eastAsia="仿宋_GB2312" w:cs="仿宋_GB2312"/>
          <w:color w:val="auto"/>
          <w:sz w:val="32"/>
          <w:szCs w:val="32"/>
          <w:highlight w:val="none"/>
        </w:rPr>
        <w:t>对于组合类保险产品，按具体产品拆分填列；对于保障责任较为综合的保险产品，产品责任可拆分的按具体产品责任拆分填列，产品责任不可拆分的按主要产品责任归属填列。</w:t>
      </w:r>
      <w:r>
        <w:rPr>
          <w:rFonts w:hint="eastAsia" w:ascii="仿宋_GB2312" w:hAnsi="仿宋_GB2312" w:eastAsia="仿宋_GB2312" w:cs="仿宋_GB2312"/>
          <w:b w:val="0"/>
          <w:bCs w:val="0"/>
          <w:color w:val="auto"/>
          <w:sz w:val="32"/>
          <w:szCs w:val="32"/>
          <w:highlight w:val="none"/>
          <w:lang w:val="en-US" w:eastAsia="zh-CN"/>
        </w:rPr>
        <w:t>包括</w:t>
      </w:r>
      <w:r>
        <w:rPr>
          <w:rFonts w:hint="eastAsia" w:ascii="仿宋_GB2312" w:hAnsi="仿宋_GB2312" w:eastAsia="仿宋_GB2312" w:cs="仿宋_GB2312"/>
          <w:b/>
          <w:bCs/>
          <w:color w:val="auto"/>
          <w:sz w:val="32"/>
          <w:szCs w:val="32"/>
          <w:highlight w:val="none"/>
          <w:lang w:val="en-US" w:eastAsia="zh-CN"/>
        </w:rPr>
        <w:t>[科技研发、成果转化风险类保险]、[科技成果应用推广风险类保险]、[知识产权风险类保险]、[科技活动基础风险类保险]。</w:t>
      </w:r>
      <w:r>
        <w:rPr>
          <w:rFonts w:hint="eastAsia" w:ascii="仿宋_GB2312" w:hAnsi="仿宋_GB2312" w:eastAsia="仿宋_GB2312" w:cs="仿宋_GB2312"/>
          <w:b w:val="0"/>
          <w:bCs w:val="0"/>
          <w:color w:val="auto"/>
          <w:sz w:val="32"/>
          <w:szCs w:val="32"/>
          <w:highlight w:val="none"/>
          <w:lang w:val="en-US" w:eastAsia="zh-CN"/>
        </w:rPr>
        <w:t>具体分类标准如下：</w:t>
      </w:r>
    </w:p>
    <w:p w14:paraId="46D36A7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[科技研发、成果转化风险类保险]</w:t>
      </w:r>
      <w:r>
        <w:rPr>
          <w:rFonts w:hint="eastAsia" w:ascii="仿宋_GB2312" w:hAnsi="仿宋_GB2312" w:eastAsia="仿宋_GB2312" w:cs="仿宋_GB2312"/>
          <w:b w:val="0"/>
          <w:bCs w:val="0"/>
          <w:color w:val="auto"/>
          <w:sz w:val="32"/>
          <w:szCs w:val="32"/>
          <w:highlight w:val="none"/>
          <w:lang w:val="en-US" w:eastAsia="zh-CN"/>
        </w:rPr>
        <w:t>指为科技项目研发和科技成果转化提供风险保障的保险产品。（不含被保险人为关键研发人员及其相关高管人员的保险产品），包括：</w:t>
      </w:r>
      <w:r>
        <w:rPr>
          <w:rFonts w:hint="eastAsia" w:ascii="仿宋_GB2312" w:hAnsi="仿宋_GB2312" w:eastAsia="仿宋_GB2312" w:cs="仿宋_GB2312"/>
          <w:b/>
          <w:bCs/>
          <w:color w:val="auto"/>
          <w:sz w:val="32"/>
          <w:szCs w:val="32"/>
          <w:highlight w:val="none"/>
          <w:lang w:val="en-US" w:eastAsia="zh-CN"/>
        </w:rPr>
        <w:t>[研发费用损失保险]、[产品研发责任保险]、[关键研发设备保险]、[研发中断保险]、[科技成果转化费用损失保险]、[科技研发、成果转化风险类保险]。</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[研发费用损失保险]</w:t>
      </w:r>
      <w:r>
        <w:rPr>
          <w:rFonts w:hint="eastAsia" w:ascii="仿宋_GB2312" w:hAnsi="仿宋_GB2312" w:eastAsia="仿宋_GB2312" w:cs="仿宋_GB2312"/>
          <w:b w:val="0"/>
          <w:bCs w:val="0"/>
          <w:color w:val="auto"/>
          <w:sz w:val="32"/>
          <w:szCs w:val="32"/>
          <w:highlight w:val="none"/>
          <w:lang w:val="en-US" w:eastAsia="zh-CN"/>
        </w:rPr>
        <w:t>指为科技项目研发失败造成的费用损失提供保障的保险产品。</w:t>
      </w:r>
      <w:r>
        <w:rPr>
          <w:rFonts w:hint="eastAsia" w:ascii="仿宋_GB2312" w:hAnsi="仿宋_GB2312" w:eastAsia="仿宋_GB2312" w:cs="仿宋_GB2312"/>
          <w:b/>
          <w:bCs/>
          <w:color w:val="auto"/>
          <w:sz w:val="32"/>
          <w:szCs w:val="32"/>
          <w:highlight w:val="none"/>
          <w:lang w:val="en-US" w:eastAsia="zh-CN"/>
        </w:rPr>
        <w:t>[产品研发责任保险]</w:t>
      </w:r>
      <w:r>
        <w:rPr>
          <w:rFonts w:hint="eastAsia" w:ascii="仿宋_GB2312" w:hAnsi="仿宋_GB2312" w:eastAsia="仿宋_GB2312" w:cs="仿宋_GB2312"/>
          <w:b w:val="0"/>
          <w:bCs w:val="0"/>
          <w:color w:val="auto"/>
          <w:sz w:val="32"/>
          <w:szCs w:val="32"/>
          <w:highlight w:val="none"/>
          <w:lang w:val="en-US" w:eastAsia="zh-CN"/>
        </w:rPr>
        <w:t>指为研发成果存在设计缺陷造成意外事故造成的损失提供风险保障的保险产品。</w:t>
      </w:r>
      <w:r>
        <w:rPr>
          <w:rFonts w:hint="eastAsia" w:ascii="仿宋_GB2312" w:hAnsi="仿宋_GB2312" w:eastAsia="仿宋_GB2312" w:cs="仿宋_GB2312"/>
          <w:b/>
          <w:bCs/>
          <w:color w:val="auto"/>
          <w:sz w:val="32"/>
          <w:szCs w:val="32"/>
          <w:highlight w:val="none"/>
          <w:lang w:val="en-US" w:eastAsia="zh-CN"/>
        </w:rPr>
        <w:t>[关键研发设备保险]</w:t>
      </w:r>
      <w:r>
        <w:rPr>
          <w:rFonts w:hint="eastAsia" w:ascii="仿宋_GB2312" w:hAnsi="仿宋_GB2312" w:eastAsia="仿宋_GB2312" w:cs="仿宋_GB2312"/>
          <w:b w:val="0"/>
          <w:bCs w:val="0"/>
          <w:color w:val="auto"/>
          <w:sz w:val="32"/>
          <w:szCs w:val="32"/>
          <w:highlight w:val="none"/>
          <w:lang w:val="en-US" w:eastAsia="zh-CN"/>
        </w:rPr>
        <w:t>指为关键研发设备本身的损失提供风险保障的保险产品。</w:t>
      </w:r>
      <w:r>
        <w:rPr>
          <w:rFonts w:hint="eastAsia" w:ascii="仿宋_GB2312" w:hAnsi="仿宋_GB2312" w:eastAsia="仿宋_GB2312" w:cs="仿宋_GB2312"/>
          <w:b/>
          <w:bCs/>
          <w:color w:val="auto"/>
          <w:sz w:val="32"/>
          <w:szCs w:val="32"/>
          <w:highlight w:val="none"/>
          <w:lang w:val="en-US" w:eastAsia="zh-CN"/>
        </w:rPr>
        <w:t>[研发中断保险]</w:t>
      </w:r>
      <w:r>
        <w:rPr>
          <w:rFonts w:hint="eastAsia" w:ascii="仿宋_GB2312" w:hAnsi="仿宋_GB2312" w:eastAsia="仿宋_GB2312" w:cs="仿宋_GB2312"/>
          <w:b w:val="0"/>
          <w:bCs w:val="0"/>
          <w:color w:val="auto"/>
          <w:sz w:val="32"/>
          <w:szCs w:val="32"/>
          <w:highlight w:val="none"/>
          <w:lang w:val="en-US" w:eastAsia="zh-CN"/>
        </w:rPr>
        <w:t>指为科技研发项目意外中断后，恢复研发状态产生的费用损失提供保障的保险产品。</w:t>
      </w:r>
      <w:r>
        <w:rPr>
          <w:rFonts w:hint="eastAsia" w:ascii="仿宋_GB2312" w:hAnsi="仿宋_GB2312" w:eastAsia="仿宋_GB2312" w:cs="仿宋_GB2312"/>
          <w:b/>
          <w:bCs/>
          <w:color w:val="auto"/>
          <w:sz w:val="32"/>
          <w:szCs w:val="32"/>
          <w:highlight w:val="none"/>
          <w:lang w:val="en-US" w:eastAsia="zh-CN"/>
        </w:rPr>
        <w:t>[科技成果转化费用损失保险]</w:t>
      </w:r>
      <w:r>
        <w:rPr>
          <w:rFonts w:hint="eastAsia" w:ascii="仿宋_GB2312" w:hAnsi="仿宋_GB2312" w:eastAsia="仿宋_GB2312" w:cs="仿宋_GB2312"/>
          <w:b w:val="0"/>
          <w:bCs w:val="0"/>
          <w:color w:val="auto"/>
          <w:sz w:val="32"/>
          <w:szCs w:val="32"/>
          <w:highlight w:val="none"/>
          <w:lang w:val="en-US" w:eastAsia="zh-CN"/>
        </w:rPr>
        <w:t>指为科技成果转化失败造成的费用损失提供保障的保险产品。</w:t>
      </w:r>
      <w:r>
        <w:rPr>
          <w:rFonts w:hint="eastAsia" w:ascii="仿宋_GB2312" w:hAnsi="仿宋_GB2312" w:eastAsia="仿宋_GB2312" w:cs="仿宋_GB2312"/>
          <w:b/>
          <w:bCs/>
          <w:color w:val="auto"/>
          <w:sz w:val="32"/>
          <w:szCs w:val="32"/>
          <w:highlight w:val="none"/>
          <w:lang w:val="en-US" w:eastAsia="zh-CN"/>
        </w:rPr>
        <w:t>[其他科技研发、成果转化风险类保险]</w:t>
      </w:r>
      <w:r>
        <w:rPr>
          <w:rFonts w:hint="eastAsia" w:ascii="仿宋_GB2312" w:hAnsi="仿宋_GB2312" w:eastAsia="仿宋_GB2312" w:cs="仿宋_GB2312"/>
          <w:b w:val="0"/>
          <w:bCs w:val="0"/>
          <w:color w:val="auto"/>
          <w:sz w:val="32"/>
          <w:szCs w:val="32"/>
          <w:highlight w:val="none"/>
          <w:lang w:val="en-US" w:eastAsia="zh-CN"/>
        </w:rPr>
        <w:t>指其他为科技研发、成果转化过程中的风险提供保障的保险产品。</w:t>
      </w:r>
    </w:p>
    <w:p w14:paraId="3CD344F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[科技成果应用推广风险类保险]</w:t>
      </w:r>
      <w:r>
        <w:rPr>
          <w:rFonts w:hint="eastAsia" w:ascii="仿宋_GB2312" w:hAnsi="仿宋_GB2312" w:eastAsia="仿宋_GB2312" w:cs="仿宋_GB2312"/>
          <w:b w:val="0"/>
          <w:bCs w:val="0"/>
          <w:color w:val="auto"/>
          <w:sz w:val="32"/>
          <w:szCs w:val="32"/>
          <w:highlight w:val="none"/>
          <w:lang w:val="en-US" w:eastAsia="zh-CN"/>
        </w:rPr>
        <w:t>指为科技成果和科技产品应用推广提供风险保障的保险产品。（不含被保险人为关键研发人员及其相关高管人员的保险产品），包括：</w:t>
      </w:r>
      <w:r>
        <w:rPr>
          <w:rFonts w:hint="eastAsia" w:ascii="仿宋_GB2312" w:hAnsi="仿宋_GB2312" w:eastAsia="仿宋_GB2312" w:cs="仿宋_GB2312"/>
          <w:b/>
          <w:bCs/>
          <w:color w:val="auto"/>
          <w:sz w:val="32"/>
          <w:szCs w:val="32"/>
          <w:highlight w:val="none"/>
          <w:lang w:val="en-US" w:eastAsia="zh-CN"/>
        </w:rPr>
        <w:t>[首台（套）重大技术装备综合保险]、[重点新材料首批次应用综合保险]、[首版次软件综合保险]、[其他科技研发、成果转化风险类保险]。</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[首台（套）重大技术装备综合保险]</w:t>
      </w:r>
      <w:r>
        <w:rPr>
          <w:rFonts w:hint="eastAsia" w:ascii="仿宋_GB2312" w:hAnsi="仿宋_GB2312" w:eastAsia="仿宋_GB2312" w:cs="仿宋_GB2312"/>
          <w:b w:val="0"/>
          <w:bCs w:val="0"/>
          <w:color w:val="auto"/>
          <w:sz w:val="32"/>
          <w:szCs w:val="32"/>
          <w:highlight w:val="none"/>
          <w:lang w:val="en-US" w:eastAsia="zh-CN"/>
        </w:rPr>
        <w:t>指为首台（套）重大技术装备应用推广提供风险保障的保险产品。</w:t>
      </w:r>
      <w:r>
        <w:rPr>
          <w:rFonts w:hint="eastAsia" w:ascii="仿宋_GB2312" w:hAnsi="仿宋_GB2312" w:eastAsia="仿宋_GB2312" w:cs="仿宋_GB2312"/>
          <w:b/>
          <w:bCs/>
          <w:color w:val="auto"/>
          <w:sz w:val="32"/>
          <w:szCs w:val="32"/>
          <w:highlight w:val="none"/>
          <w:lang w:val="en-US" w:eastAsia="zh-CN"/>
        </w:rPr>
        <w:t>[重点新材料首批次应用综合保险]</w:t>
      </w:r>
      <w:r>
        <w:rPr>
          <w:rFonts w:hint="eastAsia" w:ascii="仿宋_GB2312" w:hAnsi="仿宋_GB2312" w:eastAsia="仿宋_GB2312" w:cs="仿宋_GB2312"/>
          <w:b w:val="0"/>
          <w:bCs w:val="0"/>
          <w:color w:val="auto"/>
          <w:sz w:val="32"/>
          <w:szCs w:val="32"/>
          <w:highlight w:val="none"/>
          <w:lang w:val="en-US" w:eastAsia="zh-CN"/>
        </w:rPr>
        <w:t>指为重点新材料首批次应用推广提供风险保障的保险产品。</w:t>
      </w:r>
      <w:r>
        <w:rPr>
          <w:rFonts w:hint="eastAsia" w:ascii="仿宋_GB2312" w:hAnsi="仿宋_GB2312" w:eastAsia="仿宋_GB2312" w:cs="仿宋_GB2312"/>
          <w:b/>
          <w:bCs/>
          <w:color w:val="auto"/>
          <w:sz w:val="32"/>
          <w:szCs w:val="32"/>
          <w:highlight w:val="none"/>
          <w:lang w:val="en-US" w:eastAsia="zh-CN"/>
        </w:rPr>
        <w:t>[首版次软件综合保险]</w:t>
      </w:r>
      <w:r>
        <w:rPr>
          <w:rFonts w:hint="eastAsia" w:ascii="仿宋_GB2312" w:hAnsi="仿宋_GB2312" w:eastAsia="仿宋_GB2312" w:cs="仿宋_GB2312"/>
          <w:b w:val="0"/>
          <w:bCs w:val="0"/>
          <w:color w:val="auto"/>
          <w:sz w:val="32"/>
          <w:szCs w:val="32"/>
          <w:highlight w:val="none"/>
          <w:lang w:val="en-US" w:eastAsia="zh-CN"/>
        </w:rPr>
        <w:t>指为首版次软件应用推广提供风险保障的保险产品。</w:t>
      </w:r>
      <w:r>
        <w:rPr>
          <w:rFonts w:hint="eastAsia" w:ascii="仿宋_GB2312" w:hAnsi="仿宋_GB2312" w:eastAsia="仿宋_GB2312" w:cs="仿宋_GB2312"/>
          <w:b/>
          <w:bCs/>
          <w:color w:val="auto"/>
          <w:sz w:val="32"/>
          <w:szCs w:val="32"/>
          <w:highlight w:val="none"/>
          <w:lang w:val="en-US" w:eastAsia="zh-CN"/>
        </w:rPr>
        <w:t>[其他科技研发、成果转化风险类保险]</w:t>
      </w:r>
      <w:r>
        <w:rPr>
          <w:rFonts w:hint="eastAsia" w:ascii="仿宋_GB2312" w:hAnsi="仿宋_GB2312" w:eastAsia="仿宋_GB2312" w:cs="仿宋_GB2312"/>
          <w:b w:val="0"/>
          <w:bCs w:val="0"/>
          <w:color w:val="auto"/>
          <w:sz w:val="32"/>
          <w:szCs w:val="32"/>
          <w:highlight w:val="none"/>
          <w:lang w:val="en-US" w:eastAsia="zh-CN"/>
        </w:rPr>
        <w:t>指其他为科技成果应用推广过程中的风险提供保障的保险产品。</w:t>
      </w:r>
    </w:p>
    <w:p w14:paraId="09866A5D">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[知识产权风险类保险]</w:t>
      </w:r>
      <w:r>
        <w:rPr>
          <w:rFonts w:hint="eastAsia" w:ascii="仿宋_GB2312" w:hAnsi="仿宋_GB2312" w:eastAsia="仿宋_GB2312" w:cs="仿宋_GB2312"/>
          <w:b w:val="0"/>
          <w:bCs w:val="0"/>
          <w:color w:val="auto"/>
          <w:sz w:val="32"/>
          <w:szCs w:val="32"/>
          <w:highlight w:val="none"/>
          <w:lang w:val="en-US" w:eastAsia="zh-CN"/>
        </w:rPr>
        <w:t>指为知识产权创造、运用、保护等环节提供风险保障的保险产品。（不含被保险人为关键研发人员及其相关高管人员的保险产品），包括：</w:t>
      </w:r>
      <w:r>
        <w:rPr>
          <w:rFonts w:hint="eastAsia" w:ascii="仿宋_GB2312" w:hAnsi="仿宋_GB2312" w:eastAsia="仿宋_GB2312" w:cs="仿宋_GB2312"/>
          <w:b/>
          <w:bCs/>
          <w:color w:val="auto"/>
          <w:sz w:val="32"/>
          <w:szCs w:val="32"/>
          <w:highlight w:val="none"/>
          <w:lang w:val="en-US" w:eastAsia="zh-CN"/>
        </w:rPr>
        <w:t>[知识产权申请费用补偿保险]</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[知识产权执行保险]</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[知识产权被侵权损失保险]</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[知识产权侵权责任保险]</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[知识产权质押融资保证保险]</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[知识产权职业责任保险]</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[其他科技成果应用推广风险类保险]。</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[知识产权申请费用补偿保险]</w:t>
      </w:r>
      <w:r>
        <w:rPr>
          <w:rFonts w:hint="eastAsia" w:ascii="仿宋_GB2312" w:hAnsi="仿宋_GB2312" w:eastAsia="仿宋_GB2312" w:cs="仿宋_GB2312"/>
          <w:b w:val="0"/>
          <w:bCs w:val="0"/>
          <w:color w:val="auto"/>
          <w:sz w:val="32"/>
          <w:szCs w:val="32"/>
          <w:highlight w:val="none"/>
          <w:lang w:val="en-US" w:eastAsia="zh-CN"/>
        </w:rPr>
        <w:t>指为专利、商标、地理标志等知识产权申请失败造成的费用损失提供风险保障的保险产品。</w:t>
      </w:r>
      <w:r>
        <w:rPr>
          <w:rFonts w:hint="eastAsia" w:ascii="仿宋_GB2312" w:hAnsi="仿宋_GB2312" w:eastAsia="仿宋_GB2312" w:cs="仿宋_GB2312"/>
          <w:b/>
          <w:bCs/>
          <w:color w:val="auto"/>
          <w:sz w:val="32"/>
          <w:szCs w:val="32"/>
          <w:highlight w:val="none"/>
          <w:lang w:val="en-US" w:eastAsia="zh-CN"/>
        </w:rPr>
        <w:t>[知识产权执行保险]</w:t>
      </w:r>
      <w:r>
        <w:rPr>
          <w:rFonts w:hint="eastAsia" w:ascii="仿宋_GB2312" w:hAnsi="仿宋_GB2312" w:eastAsia="仿宋_GB2312" w:cs="仿宋_GB2312"/>
          <w:b w:val="0"/>
          <w:bCs w:val="0"/>
          <w:color w:val="auto"/>
          <w:sz w:val="32"/>
          <w:szCs w:val="32"/>
          <w:highlight w:val="none"/>
          <w:lang w:val="en-US" w:eastAsia="zh-CN"/>
        </w:rPr>
        <w:t>指为知识产权所有人追究知识产权侵权责任产生的维权费用提供风险保障的保险产品。</w:t>
      </w:r>
      <w:r>
        <w:rPr>
          <w:rFonts w:hint="eastAsia" w:ascii="仿宋_GB2312" w:hAnsi="仿宋_GB2312" w:eastAsia="仿宋_GB2312" w:cs="仿宋_GB2312"/>
          <w:b/>
          <w:bCs/>
          <w:color w:val="auto"/>
          <w:sz w:val="32"/>
          <w:szCs w:val="32"/>
          <w:highlight w:val="none"/>
          <w:lang w:val="en-US" w:eastAsia="zh-CN"/>
        </w:rPr>
        <w:t>[知识产权被侵权损失保险]</w:t>
      </w:r>
      <w:r>
        <w:rPr>
          <w:rFonts w:hint="eastAsia" w:ascii="仿宋_GB2312" w:hAnsi="仿宋_GB2312" w:eastAsia="仿宋_GB2312" w:cs="仿宋_GB2312"/>
          <w:b w:val="0"/>
          <w:bCs w:val="0"/>
          <w:color w:val="auto"/>
          <w:sz w:val="32"/>
          <w:szCs w:val="32"/>
          <w:highlight w:val="none"/>
          <w:lang w:val="en-US" w:eastAsia="zh-CN"/>
        </w:rPr>
        <w:t>指为知识产权所有人被侵权造成的经济损失提供风险保障的保险产品。</w:t>
      </w:r>
      <w:r>
        <w:rPr>
          <w:rFonts w:hint="eastAsia" w:ascii="仿宋_GB2312" w:hAnsi="仿宋_GB2312" w:eastAsia="仿宋_GB2312" w:cs="仿宋_GB2312"/>
          <w:b/>
          <w:bCs/>
          <w:color w:val="auto"/>
          <w:sz w:val="32"/>
          <w:szCs w:val="32"/>
          <w:highlight w:val="none"/>
          <w:lang w:val="en-US" w:eastAsia="zh-CN"/>
        </w:rPr>
        <w:t>[知识产权侵权责任保险]</w:t>
      </w:r>
      <w:r>
        <w:rPr>
          <w:rFonts w:hint="eastAsia" w:ascii="仿宋_GB2312" w:hAnsi="仿宋_GB2312" w:eastAsia="仿宋_GB2312" w:cs="仿宋_GB2312"/>
          <w:b w:val="0"/>
          <w:bCs w:val="0"/>
          <w:color w:val="auto"/>
          <w:sz w:val="32"/>
          <w:szCs w:val="32"/>
          <w:highlight w:val="none"/>
          <w:lang w:val="en-US" w:eastAsia="zh-CN"/>
        </w:rPr>
        <w:t>指为被保险人非故意侵犯他人知识产权产生的经济赔偿责任等损失提供风险保障的保险产品。</w:t>
      </w:r>
      <w:r>
        <w:rPr>
          <w:rFonts w:hint="eastAsia" w:ascii="仿宋_GB2312" w:hAnsi="仿宋_GB2312" w:eastAsia="仿宋_GB2312" w:cs="仿宋_GB2312"/>
          <w:b/>
          <w:bCs/>
          <w:color w:val="auto"/>
          <w:sz w:val="32"/>
          <w:szCs w:val="32"/>
          <w:highlight w:val="none"/>
          <w:lang w:val="en-US" w:eastAsia="zh-CN"/>
        </w:rPr>
        <w:t>[知识产权质押融资保证保险]</w:t>
      </w:r>
      <w:r>
        <w:rPr>
          <w:rFonts w:hint="eastAsia" w:ascii="仿宋_GB2312" w:hAnsi="仿宋_GB2312" w:eastAsia="仿宋_GB2312" w:cs="仿宋_GB2312"/>
          <w:b w:val="0"/>
          <w:bCs w:val="0"/>
          <w:color w:val="auto"/>
          <w:sz w:val="32"/>
          <w:szCs w:val="32"/>
          <w:highlight w:val="none"/>
          <w:lang w:val="en-US" w:eastAsia="zh-CN"/>
        </w:rPr>
        <w:t>指为被保险人履行知识产权质押融资还款义务提供保证风险保障的保险产品。</w:t>
      </w:r>
      <w:r>
        <w:rPr>
          <w:rFonts w:hint="eastAsia" w:ascii="仿宋_GB2312" w:hAnsi="仿宋_GB2312" w:eastAsia="仿宋_GB2312" w:cs="仿宋_GB2312"/>
          <w:b/>
          <w:bCs/>
          <w:color w:val="auto"/>
          <w:sz w:val="32"/>
          <w:szCs w:val="32"/>
          <w:highlight w:val="none"/>
          <w:lang w:val="en-US" w:eastAsia="zh-CN"/>
        </w:rPr>
        <w:t>[知识产权职业责任保险]</w:t>
      </w:r>
      <w:r>
        <w:rPr>
          <w:rFonts w:hint="eastAsia" w:ascii="仿宋_GB2312" w:hAnsi="仿宋_GB2312" w:eastAsia="仿宋_GB2312" w:cs="仿宋_GB2312"/>
          <w:b w:val="0"/>
          <w:bCs w:val="0"/>
          <w:color w:val="auto"/>
          <w:sz w:val="32"/>
          <w:szCs w:val="32"/>
          <w:highlight w:val="none"/>
          <w:lang w:val="en-US" w:eastAsia="zh-CN"/>
        </w:rPr>
        <w:t>指为知识产权代理、评估等第三方机构因过失造成委托人等利害关系人经济受损产生的经济赔偿责任等损失提供风险保障的保险产品。</w:t>
      </w:r>
      <w:r>
        <w:rPr>
          <w:rFonts w:hint="eastAsia" w:ascii="仿宋_GB2312" w:hAnsi="仿宋_GB2312" w:eastAsia="仿宋_GB2312" w:cs="仿宋_GB2312"/>
          <w:b/>
          <w:bCs/>
          <w:color w:val="auto"/>
          <w:sz w:val="32"/>
          <w:szCs w:val="32"/>
          <w:highlight w:val="none"/>
          <w:lang w:val="en-US" w:eastAsia="zh-CN"/>
        </w:rPr>
        <w:t>[其他科技成果应用推广风险类保险]</w:t>
      </w:r>
      <w:r>
        <w:rPr>
          <w:rFonts w:hint="eastAsia" w:ascii="仿宋_GB2312" w:hAnsi="仿宋_GB2312" w:eastAsia="仿宋_GB2312" w:cs="仿宋_GB2312"/>
          <w:b w:val="0"/>
          <w:bCs w:val="0"/>
          <w:color w:val="auto"/>
          <w:sz w:val="32"/>
          <w:szCs w:val="32"/>
          <w:highlight w:val="none"/>
          <w:lang w:val="en-US" w:eastAsia="zh-CN"/>
        </w:rPr>
        <w:t>指其他为知识产权创造、运用、保护等环节提供风险保障的保险产品。</w:t>
      </w:r>
      <w:r>
        <w:rPr>
          <w:rFonts w:hint="eastAsia" w:ascii="仿宋_GB2312" w:hAnsi="仿宋_GB2312" w:eastAsia="仿宋_GB2312" w:cs="仿宋_GB2312"/>
          <w:b/>
          <w:bCs/>
          <w:color w:val="auto"/>
          <w:sz w:val="32"/>
          <w:szCs w:val="32"/>
          <w:highlight w:val="none"/>
          <w:lang w:val="en-US" w:eastAsia="zh-CN"/>
        </w:rPr>
        <w:t>[海外知识产权风险类保险]</w:t>
      </w:r>
      <w:r>
        <w:rPr>
          <w:rFonts w:hint="eastAsia" w:ascii="仿宋_GB2312" w:hAnsi="仿宋_GB2312" w:eastAsia="仿宋_GB2312" w:cs="仿宋_GB2312"/>
          <w:b w:val="0"/>
          <w:bCs w:val="0"/>
          <w:color w:val="auto"/>
          <w:sz w:val="32"/>
          <w:szCs w:val="32"/>
          <w:highlight w:val="none"/>
          <w:lang w:val="en-US" w:eastAsia="zh-CN"/>
        </w:rPr>
        <w:t>指为海外知识产权创造、运用、保护等环节，因申请失败、侵权、被侵权等造成的经济损失或经济赔偿责任等提供风险保障的保险产品。本项为单列统计项，不计入知识产权风险类保险的加总计算。</w:t>
      </w:r>
    </w:p>
    <w:p w14:paraId="502513E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[科技活动基础风险类保险]</w:t>
      </w:r>
      <w:r>
        <w:rPr>
          <w:rFonts w:hint="eastAsia" w:ascii="仿宋_GB2312" w:hAnsi="仿宋_GB2312" w:eastAsia="仿宋_GB2312" w:cs="仿宋_GB2312"/>
          <w:b w:val="0"/>
          <w:bCs w:val="0"/>
          <w:color w:val="auto"/>
          <w:sz w:val="32"/>
          <w:szCs w:val="32"/>
          <w:highlight w:val="none"/>
          <w:lang w:val="en-US" w:eastAsia="zh-CN"/>
        </w:rPr>
        <w:t>指为科技活动涉及的创业、人才、网络等基础性风险提供保障的保险产品。包括：</w:t>
      </w:r>
      <w:r>
        <w:rPr>
          <w:rFonts w:hint="eastAsia" w:ascii="仿宋_GB2312" w:hAnsi="仿宋_GB2312" w:eastAsia="仿宋_GB2312" w:cs="仿宋_GB2312"/>
          <w:b/>
          <w:bCs/>
          <w:color w:val="auto"/>
          <w:sz w:val="32"/>
          <w:szCs w:val="32"/>
          <w:highlight w:val="none"/>
          <w:lang w:val="en-US" w:eastAsia="zh-CN"/>
        </w:rPr>
        <w:t>[网络安全保险]、[人才创业保险]、[其他科技活动基础风险类保险]。</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[网络安全保险]</w:t>
      </w:r>
      <w:r>
        <w:rPr>
          <w:rFonts w:hint="eastAsia" w:ascii="仿宋_GB2312" w:hAnsi="仿宋_GB2312" w:eastAsia="仿宋_GB2312" w:cs="仿宋_GB2312"/>
          <w:b w:val="0"/>
          <w:bCs w:val="0"/>
          <w:color w:val="auto"/>
          <w:sz w:val="32"/>
          <w:szCs w:val="32"/>
          <w:highlight w:val="none"/>
          <w:lang w:val="en-US" w:eastAsia="zh-CN"/>
        </w:rPr>
        <w:t>为网络安全事故导致的财产损失、第三方责任等提供风险保障的保险产品。</w:t>
      </w:r>
      <w:r>
        <w:rPr>
          <w:rFonts w:hint="eastAsia" w:ascii="仿宋_GB2312" w:hAnsi="仿宋_GB2312" w:eastAsia="仿宋_GB2312" w:cs="仿宋_GB2312"/>
          <w:b/>
          <w:bCs/>
          <w:color w:val="auto"/>
          <w:sz w:val="32"/>
          <w:szCs w:val="32"/>
          <w:highlight w:val="none"/>
          <w:lang w:val="en-US" w:eastAsia="zh-CN"/>
        </w:rPr>
        <w:t>[人才创业保险]</w:t>
      </w:r>
      <w:r>
        <w:rPr>
          <w:rFonts w:hint="eastAsia" w:ascii="仿宋_GB2312" w:hAnsi="仿宋_GB2312" w:eastAsia="仿宋_GB2312" w:cs="仿宋_GB2312"/>
          <w:b w:val="0"/>
          <w:bCs w:val="0"/>
          <w:color w:val="auto"/>
          <w:sz w:val="32"/>
          <w:szCs w:val="32"/>
          <w:highlight w:val="none"/>
          <w:lang w:val="en-US" w:eastAsia="zh-CN"/>
        </w:rPr>
        <w:t>指为关键研发人员及其相关高管人员的人身安全、职业责任、创业失败经济损失等提供风险保障的保险产品。</w:t>
      </w:r>
      <w:r>
        <w:rPr>
          <w:rFonts w:hint="eastAsia" w:ascii="仿宋_GB2312" w:hAnsi="仿宋_GB2312" w:eastAsia="仿宋_GB2312" w:cs="仿宋_GB2312"/>
          <w:b/>
          <w:bCs/>
          <w:color w:val="auto"/>
          <w:sz w:val="32"/>
          <w:szCs w:val="32"/>
          <w:highlight w:val="none"/>
          <w:lang w:val="en-US" w:eastAsia="zh-CN"/>
        </w:rPr>
        <w:t>[其他科技活动基础风险类保险]</w:t>
      </w:r>
      <w:r>
        <w:rPr>
          <w:rFonts w:hint="eastAsia" w:ascii="仿宋_GB2312" w:hAnsi="仿宋_GB2312" w:eastAsia="仿宋_GB2312" w:cs="仿宋_GB2312"/>
          <w:b w:val="0"/>
          <w:bCs w:val="0"/>
          <w:color w:val="auto"/>
          <w:sz w:val="32"/>
          <w:szCs w:val="32"/>
          <w:highlight w:val="none"/>
          <w:lang w:val="en-US" w:eastAsia="zh-CN"/>
        </w:rPr>
        <w:t>指其他为科技活动涉及的创业、人才、网络等基础性风险提供保障的保险产品。</w:t>
      </w:r>
    </w:p>
    <w:p w14:paraId="7522CD2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2.科技主体维度。</w:t>
      </w:r>
      <w:r>
        <w:rPr>
          <w:rFonts w:hint="eastAsia" w:ascii="仿宋_GB2312" w:hAnsi="仿宋_GB2312" w:eastAsia="仿宋_GB2312" w:cs="仿宋_GB2312"/>
          <w:b w:val="0"/>
          <w:bCs w:val="0"/>
          <w:color w:val="auto"/>
          <w:sz w:val="32"/>
          <w:szCs w:val="32"/>
          <w:highlight w:val="none"/>
          <w:lang w:val="en-US" w:eastAsia="zh-CN"/>
        </w:rPr>
        <w:t>是针对科技活动主体的保险业务，</w:t>
      </w:r>
      <w:r>
        <w:rPr>
          <w:rFonts w:hint="eastAsia" w:ascii="仿宋_GB2312" w:hAnsi="仿宋_GB2312" w:eastAsia="仿宋_GB2312" w:cs="仿宋_GB2312"/>
          <w:color w:val="auto"/>
          <w:sz w:val="32"/>
          <w:szCs w:val="32"/>
          <w:highlight w:val="none"/>
        </w:rPr>
        <w:t>按照保障主体维度进行统计，是指所有与保障主体（即投保人或被保险人）科技活动及经营相关的保险业务原则上均纳入统计；鼓励有条件的保险公司，结合保障主体及保险标的具体情况，进一步判断保险业务是否属于科技保险，并纳入相关统计科目项下</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针对同一保障主体属于多个产业或领域、无法准确拆分的，按照其主要经营产业或领域进行归类统计。</w:t>
      </w:r>
      <w:r>
        <w:rPr>
          <w:rFonts w:hint="eastAsia" w:ascii="仿宋_GB2312" w:hAnsi="仿宋_GB2312" w:eastAsia="仿宋_GB2312" w:cs="仿宋_GB2312"/>
          <w:b w:val="0"/>
          <w:bCs w:val="0"/>
          <w:color w:val="auto"/>
          <w:sz w:val="32"/>
          <w:szCs w:val="32"/>
          <w:highlight w:val="none"/>
          <w:lang w:val="en-US" w:eastAsia="zh-CN"/>
        </w:rPr>
        <w:t>包括</w:t>
      </w:r>
      <w:r>
        <w:rPr>
          <w:rFonts w:hint="eastAsia" w:ascii="仿宋_GB2312" w:hAnsi="仿宋_GB2312" w:eastAsia="仿宋_GB2312" w:cs="仿宋_GB2312"/>
          <w:b/>
          <w:bCs/>
          <w:color w:val="auto"/>
          <w:sz w:val="32"/>
          <w:szCs w:val="32"/>
          <w:highlight w:val="none"/>
          <w:lang w:val="en-US" w:eastAsia="zh-CN"/>
        </w:rPr>
        <w:t>[科技企业保险业务]、[科研机构保险业务]。</w:t>
      </w:r>
      <w:r>
        <w:rPr>
          <w:rFonts w:hint="eastAsia" w:ascii="仿宋_GB2312" w:hAnsi="仿宋_GB2312" w:eastAsia="仿宋_GB2312" w:cs="仿宋_GB2312"/>
          <w:b w:val="0"/>
          <w:bCs w:val="0"/>
          <w:color w:val="auto"/>
          <w:sz w:val="32"/>
          <w:szCs w:val="32"/>
          <w:highlight w:val="none"/>
          <w:lang w:val="en-US" w:eastAsia="zh-CN"/>
        </w:rPr>
        <w:t>科技企业</w:t>
      </w:r>
      <w:r>
        <w:rPr>
          <w:rFonts w:hint="eastAsia" w:ascii="仿宋_GB2312" w:hAnsi="仿宋_GB2312" w:eastAsia="仿宋_GB2312" w:cs="仿宋_GB2312"/>
          <w:b w:val="0"/>
          <w:bCs w:val="0"/>
          <w:color w:val="auto"/>
          <w:sz w:val="32"/>
          <w:szCs w:val="32"/>
          <w:highlight w:val="none"/>
        </w:rPr>
        <w:t>分类标准参照《科技部财政部国家税务总局关于修订印发〈高新技术企业认定管理工作指引〉的通知》附件《国家重点支持的高新技术领域》确定，包括电子信息技术、生物与新医药技术、航空航天技术、新材料技术、高技术服务业、新能源及节能技术、资源与环境技术、先进制造及自动化、其他等9类。</w:t>
      </w:r>
    </w:p>
    <w:p w14:paraId="47019AE7">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（1）高新技术企业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按照《科技部 财政部 国家税务总局关于修订印发〈高新技术企业认定管理工作指引〉的通知》（国科发火〔2016〕195号），各省、自治区、直辖市、计划单列市高新技术企业认定管理机构认定的高新技术企业。</w:t>
      </w:r>
    </w:p>
    <w:p w14:paraId="78FC7180">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（2）科技型中小企业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按照《科技型中小企业评价办法》（国科发政〔2017〕115号），科技型中小企业信息库在库企业，填报时以上年末在库企业名单和当年新增在库企业为准。</w:t>
      </w:r>
    </w:p>
    <w:p w14:paraId="5E255FB2">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（3）创新型中小企业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按照《工业和信息化部关于印发〈优质中小企业梯度培育管理暂行办法〉的通知》（工信部企业〔2022〕63号），各省、自治区、直辖市及计划单列市、新疆生产建设兵团中小企业主管部门公告的创新型中小企业。</w:t>
      </w:r>
    </w:p>
    <w:p w14:paraId="3D4F9801">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（4）“专精特新”中小企业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按照《工业和信息化部关于印发〈优质中小企业梯度培育管理暂行办法〉的通知》，各省、自治区、直辖市及计划单列市、新疆生产建设兵团中小企业主管部门认定的“专精特新”中小企业。</w:t>
      </w:r>
    </w:p>
    <w:p w14:paraId="6A0D3D3E">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（5）专精特新“小巨人”企业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按照《工业和信息化部关于印发〈优质中小企业梯度培育管理暂行办法〉的通知》、《工业和信息化部办公厅关于开展专精特新“小巨人”企业培育工作的通知》（工信厅企业函〔2018〕381号），工业和信息化部认定的专精特新“小巨人”企业。</w:t>
      </w:r>
    </w:p>
    <w:p w14:paraId="3169645D">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（6）通过高新技术企业、科技型中小企业、“专精特新”中小企业、专精特新“小巨人”企业、国家技术创新示范企业或制造业单项冠军企业任一认定或评价的企业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通过高新技术企业、科技型中小企业、“专精特新”中小企业、专精特新“小巨人”企业、国家技术创新示范企业或制造业单项冠军企业中，一项或多项认定评价的企业。其中，国家技术创新示范企业指按照《技术创新示范企业认定管理办法（试行）》（工信部联科〔2010〕540号），工业和信息化部认定的国家技术创新示范企业。制造业单项冠军企业指按照《制造业单项冠军企业培育提升专项行动实施方案》（工信部产业〔2016〕105号），工业和信息化部认定的制造业单项冠军企业。</w:t>
      </w:r>
    </w:p>
    <w:p w14:paraId="2D85B6D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[科技企业保险业务]</w:t>
      </w:r>
      <w:r>
        <w:rPr>
          <w:rFonts w:hint="eastAsia" w:ascii="仿宋_GB2312" w:hAnsi="仿宋_GB2312" w:eastAsia="仿宋_GB2312" w:cs="仿宋_GB2312"/>
          <w:b w:val="0"/>
          <w:bCs w:val="0"/>
          <w:color w:val="auto"/>
          <w:sz w:val="32"/>
          <w:szCs w:val="32"/>
          <w:highlight w:val="none"/>
          <w:lang w:val="en-US" w:eastAsia="zh-CN"/>
        </w:rPr>
        <w:t>指为科技企业提供的保险服务，包括高新技术企业、科技型中小企业、创新型中小企业、“专精特新”中小企业、专精特新“小巨人”企业、通过高新技术企业、科技型中小企业、“专精特新”中小企业、专精特新“小巨人”企业、国家技术创新示范企业或制造业单项冠军企业任一认定或评价的企业等。包括：</w:t>
      </w:r>
      <w:r>
        <w:rPr>
          <w:rFonts w:hint="eastAsia" w:ascii="仿宋_GB2312" w:hAnsi="仿宋_GB2312" w:eastAsia="仿宋_GB2312" w:cs="仿宋_GB2312"/>
          <w:b/>
          <w:bCs/>
          <w:color w:val="auto"/>
          <w:sz w:val="32"/>
          <w:szCs w:val="32"/>
          <w:highlight w:val="none"/>
          <w:lang w:val="en-US" w:eastAsia="zh-CN"/>
        </w:rPr>
        <w:t>[电子信息技术领域]、[生物与新医药技术领域]</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[航空航天技术领域]</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[新材料技术领域]</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[高技术服务业领域]</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[新能源及节能领域]</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[资源及环境领域]、[先进制造与自动化领域]、[其他科技企业保险业务</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[涉及科技活动风险保险的保险业务]。</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[电子信息技术领域]</w:t>
      </w:r>
      <w:r>
        <w:rPr>
          <w:rFonts w:hint="eastAsia" w:ascii="仿宋_GB2312" w:hAnsi="仿宋_GB2312" w:eastAsia="仿宋_GB2312" w:cs="仿宋_GB2312"/>
          <w:b w:val="0"/>
          <w:bCs w:val="0"/>
          <w:color w:val="auto"/>
          <w:sz w:val="32"/>
          <w:szCs w:val="32"/>
          <w:highlight w:val="none"/>
          <w:lang w:val="en-US" w:eastAsia="zh-CN"/>
        </w:rPr>
        <w:t>包括软件、微电子技术、计算机及网络技术、通讯技术、广播电视技术、新型电子元器件、信息安全技术、智能交通技术等领域。</w:t>
      </w:r>
      <w:r>
        <w:rPr>
          <w:rFonts w:hint="eastAsia" w:ascii="仿宋_GB2312" w:hAnsi="仿宋_GB2312" w:eastAsia="仿宋_GB2312" w:cs="仿宋_GB2312"/>
          <w:b/>
          <w:bCs/>
          <w:color w:val="auto"/>
          <w:sz w:val="32"/>
          <w:szCs w:val="32"/>
          <w:highlight w:val="none"/>
          <w:lang w:val="en-US" w:eastAsia="zh-CN"/>
        </w:rPr>
        <w:t>[生物与新医药技术领域]</w:t>
      </w:r>
      <w:r>
        <w:rPr>
          <w:rFonts w:hint="eastAsia" w:ascii="仿宋_GB2312" w:hAnsi="仿宋_GB2312" w:eastAsia="仿宋_GB2312" w:cs="仿宋_GB2312"/>
          <w:b w:val="0"/>
          <w:bCs w:val="0"/>
          <w:color w:val="auto"/>
          <w:sz w:val="32"/>
          <w:szCs w:val="32"/>
          <w:highlight w:val="none"/>
          <w:lang w:val="en-US" w:eastAsia="zh-CN"/>
        </w:rPr>
        <w:t>包括医药生物技术、中药和天然药物、化学药、新剂型和制剂技术、医疗仪器技术、设备与医学专用软件、轻工和化工生物技术、现代农业技术等领域。</w:t>
      </w:r>
      <w:r>
        <w:rPr>
          <w:rFonts w:hint="eastAsia" w:ascii="仿宋_GB2312" w:hAnsi="仿宋_GB2312" w:eastAsia="仿宋_GB2312" w:cs="仿宋_GB2312"/>
          <w:b/>
          <w:bCs/>
          <w:color w:val="auto"/>
          <w:sz w:val="32"/>
          <w:szCs w:val="32"/>
          <w:highlight w:val="none"/>
          <w:lang w:val="en-US" w:eastAsia="zh-CN"/>
        </w:rPr>
        <w:t>[航空航天技术领域]</w:t>
      </w:r>
      <w:r>
        <w:rPr>
          <w:rFonts w:hint="eastAsia" w:ascii="仿宋_GB2312" w:hAnsi="仿宋_GB2312" w:eastAsia="仿宋_GB2312" w:cs="仿宋_GB2312"/>
          <w:b w:val="0"/>
          <w:bCs w:val="0"/>
          <w:color w:val="auto"/>
          <w:sz w:val="32"/>
          <w:szCs w:val="32"/>
          <w:highlight w:val="none"/>
          <w:lang w:val="en-US" w:eastAsia="zh-CN"/>
        </w:rPr>
        <w:t>包括民用飞机技术、空中管制系统、新一代民用航空运行保障系统、卫星通讯应用系统、卫星导航应用服务系统等领域。</w:t>
      </w:r>
      <w:r>
        <w:rPr>
          <w:rFonts w:hint="eastAsia" w:ascii="仿宋_GB2312" w:hAnsi="仿宋_GB2312" w:eastAsia="仿宋_GB2312" w:cs="仿宋_GB2312"/>
          <w:b/>
          <w:bCs/>
          <w:color w:val="auto"/>
          <w:sz w:val="32"/>
          <w:szCs w:val="32"/>
          <w:highlight w:val="none"/>
          <w:lang w:val="en-US" w:eastAsia="zh-CN"/>
        </w:rPr>
        <w:t>[新材料技术领域]</w:t>
      </w:r>
      <w:r>
        <w:rPr>
          <w:rFonts w:hint="eastAsia" w:ascii="仿宋_GB2312" w:hAnsi="仿宋_GB2312" w:eastAsia="仿宋_GB2312" w:cs="仿宋_GB2312"/>
          <w:b w:val="0"/>
          <w:bCs w:val="0"/>
          <w:color w:val="auto"/>
          <w:sz w:val="32"/>
          <w:szCs w:val="32"/>
          <w:highlight w:val="none"/>
          <w:lang w:val="en-US" w:eastAsia="zh-CN"/>
        </w:rPr>
        <w:t>包括半导体材料生产技术等金属材料技术、高性能结构陶瓷强化增韧技术等无机非金属材料技术、高性能高分子结构材料制备技术等高分子材料技术、介入治疗器具材料等生物药用材料技术、新型催化剂技术等精细化学品技术等领域。</w:t>
      </w:r>
      <w:r>
        <w:rPr>
          <w:rFonts w:hint="eastAsia" w:ascii="仿宋_GB2312" w:hAnsi="仿宋_GB2312" w:eastAsia="仿宋_GB2312" w:cs="仿宋_GB2312"/>
          <w:b/>
          <w:bCs/>
          <w:color w:val="auto"/>
          <w:sz w:val="32"/>
          <w:szCs w:val="32"/>
          <w:highlight w:val="none"/>
          <w:lang w:val="en-US" w:eastAsia="zh-CN"/>
        </w:rPr>
        <w:t>[高技术服务业领域]</w:t>
      </w:r>
      <w:r>
        <w:rPr>
          <w:rFonts w:hint="eastAsia" w:ascii="仿宋_GB2312" w:hAnsi="仿宋_GB2312" w:eastAsia="仿宋_GB2312" w:cs="仿宋_GB2312"/>
          <w:b w:val="0"/>
          <w:bCs w:val="0"/>
          <w:color w:val="auto"/>
          <w:sz w:val="32"/>
          <w:szCs w:val="32"/>
          <w:highlight w:val="none"/>
          <w:lang w:val="en-US" w:eastAsia="zh-CN"/>
        </w:rPr>
        <w:t>包括共性技术、现代物流、集成电路、业务流程外包（BPO）、文化创意产业支撑技术、信息化公共服务、信息化系统技术咨询、精密复杂模具设计、生物医药技术、工业设计等领域服务企业。</w:t>
      </w:r>
      <w:r>
        <w:rPr>
          <w:rFonts w:hint="eastAsia" w:ascii="仿宋_GB2312" w:hAnsi="仿宋_GB2312" w:eastAsia="仿宋_GB2312" w:cs="仿宋_GB2312"/>
          <w:b/>
          <w:bCs/>
          <w:color w:val="auto"/>
          <w:sz w:val="32"/>
          <w:szCs w:val="32"/>
          <w:highlight w:val="none"/>
          <w:lang w:val="en-US" w:eastAsia="zh-CN"/>
        </w:rPr>
        <w:t>[新能源及节能领域]</w:t>
      </w:r>
      <w:r>
        <w:rPr>
          <w:rFonts w:hint="eastAsia" w:ascii="仿宋_GB2312" w:hAnsi="仿宋_GB2312" w:eastAsia="仿宋_GB2312" w:cs="仿宋_GB2312"/>
          <w:b w:val="0"/>
          <w:bCs w:val="0"/>
          <w:color w:val="auto"/>
          <w:sz w:val="32"/>
          <w:szCs w:val="32"/>
          <w:highlight w:val="none"/>
          <w:lang w:val="en-US" w:eastAsia="zh-CN"/>
        </w:rPr>
        <w:t>包括太阳能、风能等可再生清洁能源技术、核能和氢能、高性能电池等新型高效能量转换与储存技术、高效节能技术等领域。</w:t>
      </w:r>
      <w:r>
        <w:rPr>
          <w:rFonts w:hint="eastAsia" w:ascii="仿宋_GB2312" w:hAnsi="仿宋_GB2312" w:eastAsia="仿宋_GB2312" w:cs="仿宋_GB2312"/>
          <w:b/>
          <w:bCs/>
          <w:color w:val="auto"/>
          <w:sz w:val="32"/>
          <w:szCs w:val="32"/>
          <w:highlight w:val="none"/>
          <w:lang w:val="en-US" w:eastAsia="zh-CN"/>
        </w:rPr>
        <w:t>[资源及环境领域]</w:t>
      </w:r>
      <w:r>
        <w:rPr>
          <w:rFonts w:hint="eastAsia" w:ascii="仿宋_GB2312" w:hAnsi="仿宋_GB2312" w:eastAsia="仿宋_GB2312" w:cs="仿宋_GB2312"/>
          <w:b w:val="0"/>
          <w:bCs w:val="0"/>
          <w:color w:val="auto"/>
          <w:sz w:val="32"/>
          <w:szCs w:val="32"/>
          <w:highlight w:val="none"/>
          <w:lang w:val="en-US" w:eastAsia="zh-CN"/>
        </w:rPr>
        <w:t>包括水污染控制技术、大气污染控制技术、固体废物处理和综合利用技术、环境监测技术、生态环境建设和保护技术、清洁生产和循环经济技术、资源高效开发和综合利用技术等领域。</w:t>
      </w:r>
      <w:r>
        <w:rPr>
          <w:rFonts w:hint="eastAsia" w:ascii="仿宋_GB2312" w:hAnsi="仿宋_GB2312" w:eastAsia="仿宋_GB2312" w:cs="仿宋_GB2312"/>
          <w:b/>
          <w:bCs/>
          <w:color w:val="auto"/>
          <w:sz w:val="32"/>
          <w:szCs w:val="32"/>
          <w:highlight w:val="none"/>
          <w:lang w:val="en-US" w:eastAsia="zh-CN"/>
        </w:rPr>
        <w:t>[先进制造与自动化领域]</w:t>
      </w:r>
      <w:r>
        <w:rPr>
          <w:rFonts w:hint="eastAsia" w:ascii="仿宋_GB2312" w:hAnsi="仿宋_GB2312" w:eastAsia="仿宋_GB2312" w:cs="仿宋_GB2312"/>
          <w:b w:val="0"/>
          <w:bCs w:val="0"/>
          <w:color w:val="auto"/>
          <w:sz w:val="32"/>
          <w:szCs w:val="32"/>
          <w:highlight w:val="none"/>
          <w:lang w:val="en-US" w:eastAsia="zh-CN"/>
        </w:rPr>
        <w:t>包括工业生产过程控制系统、高性能和智能化仪器仪表、先进制造技术、新型机械、电力系统信息化和自动化技术、汽车行业关键技术等。</w:t>
      </w:r>
      <w:r>
        <w:rPr>
          <w:rFonts w:hint="eastAsia" w:ascii="仿宋_GB2312" w:hAnsi="仿宋_GB2312" w:eastAsia="仿宋_GB2312" w:cs="仿宋_GB2312"/>
          <w:b/>
          <w:bCs/>
          <w:color w:val="auto"/>
          <w:sz w:val="32"/>
          <w:szCs w:val="32"/>
          <w:highlight w:val="none"/>
          <w:lang w:val="en-US" w:eastAsia="zh-CN"/>
        </w:rPr>
        <w:t>[其他科技企业保险业务</w:t>
      </w:r>
      <w:r>
        <w:rPr>
          <w:rFonts w:hint="eastAsia" w:ascii="仿宋_GB2312" w:hAnsi="仿宋_GB2312" w:eastAsia="仿宋_GB2312" w:cs="仿宋_GB2312"/>
          <w:b w:val="0"/>
          <w:bCs w:val="0"/>
          <w:color w:val="auto"/>
          <w:sz w:val="32"/>
          <w:szCs w:val="32"/>
          <w:highlight w:val="none"/>
          <w:lang w:val="en-US" w:eastAsia="zh-CN"/>
        </w:rPr>
        <w:t>]指为其他技术领域科技企业提供的保险服务。</w:t>
      </w:r>
    </w:p>
    <w:p w14:paraId="1F50A76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[科研机构保险业务]</w:t>
      </w:r>
      <w:r>
        <w:rPr>
          <w:rFonts w:hint="eastAsia" w:ascii="仿宋_GB2312" w:hAnsi="仿宋_GB2312" w:eastAsia="仿宋_GB2312" w:cs="仿宋_GB2312"/>
          <w:b w:val="0"/>
          <w:bCs w:val="0"/>
          <w:color w:val="auto"/>
          <w:sz w:val="32"/>
          <w:szCs w:val="32"/>
          <w:highlight w:val="none"/>
          <w:lang w:val="en-US" w:eastAsia="zh-CN"/>
        </w:rPr>
        <w:t>指为从事科学研究和科技研发的机构（不含科技企业）提供的保险服务，包括科研院所、重点实验室、新型研发机构、临床医学研究中心等。</w:t>
      </w:r>
    </w:p>
    <w:p w14:paraId="72DC99DA">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3.地区维度。</w:t>
      </w:r>
      <w:r>
        <w:rPr>
          <w:rFonts w:hint="eastAsia" w:ascii="仿宋_GB2312" w:hAnsi="仿宋_GB2312" w:eastAsia="仿宋_GB2312" w:cs="仿宋_GB2312"/>
          <w:color w:val="auto"/>
          <w:sz w:val="32"/>
          <w:szCs w:val="32"/>
          <w:highlight w:val="none"/>
          <w:lang w:eastAsia="zh-CN"/>
        </w:rPr>
        <w:t>地区的分类及分类标准详见“</w:t>
      </w:r>
      <w:r>
        <w:rPr>
          <w:rFonts w:hint="eastAsia" w:ascii="仿宋_GB2312" w:hAnsi="仿宋_GB2312" w:eastAsia="仿宋_GB2312" w:cs="仿宋_GB2312"/>
          <w:color w:val="auto"/>
          <w:sz w:val="32"/>
          <w:szCs w:val="32"/>
          <w:lang w:val="en-US" w:eastAsia="zh-CN"/>
        </w:rPr>
        <w:t>第三部分 业务类”中的地区维度，</w:t>
      </w:r>
      <w:r>
        <w:rPr>
          <w:rFonts w:hint="eastAsia" w:ascii="仿宋_GB2312" w:hAnsi="仿宋_GB2312" w:eastAsia="仿宋_GB2312" w:cs="仿宋_GB2312"/>
          <w:color w:val="auto"/>
          <w:sz w:val="32"/>
          <w:szCs w:val="32"/>
          <w:lang w:eastAsia="zh-CN"/>
        </w:rPr>
        <w:t>具体到省级行政区和计划单列市，包括</w:t>
      </w:r>
      <w:r>
        <w:rPr>
          <w:rFonts w:hint="eastAsia" w:ascii="仿宋_GB2312" w:hAnsi="仿宋_GB2312" w:eastAsia="仿宋_GB2312" w:cs="仿宋_GB2312"/>
          <w:b/>
          <w:bCs/>
          <w:color w:val="auto"/>
          <w:sz w:val="32"/>
          <w:szCs w:val="32"/>
          <w:lang w:val="en-US" w:eastAsia="zh-CN"/>
        </w:rPr>
        <w:t>[安徽省]</w:t>
      </w:r>
      <w:r>
        <w:rPr>
          <w:rFonts w:hint="eastAsia" w:ascii="仿宋_GB2312" w:hAnsi="仿宋_GB2312" w:eastAsia="仿宋_GB2312" w:cs="仿宋_GB2312"/>
          <w:b w:val="0"/>
          <w:bCs w:val="0"/>
          <w:color w:val="auto"/>
          <w:sz w:val="32"/>
          <w:szCs w:val="32"/>
          <w:lang w:val="en-US" w:eastAsia="zh-CN"/>
        </w:rPr>
        <w:t>等22个省、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北京市</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等4个直辖市、</w:t>
      </w:r>
      <w:r>
        <w:rPr>
          <w:rFonts w:hint="eastAsia" w:ascii="仿宋_GB2312" w:hAnsi="仿宋_GB2312" w:eastAsia="仿宋_GB2312" w:cs="仿宋_GB2312"/>
          <w:b/>
          <w:bCs/>
          <w:color w:val="auto"/>
          <w:sz w:val="32"/>
          <w:szCs w:val="32"/>
          <w:lang w:val="en-US" w:eastAsia="zh-CN"/>
        </w:rPr>
        <w:t>[内蒙古自治区]</w:t>
      </w:r>
      <w:r>
        <w:rPr>
          <w:rFonts w:hint="eastAsia" w:ascii="仿宋_GB2312" w:hAnsi="仿宋_GB2312" w:eastAsia="仿宋_GB2312" w:cs="仿宋_GB2312"/>
          <w:b w:val="0"/>
          <w:bCs w:val="0"/>
          <w:color w:val="auto"/>
          <w:sz w:val="32"/>
          <w:szCs w:val="32"/>
          <w:lang w:val="en-US" w:eastAsia="zh-CN"/>
        </w:rPr>
        <w:t>等5个自治区，</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b/>
          <w:bCs/>
          <w:color w:val="auto"/>
          <w:sz w:val="32"/>
          <w:szCs w:val="32"/>
          <w:lang w:val="en-US" w:eastAsia="zh-CN"/>
        </w:rPr>
        <w:t>[辽宁省大连市]、[山东省青岛市]、[广东省深圳市]、[福建省厦门市]、[浙江省宁波市]</w:t>
      </w:r>
      <w:r>
        <w:rPr>
          <w:rFonts w:hint="eastAsia" w:ascii="仿宋_GB2312" w:hAnsi="仿宋_GB2312" w:eastAsia="仿宋_GB2312" w:cs="仿宋_GB2312"/>
          <w:b w:val="0"/>
          <w:bCs w:val="0"/>
          <w:color w:val="auto"/>
          <w:sz w:val="32"/>
          <w:szCs w:val="32"/>
          <w:lang w:val="en-US" w:eastAsia="zh-CN"/>
        </w:rPr>
        <w:t>等5个计划单列市，其中，计入计划单列市，不再重复计入计划单列市所属省级行政区。</w:t>
      </w:r>
    </w:p>
    <w:p w14:paraId="3E8DF2E7">
      <w:pPr>
        <w:pStyle w:val="57"/>
        <w:keepNext w:val="0"/>
        <w:keepLines w:val="0"/>
        <w:pageBreakBefore w:val="0"/>
        <w:kinsoku/>
        <w:wordWrap/>
        <w:overflowPunct/>
        <w:topLinePunct w:val="0"/>
        <w:bidi w:val="0"/>
        <w:spacing w:after="0" w:line="600" w:lineRule="exact"/>
        <w:ind w:firstLine="640"/>
        <w:jc w:val="both"/>
        <w:textAlignment w:val="auto"/>
        <w:outlineLvl w:val="1"/>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三、绿色保险重点指标</w:t>
      </w:r>
    </w:p>
    <w:p w14:paraId="199D0981">
      <w:pPr>
        <w:pStyle w:val="56"/>
        <w:keepNext w:val="0"/>
        <w:keepLines w:val="0"/>
        <w:pageBreakBefore w:val="0"/>
        <w:kinsoku/>
        <w:wordWrap/>
        <w:overflowPunct/>
        <w:topLinePunct w:val="0"/>
        <w:bidi w:val="0"/>
        <w:spacing w:after="0" w:line="60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绿色保险指保险业在环境资源保护与社会治理、绿色产业运行和绿色生活消费等方面提供风险保障和资金支持等经济行为的统称。</w:t>
      </w:r>
      <w:r>
        <w:rPr>
          <w:rFonts w:hint="eastAsia" w:ascii="仿宋_GB2312" w:hAnsi="仿宋_GB2312" w:eastAsia="仿宋_GB2312" w:cs="仿宋_GB2312"/>
          <w:b w:val="0"/>
          <w:bCs w:val="0"/>
          <w:color w:val="auto"/>
          <w:sz w:val="32"/>
          <w:szCs w:val="32"/>
          <w:highlight w:val="none"/>
          <w:lang w:val="en-US" w:eastAsia="zh-CN"/>
        </w:rPr>
        <w:t>包括三方面内容：一是为环境、社会、治理风险（ESG）提供保障的保险业务；二是为绿色产业提供保障的保险业务；三是为绿色生活提供保障的保险业务。</w:t>
      </w:r>
    </w:p>
    <w:p w14:paraId="2405ABDE">
      <w:pPr>
        <w:pStyle w:val="57"/>
        <w:keepNext w:val="0"/>
        <w:keepLines w:val="0"/>
        <w:pageBreakBefore w:val="0"/>
        <w:numPr>
          <w:ilvl w:val="0"/>
          <w:numId w:val="0"/>
        </w:numPr>
        <w:kinsoku/>
        <w:wordWrap/>
        <w:overflowPunct/>
        <w:topLinePunct w:val="0"/>
        <w:bidi w:val="0"/>
        <w:spacing w:after="0" w:line="600" w:lineRule="exact"/>
        <w:ind w:leftChars="0" w:firstLine="640"/>
        <w:jc w:val="both"/>
        <w:textAlignment w:val="auto"/>
        <w:outlineLvl w:val="2"/>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lang w:val="en-US" w:eastAsia="zh-CN"/>
        </w:rPr>
        <w:t>统计指标及口径</w:t>
      </w:r>
    </w:p>
    <w:p w14:paraId="4753821E">
      <w:pPr>
        <w:pStyle w:val="56"/>
        <w:keepNext w:val="0"/>
        <w:keepLines w:val="0"/>
        <w:pageBreakBefore w:val="0"/>
        <w:kinsoku/>
        <w:wordWrap/>
        <w:overflowPunct/>
        <w:topLinePunct w:val="0"/>
        <w:bidi w:val="0"/>
        <w:spacing w:after="0" w:line="600" w:lineRule="exact"/>
        <w:ind w:firstLine="56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保险公司应当填报</w:t>
      </w:r>
      <w:r>
        <w:rPr>
          <w:rFonts w:hint="eastAsia" w:ascii="仿宋_GB2312" w:hAnsi="Times New Roman" w:eastAsia="仿宋_GB2312" w:cs="仿宋_GB2312"/>
          <w:i w:val="0"/>
          <w:iCs w:val="0"/>
          <w:caps w:val="0"/>
          <w:color w:val="auto"/>
          <w:spacing w:val="0"/>
          <w:kern w:val="0"/>
          <w:sz w:val="32"/>
          <w:szCs w:val="32"/>
          <w:shd w:val="clear" w:color="auto" w:fill="FEFEFE"/>
          <w:lang w:val="en-US" w:eastAsia="zh-CN" w:bidi="ar"/>
        </w:rPr>
        <w:t>绿色保险业务</w:t>
      </w:r>
      <w:r>
        <w:rPr>
          <w:rFonts w:hint="eastAsia" w:ascii="仿宋_GB2312" w:hAnsi="仿宋_GB2312" w:eastAsia="仿宋_GB2312" w:cs="仿宋_GB2312"/>
          <w:color w:val="auto"/>
          <w:sz w:val="32"/>
          <w:szCs w:val="32"/>
          <w:lang w:val="en-US" w:eastAsia="zh-CN"/>
        </w:rPr>
        <w:t>的相关指标数据。包括</w:t>
      </w:r>
      <w:r>
        <w:rPr>
          <w:rFonts w:hint="eastAsia" w:ascii="仿宋_GB2312" w:hAnsi="仿宋_GB2312" w:eastAsia="仿宋_GB2312" w:cs="仿宋_GB2312"/>
          <w:b/>
          <w:bCs/>
          <w:color w:val="auto"/>
          <w:sz w:val="32"/>
          <w:szCs w:val="32"/>
          <w:lang w:val="en-US" w:eastAsia="zh-CN"/>
        </w:rPr>
        <w:t>[保费]、</w:t>
      </w:r>
      <w:r>
        <w:rPr>
          <w:rFonts w:hint="eastAsia" w:ascii="仿宋_GB2312" w:hAnsi="仿宋_GB2312" w:eastAsia="仿宋_GB2312" w:cs="仿宋_GB2312"/>
          <w:b/>
          <w:bCs/>
          <w:color w:val="auto"/>
          <w:sz w:val="32"/>
          <w:szCs w:val="32"/>
          <w:highlight w:val="none"/>
          <w:lang w:val="en-US" w:eastAsia="zh-CN"/>
        </w:rPr>
        <w:t>[本年新增保单数量]、[</w:t>
      </w:r>
      <w:r>
        <w:rPr>
          <w:rFonts w:hint="eastAsia" w:ascii="仿宋_GB2312" w:hAnsi="仿宋_GB2312" w:eastAsia="仿宋_GB2312" w:cs="仿宋_GB2312"/>
          <w:b/>
          <w:bCs/>
          <w:color w:val="auto"/>
          <w:sz w:val="32"/>
          <w:szCs w:val="32"/>
          <w:lang w:val="en-US" w:eastAsia="zh-CN"/>
        </w:rPr>
        <w:t>本年新增保险金额]、[赔付件数]、[赔付金额]</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统计口径与“第三部分 业务类”相关统计指标的口径一致</w:t>
      </w:r>
      <w:r>
        <w:rPr>
          <w:rFonts w:hint="eastAsia" w:ascii="仿宋_GB2312" w:hAnsi="仿宋_GB2312" w:eastAsia="仿宋_GB2312" w:cs="仿宋_GB2312"/>
          <w:color w:val="auto"/>
          <w:sz w:val="32"/>
          <w:szCs w:val="32"/>
          <w:lang w:val="en-US" w:eastAsia="zh-CN"/>
        </w:rPr>
        <w:t>。</w:t>
      </w:r>
    </w:p>
    <w:p w14:paraId="774B5116">
      <w:pPr>
        <w:pStyle w:val="56"/>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2"/>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（二）统计维度及分类标准</w:t>
      </w:r>
    </w:p>
    <w:p w14:paraId="10D0F95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1.绿色保险产品维度。</w:t>
      </w:r>
      <w:r>
        <w:rPr>
          <w:rFonts w:hint="eastAsia" w:ascii="仿宋_GB2312" w:hAnsi="仿宋_GB2312" w:eastAsia="仿宋_GB2312" w:cs="仿宋_GB2312"/>
          <w:b w:val="0"/>
          <w:bCs w:val="0"/>
          <w:color w:val="auto"/>
          <w:sz w:val="32"/>
          <w:szCs w:val="32"/>
          <w:highlight w:val="none"/>
          <w:lang w:val="en-US" w:eastAsia="zh-CN"/>
        </w:rPr>
        <w:t>包括</w:t>
      </w:r>
      <w:r>
        <w:rPr>
          <w:rFonts w:hint="eastAsia" w:ascii="仿宋_GB2312" w:hAnsi="仿宋_GB2312" w:eastAsia="仿宋_GB2312" w:cs="仿宋_GB2312"/>
          <w:b/>
          <w:bCs/>
          <w:color w:val="auto"/>
          <w:sz w:val="32"/>
          <w:szCs w:val="32"/>
          <w:highlight w:val="none"/>
          <w:lang w:val="en-US" w:eastAsia="zh-CN"/>
        </w:rPr>
        <w:t>[环境、社会、治理（ESG）风险保险业务]、[绿色生活保险业务]。其中，[环境、社会、治理（ESG）风险保险业务]</w:t>
      </w:r>
      <w:r>
        <w:rPr>
          <w:rFonts w:hint="eastAsia" w:ascii="仿宋_GB2312" w:hAnsi="仿宋_GB2312" w:eastAsia="仿宋_GB2312" w:cs="仿宋_GB2312"/>
          <w:b w:val="0"/>
          <w:bCs w:val="0"/>
          <w:color w:val="auto"/>
          <w:sz w:val="32"/>
          <w:szCs w:val="32"/>
          <w:highlight w:val="none"/>
          <w:lang w:val="en-US" w:eastAsia="zh-CN"/>
        </w:rPr>
        <w:t>包括</w:t>
      </w:r>
      <w:r>
        <w:rPr>
          <w:rFonts w:hint="eastAsia" w:ascii="仿宋_GB2312" w:hAnsi="仿宋_GB2312" w:eastAsia="仿宋_GB2312" w:cs="仿宋_GB2312"/>
          <w:b/>
          <w:bCs/>
          <w:color w:val="auto"/>
          <w:sz w:val="32"/>
          <w:szCs w:val="32"/>
          <w:highlight w:val="none"/>
          <w:lang w:val="en-US" w:eastAsia="zh-CN"/>
        </w:rPr>
        <w:t>[气候变化风险类保险]、[环境风险类保险]、[社会治理风险类保险]、[其他环境、社会、治理（ESG）风险保险业务]。[绿色生活保险业务]包括[新能源汽车保险]、[非机动车保险]、[其他绿色生活保险业务]。</w:t>
      </w:r>
    </w:p>
    <w:p w14:paraId="1A6E3EF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[气候变化风险类保险]</w:t>
      </w:r>
      <w:r>
        <w:rPr>
          <w:rFonts w:hint="eastAsia" w:ascii="仿宋_GB2312" w:hAnsi="仿宋_GB2312" w:eastAsia="仿宋_GB2312" w:cs="仿宋_GB2312"/>
          <w:b w:val="0"/>
          <w:bCs w:val="0"/>
          <w:color w:val="auto"/>
          <w:sz w:val="32"/>
          <w:szCs w:val="32"/>
          <w:highlight w:val="none"/>
          <w:lang w:val="en-US" w:eastAsia="zh-CN"/>
        </w:rPr>
        <w:t>指为气候变化、低碳转型提供风险保障的保险产品。包括</w:t>
      </w:r>
      <w:r>
        <w:rPr>
          <w:rFonts w:hint="eastAsia" w:ascii="仿宋_GB2312" w:hAnsi="仿宋_GB2312" w:eastAsia="仿宋_GB2312" w:cs="仿宋_GB2312"/>
          <w:b/>
          <w:bCs/>
          <w:color w:val="auto"/>
          <w:sz w:val="32"/>
          <w:szCs w:val="32"/>
          <w:highlight w:val="none"/>
          <w:lang w:val="en-US" w:eastAsia="zh-CN"/>
        </w:rPr>
        <w:t>[巨灾保险]、[碳保险]、[其他气候变化风险类保险]</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[巨灾保险]</w:t>
      </w:r>
      <w:r>
        <w:rPr>
          <w:rFonts w:hint="eastAsia" w:ascii="仿宋_GB2312" w:hAnsi="仿宋_GB2312" w:eastAsia="仿宋_GB2312" w:cs="仿宋_GB2312"/>
          <w:b w:val="0"/>
          <w:bCs w:val="0"/>
          <w:color w:val="auto"/>
          <w:sz w:val="32"/>
          <w:szCs w:val="32"/>
          <w:highlight w:val="none"/>
          <w:lang w:val="en-US" w:eastAsia="zh-CN"/>
        </w:rPr>
        <w:t>指为预防和分散自然灾害等事故可能造成的重大人员伤亡、财产损失和社会风险，促进灾后应急管理和社会秩序恢复的保险产品。</w:t>
      </w:r>
      <w:r>
        <w:rPr>
          <w:rFonts w:hint="eastAsia" w:ascii="仿宋_GB2312" w:hAnsi="仿宋_GB2312" w:eastAsia="仿宋_GB2312" w:cs="仿宋_GB2312"/>
          <w:b/>
          <w:bCs/>
          <w:color w:val="auto"/>
          <w:sz w:val="32"/>
          <w:szCs w:val="32"/>
          <w:highlight w:val="none"/>
          <w:lang w:val="en-US" w:eastAsia="zh-CN"/>
        </w:rPr>
        <w:t>[碳保险]</w:t>
      </w:r>
      <w:r>
        <w:rPr>
          <w:rFonts w:hint="eastAsia" w:ascii="仿宋_GB2312" w:hAnsi="仿宋_GB2312" w:eastAsia="仿宋_GB2312" w:cs="仿宋_GB2312"/>
          <w:b w:val="0"/>
          <w:bCs w:val="0"/>
          <w:color w:val="auto"/>
          <w:sz w:val="32"/>
          <w:szCs w:val="32"/>
          <w:highlight w:val="none"/>
          <w:lang w:val="en-US" w:eastAsia="zh-CN"/>
        </w:rPr>
        <w:t>指为减少碳排放所产生的特定交易、技术、行为和设备提供保障、降低损失风险的保险产品。</w:t>
      </w:r>
      <w:r>
        <w:rPr>
          <w:rFonts w:hint="eastAsia" w:ascii="仿宋_GB2312" w:hAnsi="仿宋_GB2312" w:eastAsia="仿宋_GB2312" w:cs="仿宋_GB2312"/>
          <w:b/>
          <w:bCs/>
          <w:color w:val="auto"/>
          <w:sz w:val="32"/>
          <w:szCs w:val="32"/>
          <w:highlight w:val="none"/>
          <w:lang w:val="en-US" w:eastAsia="zh-CN"/>
        </w:rPr>
        <w:t>[涉及绿色产业的保险业务]</w:t>
      </w:r>
      <w:r>
        <w:rPr>
          <w:rFonts w:hint="eastAsia" w:ascii="仿宋_GB2312" w:hAnsi="仿宋_GB2312" w:eastAsia="仿宋_GB2312" w:cs="仿宋_GB2312"/>
          <w:b w:val="0"/>
          <w:bCs w:val="0"/>
          <w:color w:val="auto"/>
          <w:sz w:val="32"/>
          <w:szCs w:val="32"/>
          <w:highlight w:val="none"/>
          <w:lang w:val="en-US" w:eastAsia="zh-CN"/>
        </w:rPr>
        <w:t>统计气候变化风险类保险业务中为绿色产业（参见绿色产业保险业务）提供风险保障的情况。</w:t>
      </w:r>
    </w:p>
    <w:p w14:paraId="634A355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[环境风险类保险]</w:t>
      </w:r>
      <w:r>
        <w:rPr>
          <w:rFonts w:hint="eastAsia" w:ascii="仿宋_GB2312" w:hAnsi="仿宋_GB2312" w:eastAsia="仿宋_GB2312" w:cs="仿宋_GB2312"/>
          <w:b w:val="0"/>
          <w:bCs w:val="0"/>
          <w:color w:val="auto"/>
          <w:sz w:val="32"/>
          <w:szCs w:val="32"/>
          <w:highlight w:val="none"/>
          <w:lang w:val="en-US" w:eastAsia="zh-CN"/>
        </w:rPr>
        <w:t>指以环境保护为目的，为各类环境损害事件提供风险保障的保险产品。包括</w:t>
      </w:r>
      <w:r>
        <w:rPr>
          <w:rFonts w:hint="eastAsia" w:ascii="仿宋_GB2312" w:hAnsi="仿宋_GB2312" w:eastAsia="仿宋_GB2312" w:cs="仿宋_GB2312"/>
          <w:b/>
          <w:bCs/>
          <w:color w:val="auto"/>
          <w:sz w:val="32"/>
          <w:szCs w:val="32"/>
          <w:highlight w:val="none"/>
          <w:lang w:val="en-US" w:eastAsia="zh-CN"/>
        </w:rPr>
        <w:t>[环境污染责任保险]、[船舶污染责任保险]、[其他环境风险类保险]。</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[环境污染责任保险]</w:t>
      </w:r>
      <w:r>
        <w:rPr>
          <w:rFonts w:hint="eastAsia" w:ascii="仿宋_GB2312" w:hAnsi="仿宋_GB2312" w:eastAsia="仿宋_GB2312" w:cs="仿宋_GB2312"/>
          <w:b w:val="0"/>
          <w:bCs w:val="0"/>
          <w:color w:val="auto"/>
          <w:sz w:val="32"/>
          <w:szCs w:val="32"/>
          <w:highlight w:val="none"/>
          <w:lang w:val="en-US" w:eastAsia="zh-CN"/>
        </w:rPr>
        <w:t>指为企业环境污染事故责任提供风险保障的保险产品。</w:t>
      </w:r>
      <w:r>
        <w:rPr>
          <w:rFonts w:hint="eastAsia" w:ascii="仿宋_GB2312" w:hAnsi="仿宋_GB2312" w:eastAsia="仿宋_GB2312" w:cs="仿宋_GB2312"/>
          <w:b/>
          <w:bCs/>
          <w:color w:val="auto"/>
          <w:sz w:val="32"/>
          <w:szCs w:val="32"/>
          <w:highlight w:val="none"/>
          <w:lang w:val="en-US" w:eastAsia="zh-CN"/>
        </w:rPr>
        <w:t>[船舶污染责任保险]</w:t>
      </w:r>
      <w:r>
        <w:rPr>
          <w:rFonts w:hint="eastAsia" w:ascii="仿宋_GB2312" w:hAnsi="仿宋_GB2312" w:eastAsia="仿宋_GB2312" w:cs="仿宋_GB2312"/>
          <w:b w:val="0"/>
          <w:bCs w:val="0"/>
          <w:color w:val="auto"/>
          <w:sz w:val="32"/>
          <w:szCs w:val="32"/>
          <w:highlight w:val="none"/>
          <w:lang w:val="en-US" w:eastAsia="zh-CN"/>
        </w:rPr>
        <w:t>指为船舶环境污染事故责任提供风险保障的保险产品。</w:t>
      </w:r>
    </w:p>
    <w:p w14:paraId="079E21C6">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[社会治理风险类保险]</w:t>
      </w:r>
      <w:r>
        <w:rPr>
          <w:rFonts w:hint="eastAsia" w:ascii="仿宋_GB2312" w:hAnsi="仿宋_GB2312" w:eastAsia="仿宋_GB2312" w:cs="仿宋_GB2312"/>
          <w:b w:val="0"/>
          <w:bCs w:val="0"/>
          <w:color w:val="auto"/>
          <w:sz w:val="32"/>
          <w:szCs w:val="32"/>
          <w:highlight w:val="none"/>
          <w:lang w:val="en-US" w:eastAsia="zh-CN"/>
        </w:rPr>
        <w:t>指服务于社会治理，为矛盾纠纷高发领域提供风险保障且与可持续发展密切相关的保险产品。包括</w:t>
      </w:r>
      <w:r>
        <w:rPr>
          <w:rFonts w:hint="eastAsia" w:ascii="仿宋_GB2312" w:hAnsi="仿宋_GB2312" w:eastAsia="仿宋_GB2312" w:cs="仿宋_GB2312"/>
          <w:b/>
          <w:bCs/>
          <w:color w:val="auto"/>
          <w:sz w:val="32"/>
          <w:szCs w:val="32"/>
          <w:highlight w:val="none"/>
          <w:lang w:val="en-US" w:eastAsia="zh-CN"/>
        </w:rPr>
        <w:t>[安全生产责任保险]、[其他社会治理风险类保险]。</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[安全生产责任保险]</w:t>
      </w:r>
      <w:r>
        <w:rPr>
          <w:rFonts w:hint="eastAsia" w:ascii="仿宋_GB2312" w:hAnsi="仿宋_GB2312" w:eastAsia="仿宋_GB2312" w:cs="仿宋_GB2312"/>
          <w:b w:val="0"/>
          <w:bCs w:val="0"/>
          <w:color w:val="auto"/>
          <w:sz w:val="32"/>
          <w:szCs w:val="32"/>
          <w:highlight w:val="none"/>
          <w:lang w:val="en-US" w:eastAsia="zh-CN"/>
        </w:rPr>
        <w:t>指为安全生产事故责任提供风险保障的保险产品。</w:t>
      </w:r>
    </w:p>
    <w:p w14:paraId="6543880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[其他环境、社会、治理（ESG）风险保险业务]</w:t>
      </w:r>
      <w:r>
        <w:rPr>
          <w:rFonts w:hint="eastAsia" w:ascii="仿宋_GB2312" w:hAnsi="仿宋_GB2312" w:eastAsia="仿宋_GB2312" w:cs="仿宋_GB2312"/>
          <w:b w:val="0"/>
          <w:bCs w:val="0"/>
          <w:color w:val="auto"/>
          <w:sz w:val="32"/>
          <w:szCs w:val="32"/>
          <w:highlight w:val="none"/>
          <w:lang w:val="en-US" w:eastAsia="zh-CN"/>
        </w:rPr>
        <w:t>指其他为环境、社会、治理（ESG）领域风险提供风险保障的保险产品。</w:t>
      </w:r>
    </w:p>
    <w:p w14:paraId="25885E2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[新能源汽车保险]</w:t>
      </w:r>
      <w:r>
        <w:rPr>
          <w:rFonts w:hint="eastAsia" w:ascii="仿宋_GB2312" w:hAnsi="仿宋_GB2312" w:eastAsia="仿宋_GB2312" w:cs="仿宋_GB2312"/>
          <w:b w:val="0"/>
          <w:bCs w:val="0"/>
          <w:color w:val="auto"/>
          <w:sz w:val="32"/>
          <w:szCs w:val="32"/>
          <w:highlight w:val="none"/>
          <w:lang w:val="en-US" w:eastAsia="zh-CN"/>
        </w:rPr>
        <w:t>指为新能源汽车提供风险保障的保险产品，包括机动车商业保险和机动车交通事故责任强制保险。</w:t>
      </w:r>
      <w:r>
        <w:rPr>
          <w:rFonts w:hint="eastAsia" w:ascii="仿宋_GB2312" w:hAnsi="仿宋_GB2312" w:eastAsia="仿宋_GB2312" w:cs="仿宋_GB2312"/>
          <w:b/>
          <w:bCs/>
          <w:color w:val="auto"/>
          <w:sz w:val="32"/>
          <w:szCs w:val="32"/>
          <w:highlight w:val="none"/>
          <w:lang w:val="en-US" w:eastAsia="zh-CN"/>
        </w:rPr>
        <w:t>[非机动车保险]</w:t>
      </w:r>
      <w:r>
        <w:rPr>
          <w:rFonts w:hint="eastAsia" w:ascii="仿宋_GB2312" w:hAnsi="仿宋_GB2312" w:eastAsia="仿宋_GB2312" w:cs="仿宋_GB2312"/>
          <w:b w:val="0"/>
          <w:bCs w:val="0"/>
          <w:color w:val="auto"/>
          <w:sz w:val="32"/>
          <w:szCs w:val="32"/>
          <w:highlight w:val="none"/>
          <w:lang w:val="en-US" w:eastAsia="zh-CN"/>
        </w:rPr>
        <w:t>指为非机动车提供风险保障的保险产品。</w:t>
      </w:r>
      <w:r>
        <w:rPr>
          <w:rFonts w:hint="eastAsia" w:ascii="仿宋_GB2312" w:hAnsi="仿宋_GB2312" w:eastAsia="仿宋_GB2312" w:cs="仿宋_GB2312"/>
          <w:b/>
          <w:bCs/>
          <w:color w:val="auto"/>
          <w:sz w:val="32"/>
          <w:szCs w:val="32"/>
          <w:highlight w:val="none"/>
          <w:lang w:val="en-US" w:eastAsia="zh-CN"/>
        </w:rPr>
        <w:t>[其他绿色生活保险业务]</w:t>
      </w:r>
      <w:r>
        <w:rPr>
          <w:rFonts w:hint="eastAsia" w:ascii="仿宋_GB2312" w:hAnsi="仿宋_GB2312" w:eastAsia="仿宋_GB2312" w:cs="仿宋_GB2312"/>
          <w:b w:val="0"/>
          <w:bCs w:val="0"/>
          <w:color w:val="auto"/>
          <w:sz w:val="32"/>
          <w:szCs w:val="32"/>
          <w:highlight w:val="none"/>
          <w:lang w:val="en-US" w:eastAsia="zh-CN"/>
        </w:rPr>
        <w:t>指为其他绿色出行、绿色居住、绿色消费等活动提供风险保障的保险产品。</w:t>
      </w:r>
    </w:p>
    <w:p w14:paraId="467BA97D">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2.绿色产业维度。</w:t>
      </w:r>
      <w:r>
        <w:rPr>
          <w:rFonts w:hint="eastAsia" w:ascii="仿宋_GB2312" w:hAnsi="仿宋_GB2312" w:eastAsia="仿宋_GB2312" w:cs="仿宋_GB2312"/>
          <w:b w:val="0"/>
          <w:bCs w:val="0"/>
          <w:color w:val="auto"/>
          <w:sz w:val="32"/>
          <w:szCs w:val="32"/>
          <w:highlight w:val="none"/>
          <w:lang w:val="en-US" w:eastAsia="zh-CN"/>
        </w:rPr>
        <w:t>该维度主要以保险公司的客户为维度，开展统计。其中，绿色产业分类标准参照《绿色产业指导目录（2019年版）》《节能环保清洁产业统计分类（2021）》《国民经济行业分类（GB/T4754-2017）》等国家标准执行。包括</w:t>
      </w:r>
      <w:r>
        <w:rPr>
          <w:rFonts w:hint="eastAsia" w:ascii="仿宋_GB2312" w:hAnsi="仿宋_GB2312" w:eastAsia="仿宋_GB2312" w:cs="仿宋_GB2312"/>
          <w:b/>
          <w:bCs/>
          <w:color w:val="auto"/>
          <w:sz w:val="32"/>
          <w:szCs w:val="32"/>
          <w:highlight w:val="none"/>
          <w:lang w:val="en-US" w:eastAsia="zh-CN"/>
        </w:rPr>
        <w:t>[生态环境产业]、[清洁能源]、[基础设施绿色升级]、[节能环保产业]、[清洁生产产业]、[绿色服务]、[其他绿色产业]。</w:t>
      </w:r>
    </w:p>
    <w:p w14:paraId="380C859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[生态环境产业]</w:t>
      </w:r>
      <w:r>
        <w:rPr>
          <w:rFonts w:hint="eastAsia" w:ascii="仿宋_GB2312" w:hAnsi="仿宋_GB2312" w:eastAsia="仿宋_GB2312" w:cs="仿宋_GB2312"/>
          <w:b w:val="0"/>
          <w:bCs w:val="0"/>
          <w:color w:val="auto"/>
          <w:sz w:val="32"/>
          <w:szCs w:val="32"/>
          <w:highlight w:val="none"/>
          <w:lang w:val="en-US" w:eastAsia="zh-CN"/>
        </w:rPr>
        <w:t>指服务于生态系统的保护修复，优化生态安全屏障，提升生态系统质量和稳定性的产业，主要包括生态农业、生态保护和生态修复等。二级产业维度包括</w:t>
      </w:r>
      <w:r>
        <w:rPr>
          <w:rFonts w:hint="eastAsia" w:ascii="仿宋_GB2312" w:hAnsi="仿宋_GB2312" w:eastAsia="仿宋_GB2312" w:cs="仿宋_GB2312"/>
          <w:b/>
          <w:bCs/>
          <w:color w:val="auto"/>
          <w:sz w:val="32"/>
          <w:szCs w:val="32"/>
          <w:highlight w:val="none"/>
          <w:lang w:val="en-US" w:eastAsia="zh-CN"/>
        </w:rPr>
        <w:t>[生态农业]、[生态保护和生态修复]。</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[生态农业]</w:t>
      </w:r>
      <w:r>
        <w:rPr>
          <w:rFonts w:hint="eastAsia" w:ascii="仿宋_GB2312" w:hAnsi="仿宋_GB2312" w:eastAsia="仿宋_GB2312" w:cs="仿宋_GB2312"/>
          <w:b w:val="0"/>
          <w:bCs w:val="0"/>
          <w:color w:val="auto"/>
          <w:sz w:val="32"/>
          <w:szCs w:val="32"/>
          <w:highlight w:val="none"/>
          <w:lang w:val="en-US" w:eastAsia="zh-CN"/>
        </w:rPr>
        <w:t>指以合理利用农业自然资源和保护良好生态环境为前提，能够实现较好经济效益、生态效益和社会效益的现代农业。</w:t>
      </w:r>
      <w:r>
        <w:rPr>
          <w:rFonts w:hint="eastAsia" w:ascii="仿宋_GB2312" w:hAnsi="仿宋_GB2312" w:eastAsia="仿宋_GB2312" w:cs="仿宋_GB2312"/>
          <w:b/>
          <w:bCs/>
          <w:color w:val="auto"/>
          <w:sz w:val="32"/>
          <w:szCs w:val="32"/>
          <w:highlight w:val="none"/>
          <w:lang w:val="en-US" w:eastAsia="zh-CN"/>
        </w:rPr>
        <w:t>[生态保护和生态修复]</w:t>
      </w:r>
      <w:r>
        <w:rPr>
          <w:rFonts w:hint="eastAsia" w:ascii="仿宋_GB2312" w:hAnsi="仿宋_GB2312" w:eastAsia="仿宋_GB2312" w:cs="仿宋_GB2312"/>
          <w:b w:val="0"/>
          <w:bCs w:val="0"/>
          <w:color w:val="auto"/>
          <w:sz w:val="32"/>
          <w:szCs w:val="32"/>
          <w:highlight w:val="none"/>
          <w:lang w:val="en-US" w:eastAsia="zh-CN"/>
        </w:rPr>
        <w:t>指从事生态保护和生态修复活动的产业，主要包括天然林资源保护，动植物资源保护，自然保护区建设和运营，国家公园、世界遗产和国家级风景名胜区保护性运营，农村土地综合整治等。</w:t>
      </w:r>
    </w:p>
    <w:p w14:paraId="69AB38A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[生态农业]</w:t>
      </w:r>
      <w:r>
        <w:rPr>
          <w:rFonts w:hint="eastAsia" w:ascii="仿宋_GB2312" w:hAnsi="仿宋_GB2312" w:eastAsia="仿宋_GB2312" w:cs="仿宋_GB2312"/>
          <w:b w:val="0"/>
          <w:bCs w:val="0"/>
          <w:color w:val="auto"/>
          <w:sz w:val="32"/>
          <w:szCs w:val="32"/>
          <w:highlight w:val="none"/>
          <w:lang w:val="en-US" w:eastAsia="zh-CN"/>
        </w:rPr>
        <w:t>的三级产业维度包括</w:t>
      </w:r>
      <w:r>
        <w:rPr>
          <w:rFonts w:hint="eastAsia" w:ascii="仿宋_GB2312" w:hAnsi="仿宋_GB2312" w:eastAsia="仿宋_GB2312" w:cs="仿宋_GB2312"/>
          <w:b/>
          <w:bCs/>
          <w:color w:val="auto"/>
          <w:sz w:val="32"/>
          <w:szCs w:val="32"/>
          <w:highlight w:val="none"/>
          <w:lang w:val="en-US" w:eastAsia="zh-CN"/>
        </w:rPr>
        <w:t>[生态种植业]、[生态林业]</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[绿色畜牧业]</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[绿色渔业]</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[生态种植业]</w:t>
      </w:r>
      <w:r>
        <w:rPr>
          <w:rFonts w:hint="eastAsia" w:ascii="仿宋_GB2312" w:hAnsi="仿宋_GB2312" w:eastAsia="仿宋_GB2312" w:cs="仿宋_GB2312"/>
          <w:b w:val="0"/>
          <w:bCs w:val="0"/>
          <w:color w:val="auto"/>
          <w:sz w:val="32"/>
          <w:szCs w:val="32"/>
          <w:highlight w:val="none"/>
          <w:lang w:val="en-US" w:eastAsia="zh-CN"/>
        </w:rPr>
        <w:t>主要包括现代农业种业、绿色有机农业、林下种植、农作物种植保护地和保护区建设运营等产业。</w:t>
      </w:r>
      <w:r>
        <w:rPr>
          <w:rFonts w:hint="eastAsia" w:ascii="仿宋_GB2312" w:hAnsi="仿宋_GB2312" w:eastAsia="仿宋_GB2312" w:cs="仿宋_GB2312"/>
          <w:b/>
          <w:bCs/>
          <w:color w:val="auto"/>
          <w:sz w:val="32"/>
          <w:szCs w:val="32"/>
          <w:highlight w:val="none"/>
          <w:lang w:val="en-US" w:eastAsia="zh-CN"/>
        </w:rPr>
        <w:t>[生态林业]</w:t>
      </w:r>
      <w:r>
        <w:rPr>
          <w:rFonts w:hint="eastAsia" w:ascii="仿宋_GB2312" w:hAnsi="仿宋_GB2312" w:eastAsia="仿宋_GB2312" w:cs="仿宋_GB2312"/>
          <w:b w:val="0"/>
          <w:bCs w:val="0"/>
          <w:color w:val="auto"/>
          <w:sz w:val="32"/>
          <w:szCs w:val="32"/>
          <w:highlight w:val="none"/>
          <w:lang w:val="en-US" w:eastAsia="zh-CN"/>
        </w:rPr>
        <w:t>主要包括森林资源培育、碳汇林、植树种草及林木种苗花卉、林业基因资源保护、森林游憩和康养等产业。</w:t>
      </w:r>
      <w:r>
        <w:rPr>
          <w:rFonts w:hint="eastAsia" w:ascii="仿宋_GB2312" w:hAnsi="仿宋_GB2312" w:eastAsia="仿宋_GB2312" w:cs="仿宋_GB2312"/>
          <w:b/>
          <w:bCs/>
          <w:color w:val="auto"/>
          <w:sz w:val="32"/>
          <w:szCs w:val="32"/>
          <w:highlight w:val="none"/>
          <w:lang w:val="en-US" w:eastAsia="zh-CN"/>
        </w:rPr>
        <w:t>[绿色畜牧业]</w:t>
      </w:r>
      <w:r>
        <w:rPr>
          <w:rFonts w:hint="eastAsia" w:ascii="仿宋_GB2312" w:hAnsi="仿宋_GB2312" w:eastAsia="仿宋_GB2312" w:cs="仿宋_GB2312"/>
          <w:b w:val="0"/>
          <w:bCs w:val="0"/>
          <w:color w:val="auto"/>
          <w:sz w:val="32"/>
          <w:szCs w:val="32"/>
          <w:highlight w:val="none"/>
          <w:lang w:val="en-US" w:eastAsia="zh-CN"/>
        </w:rPr>
        <w:t>主要包括林下养殖、病死畜禽无害化处理体系、畜禽养殖废弃物贮存处理利用设施建设等。</w:t>
      </w:r>
      <w:r>
        <w:rPr>
          <w:rFonts w:hint="eastAsia" w:ascii="仿宋_GB2312" w:hAnsi="仿宋_GB2312" w:eastAsia="仿宋_GB2312" w:cs="仿宋_GB2312"/>
          <w:b/>
          <w:bCs/>
          <w:color w:val="auto"/>
          <w:sz w:val="32"/>
          <w:szCs w:val="32"/>
          <w:highlight w:val="none"/>
          <w:lang w:val="en-US" w:eastAsia="zh-CN"/>
        </w:rPr>
        <w:t>[绿色渔业]</w:t>
      </w:r>
      <w:r>
        <w:rPr>
          <w:rFonts w:hint="eastAsia" w:ascii="仿宋_GB2312" w:hAnsi="仿宋_GB2312" w:eastAsia="仿宋_GB2312" w:cs="仿宋_GB2312"/>
          <w:b w:val="0"/>
          <w:bCs w:val="0"/>
          <w:color w:val="auto"/>
          <w:sz w:val="32"/>
          <w:szCs w:val="32"/>
          <w:highlight w:val="none"/>
          <w:lang w:val="en-US" w:eastAsia="zh-CN"/>
        </w:rPr>
        <w:t>主要包括碳汇渔业及净水渔业、稻渔及盐碱水鱼农综合利用、循环水养殖、深水抗风浪及不投饵网箱养殖等。</w:t>
      </w:r>
    </w:p>
    <w:p w14:paraId="51BC3DE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[清洁能源]</w:t>
      </w:r>
      <w:r>
        <w:rPr>
          <w:rFonts w:hint="eastAsia" w:ascii="仿宋_GB2312" w:hAnsi="仿宋_GB2312" w:eastAsia="仿宋_GB2312" w:cs="仿宋_GB2312"/>
          <w:b w:val="0"/>
          <w:bCs w:val="0"/>
          <w:color w:val="auto"/>
          <w:sz w:val="32"/>
          <w:szCs w:val="32"/>
          <w:highlight w:val="none"/>
          <w:lang w:val="en-US" w:eastAsia="zh-CN"/>
        </w:rPr>
        <w:t>指为全社会提供清洁能源产品或服务的产业，主要包括太阳能产业、风能产业、水力发电产业、核能产业、生物质能产业、智能电网产业、天然气产业、传统能源清洁高效利用产业等。二级产业维度包括</w:t>
      </w:r>
      <w:r>
        <w:rPr>
          <w:rFonts w:hint="eastAsia" w:ascii="仿宋_GB2312" w:hAnsi="仿宋_GB2312" w:eastAsia="仿宋_GB2312" w:cs="仿宋_GB2312"/>
          <w:b/>
          <w:bCs/>
          <w:color w:val="auto"/>
          <w:sz w:val="32"/>
          <w:szCs w:val="32"/>
          <w:highlight w:val="none"/>
          <w:lang w:val="en-US" w:eastAsia="zh-CN"/>
        </w:rPr>
        <w:t>[太阳能产业]</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[风能产业]</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[水力发电产业]</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[核能产业]</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[其他清洁能源]</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[太阳能产业]</w:t>
      </w:r>
      <w:r>
        <w:rPr>
          <w:rFonts w:hint="eastAsia" w:ascii="仿宋_GB2312" w:hAnsi="仿宋_GB2312" w:eastAsia="仿宋_GB2312" w:cs="仿宋_GB2312"/>
          <w:b w:val="0"/>
          <w:bCs w:val="0"/>
          <w:color w:val="auto"/>
          <w:sz w:val="32"/>
          <w:szCs w:val="32"/>
          <w:highlight w:val="none"/>
          <w:lang w:val="en-US" w:eastAsia="zh-CN"/>
        </w:rPr>
        <w:t>指太阳能资源开发和应用的产业，主要包括太阳能发电装备制造、太阳能利用设施建设和运营等。</w:t>
      </w:r>
      <w:r>
        <w:rPr>
          <w:rFonts w:hint="eastAsia" w:ascii="仿宋_GB2312" w:hAnsi="仿宋_GB2312" w:eastAsia="仿宋_GB2312" w:cs="仿宋_GB2312"/>
          <w:b/>
          <w:bCs/>
          <w:color w:val="auto"/>
          <w:sz w:val="32"/>
          <w:szCs w:val="32"/>
          <w:highlight w:val="none"/>
          <w:lang w:val="en-US" w:eastAsia="zh-CN"/>
        </w:rPr>
        <w:t>[风能产业]</w:t>
      </w:r>
      <w:r>
        <w:rPr>
          <w:rFonts w:hint="eastAsia" w:ascii="仿宋_GB2312" w:hAnsi="仿宋_GB2312" w:eastAsia="仿宋_GB2312" w:cs="仿宋_GB2312"/>
          <w:b w:val="0"/>
          <w:bCs w:val="0"/>
          <w:color w:val="auto"/>
          <w:sz w:val="32"/>
          <w:szCs w:val="32"/>
          <w:highlight w:val="none"/>
          <w:lang w:val="en-US" w:eastAsia="zh-CN"/>
        </w:rPr>
        <w:t>指风能资源开发和应用的产业，主要包括风力发电装备制造、风力发电设施建设和运营等。</w:t>
      </w:r>
      <w:r>
        <w:rPr>
          <w:rFonts w:hint="eastAsia" w:ascii="仿宋_GB2312" w:hAnsi="仿宋_GB2312" w:eastAsia="仿宋_GB2312" w:cs="仿宋_GB2312"/>
          <w:b/>
          <w:bCs/>
          <w:color w:val="auto"/>
          <w:sz w:val="32"/>
          <w:szCs w:val="32"/>
          <w:highlight w:val="none"/>
          <w:lang w:val="en-US" w:eastAsia="zh-CN"/>
        </w:rPr>
        <w:t>[水力发电产业]</w:t>
      </w:r>
      <w:r>
        <w:rPr>
          <w:rFonts w:hint="eastAsia" w:ascii="仿宋_GB2312" w:hAnsi="仿宋_GB2312" w:eastAsia="仿宋_GB2312" w:cs="仿宋_GB2312"/>
          <w:b w:val="0"/>
          <w:bCs w:val="0"/>
          <w:color w:val="auto"/>
          <w:sz w:val="32"/>
          <w:szCs w:val="32"/>
          <w:highlight w:val="none"/>
          <w:lang w:val="en-US" w:eastAsia="zh-CN"/>
        </w:rPr>
        <w:t>指水力发电资源开发和应用的产业，主要包括水力发电和抽水蓄能装备制造、大型水力发电设施建设和运营等。</w:t>
      </w:r>
      <w:r>
        <w:rPr>
          <w:rFonts w:hint="eastAsia" w:ascii="仿宋_GB2312" w:hAnsi="仿宋_GB2312" w:eastAsia="仿宋_GB2312" w:cs="仿宋_GB2312"/>
          <w:b/>
          <w:bCs/>
          <w:color w:val="auto"/>
          <w:sz w:val="32"/>
          <w:szCs w:val="32"/>
          <w:highlight w:val="none"/>
          <w:lang w:val="en-US" w:eastAsia="zh-CN"/>
        </w:rPr>
        <w:t>[核能产业]</w:t>
      </w:r>
      <w:r>
        <w:rPr>
          <w:rFonts w:hint="eastAsia" w:ascii="仿宋_GB2312" w:hAnsi="仿宋_GB2312" w:eastAsia="仿宋_GB2312" w:cs="仿宋_GB2312"/>
          <w:b w:val="0"/>
          <w:bCs w:val="0"/>
          <w:color w:val="auto"/>
          <w:sz w:val="32"/>
          <w:szCs w:val="32"/>
          <w:highlight w:val="none"/>
          <w:lang w:val="en-US" w:eastAsia="zh-CN"/>
        </w:rPr>
        <w:t>指核能资源开发和应用的产业，主要包括核电装备制造、核电站建设和运营等。</w:t>
      </w:r>
      <w:r>
        <w:rPr>
          <w:rFonts w:hint="eastAsia" w:ascii="仿宋_GB2312" w:hAnsi="仿宋_GB2312" w:eastAsia="仿宋_GB2312" w:cs="仿宋_GB2312"/>
          <w:b/>
          <w:bCs/>
          <w:color w:val="auto"/>
          <w:sz w:val="32"/>
          <w:szCs w:val="32"/>
          <w:highlight w:val="none"/>
          <w:lang w:val="en-US" w:eastAsia="zh-CN"/>
        </w:rPr>
        <w:t>[其他清洁能源]</w:t>
      </w:r>
      <w:r>
        <w:rPr>
          <w:rFonts w:hint="eastAsia" w:ascii="仿宋_GB2312" w:hAnsi="仿宋_GB2312" w:eastAsia="仿宋_GB2312" w:cs="仿宋_GB2312"/>
          <w:b w:val="0"/>
          <w:bCs w:val="0"/>
          <w:color w:val="auto"/>
          <w:sz w:val="32"/>
          <w:szCs w:val="32"/>
          <w:highlight w:val="none"/>
          <w:lang w:val="en-US" w:eastAsia="zh-CN"/>
        </w:rPr>
        <w:t>指其他清洁能源产业，包括生物质能、智能电网、地热能、海洋能、氢能、天然气、清洁燃油、煤炭清洁生产和清洁利用等产业。</w:t>
      </w:r>
    </w:p>
    <w:p w14:paraId="497627C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[基础设施绿色升级]</w:t>
      </w:r>
      <w:r>
        <w:rPr>
          <w:rFonts w:hint="eastAsia" w:ascii="仿宋_GB2312" w:hAnsi="仿宋_GB2312" w:eastAsia="仿宋_GB2312" w:cs="仿宋_GB2312"/>
          <w:b w:val="0"/>
          <w:bCs w:val="0"/>
          <w:color w:val="auto"/>
          <w:sz w:val="32"/>
          <w:szCs w:val="32"/>
          <w:highlight w:val="none"/>
          <w:lang w:val="en-US" w:eastAsia="zh-CN"/>
        </w:rPr>
        <w:t>指提升重大基础设施建设的绿色化程度、提高人民群众的绿色生活水平的相关产业，主要包括建筑节能与绿色建筑、绿色交通、环境基础设施、城镇能源基础设施、海绵城市、园林绿化等。二级产业维度包括</w:t>
      </w:r>
      <w:r>
        <w:rPr>
          <w:rFonts w:hint="eastAsia" w:ascii="仿宋_GB2312" w:hAnsi="仿宋_GB2312" w:eastAsia="仿宋_GB2312" w:cs="仿宋_GB2312"/>
          <w:b/>
          <w:bCs/>
          <w:color w:val="auto"/>
          <w:sz w:val="32"/>
          <w:szCs w:val="32"/>
          <w:highlight w:val="none"/>
          <w:lang w:val="en-US" w:eastAsia="zh-CN"/>
        </w:rPr>
        <w:t>[建筑节能与绿色建筑]</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[绿色交通]</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[园林绿化]</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[环境能源基础设施]</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[建筑节能与绿色建筑]</w:t>
      </w:r>
      <w:r>
        <w:rPr>
          <w:rFonts w:hint="eastAsia" w:ascii="仿宋_GB2312" w:hAnsi="仿宋_GB2312" w:eastAsia="仿宋_GB2312" w:cs="仿宋_GB2312"/>
          <w:b w:val="0"/>
          <w:bCs w:val="0"/>
          <w:color w:val="auto"/>
          <w:sz w:val="32"/>
          <w:szCs w:val="32"/>
          <w:highlight w:val="none"/>
          <w:lang w:val="en-US" w:eastAsia="zh-CN"/>
        </w:rPr>
        <w:t>主要包括绿色建筑的设计和建造、装配式建筑的设计和建造、对既有建筑实施节能及绿色化改造等。</w:t>
      </w:r>
      <w:r>
        <w:rPr>
          <w:rFonts w:hint="eastAsia" w:ascii="仿宋_GB2312" w:hAnsi="仿宋_GB2312" w:eastAsia="仿宋_GB2312" w:cs="仿宋_GB2312"/>
          <w:b/>
          <w:bCs/>
          <w:color w:val="auto"/>
          <w:sz w:val="32"/>
          <w:szCs w:val="32"/>
          <w:highlight w:val="none"/>
          <w:lang w:val="en-US" w:eastAsia="zh-CN"/>
        </w:rPr>
        <w:t>[绿色交通]</w:t>
      </w:r>
      <w:r>
        <w:rPr>
          <w:rFonts w:hint="eastAsia" w:ascii="仿宋_GB2312" w:hAnsi="仿宋_GB2312" w:eastAsia="仿宋_GB2312" w:cs="仿宋_GB2312"/>
          <w:b w:val="0"/>
          <w:bCs w:val="0"/>
          <w:color w:val="auto"/>
          <w:sz w:val="32"/>
          <w:szCs w:val="32"/>
          <w:highlight w:val="none"/>
          <w:lang w:val="en-US" w:eastAsia="zh-CN"/>
        </w:rPr>
        <w:t>主要包括城乡公共交通系统建设和运营，共享交通设施建设和运营，货物运输铁路建设和运营，环境友好型铁路建设和运营，充电、换电、加氢和加气设施建设和运营，智能交通体系建设和运营等。</w:t>
      </w:r>
      <w:r>
        <w:rPr>
          <w:rFonts w:hint="eastAsia" w:ascii="仿宋_GB2312" w:hAnsi="仿宋_GB2312" w:eastAsia="仿宋_GB2312" w:cs="仿宋_GB2312"/>
          <w:b/>
          <w:bCs/>
          <w:color w:val="auto"/>
          <w:sz w:val="32"/>
          <w:szCs w:val="32"/>
          <w:highlight w:val="none"/>
          <w:lang w:val="en-US" w:eastAsia="zh-CN"/>
        </w:rPr>
        <w:t>[园林绿化]</w:t>
      </w:r>
      <w:r>
        <w:rPr>
          <w:rFonts w:hint="eastAsia" w:ascii="仿宋_GB2312" w:hAnsi="仿宋_GB2312" w:eastAsia="仿宋_GB2312" w:cs="仿宋_GB2312"/>
          <w:b w:val="0"/>
          <w:bCs w:val="0"/>
          <w:color w:val="auto"/>
          <w:sz w:val="32"/>
          <w:szCs w:val="32"/>
          <w:highlight w:val="none"/>
          <w:lang w:val="en-US" w:eastAsia="zh-CN"/>
        </w:rPr>
        <w:t>主要包括公园绿地建设、养护和运营，道路绿化建设和养护管理，绿道系统建设、养护管理和运营等。</w:t>
      </w:r>
      <w:r>
        <w:rPr>
          <w:rFonts w:hint="eastAsia" w:ascii="仿宋_GB2312" w:hAnsi="仿宋_GB2312" w:eastAsia="仿宋_GB2312" w:cs="仿宋_GB2312"/>
          <w:b/>
          <w:bCs/>
          <w:color w:val="auto"/>
          <w:sz w:val="32"/>
          <w:szCs w:val="32"/>
          <w:highlight w:val="none"/>
          <w:lang w:val="en-US" w:eastAsia="zh-CN"/>
        </w:rPr>
        <w:t>[环境能源基础设施]</w:t>
      </w:r>
      <w:r>
        <w:rPr>
          <w:rFonts w:hint="eastAsia" w:ascii="仿宋_GB2312" w:hAnsi="仿宋_GB2312" w:eastAsia="仿宋_GB2312" w:cs="仿宋_GB2312"/>
          <w:b w:val="0"/>
          <w:bCs w:val="0"/>
          <w:color w:val="auto"/>
          <w:sz w:val="32"/>
          <w:szCs w:val="32"/>
          <w:highlight w:val="none"/>
          <w:lang w:val="en-US" w:eastAsia="zh-CN"/>
        </w:rPr>
        <w:t>主要包括污水处理设施建设和改造、生活垃圾处理设施建设和运营、城镇污水收集系统排查改造建设修复、城镇集中供热系统清洁化运营和改造、海绵城市建设等。</w:t>
      </w:r>
    </w:p>
    <w:p w14:paraId="42E0282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[节能环保产业]</w:t>
      </w:r>
      <w:r>
        <w:rPr>
          <w:rFonts w:hint="eastAsia" w:ascii="仿宋_GB2312" w:hAnsi="仿宋_GB2312" w:eastAsia="仿宋_GB2312" w:cs="仿宋_GB2312"/>
          <w:b w:val="0"/>
          <w:bCs w:val="0"/>
          <w:color w:val="auto"/>
          <w:sz w:val="32"/>
          <w:szCs w:val="32"/>
          <w:highlight w:val="none"/>
          <w:lang w:val="en-US" w:eastAsia="zh-CN"/>
        </w:rPr>
        <w:t>指从事资源能源节约和循环利用、生态环境保护装备制造和产业活动的相关产业，主要包括高效节能设备制造、先进环保设备制造、资源循环利用设备制造、新能源汽车和绿色船舶制造、节能改造、污染治理和资源循环利用服务等。</w:t>
      </w:r>
    </w:p>
    <w:p w14:paraId="54B0847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[清洁生产产业]</w:t>
      </w:r>
      <w:r>
        <w:rPr>
          <w:rFonts w:hint="eastAsia" w:ascii="仿宋_GB2312" w:hAnsi="仿宋_GB2312" w:eastAsia="仿宋_GB2312" w:cs="仿宋_GB2312"/>
          <w:b w:val="0"/>
          <w:bCs w:val="0"/>
          <w:color w:val="auto"/>
          <w:sz w:val="32"/>
          <w:szCs w:val="32"/>
          <w:highlight w:val="none"/>
          <w:lang w:val="en-US" w:eastAsia="zh-CN"/>
        </w:rPr>
        <w:t>指从事生产全过程的废物减量化、资源化和无害化的相关产业，主要包括产业园区绿色升级、无毒无害原料替代使用与危险废物治理、生产过程废气处理处置及资源化综合利用、生产过程节水和废水处理处置及资源化综合利用、生产过程废渣处理处置及资源化综合利用等。</w:t>
      </w:r>
    </w:p>
    <w:p w14:paraId="2E53C12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[绿色服务]</w:t>
      </w:r>
      <w:r>
        <w:rPr>
          <w:rFonts w:hint="eastAsia" w:ascii="仿宋_GB2312" w:hAnsi="仿宋_GB2312" w:eastAsia="仿宋_GB2312" w:cs="仿宋_GB2312"/>
          <w:b w:val="0"/>
          <w:bCs w:val="0"/>
          <w:color w:val="auto"/>
          <w:sz w:val="32"/>
          <w:szCs w:val="32"/>
          <w:highlight w:val="none"/>
          <w:lang w:val="en-US" w:eastAsia="zh-CN"/>
        </w:rPr>
        <w:t>指与绿色产业相关的咨询服务、项目运营管理、项目评估审计核查、监测检测、技术产品认证和推广等。</w:t>
      </w:r>
    </w:p>
    <w:p w14:paraId="139DB1E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[其他绿色产业保险业务]</w:t>
      </w:r>
      <w:r>
        <w:rPr>
          <w:rFonts w:hint="eastAsia" w:ascii="仿宋_GB2312" w:hAnsi="仿宋_GB2312" w:eastAsia="仿宋_GB2312" w:cs="仿宋_GB2312"/>
          <w:b w:val="0"/>
          <w:bCs w:val="0"/>
          <w:color w:val="auto"/>
          <w:sz w:val="32"/>
          <w:szCs w:val="32"/>
          <w:highlight w:val="none"/>
          <w:lang w:val="en-US" w:eastAsia="zh-CN"/>
        </w:rPr>
        <w:t>指以企业为投保人或被保险人，为其他绿色产业、绿色项目、绿色产品提供风险保障的保险产品。</w:t>
      </w:r>
    </w:p>
    <w:p w14:paraId="5404621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3.地区维度。</w:t>
      </w:r>
      <w:r>
        <w:rPr>
          <w:rFonts w:hint="eastAsia" w:ascii="仿宋_GB2312" w:hAnsi="仿宋_GB2312" w:eastAsia="仿宋_GB2312" w:cs="仿宋_GB2312"/>
          <w:color w:val="auto"/>
          <w:sz w:val="32"/>
          <w:szCs w:val="32"/>
          <w:highlight w:val="none"/>
          <w:lang w:eastAsia="zh-CN"/>
        </w:rPr>
        <w:t>地区的分类及分类标准详见“</w:t>
      </w:r>
      <w:r>
        <w:rPr>
          <w:rFonts w:hint="eastAsia" w:ascii="仿宋_GB2312" w:hAnsi="仿宋_GB2312" w:eastAsia="仿宋_GB2312" w:cs="仿宋_GB2312"/>
          <w:color w:val="auto"/>
          <w:sz w:val="32"/>
          <w:szCs w:val="32"/>
          <w:lang w:val="en-US" w:eastAsia="zh-CN"/>
        </w:rPr>
        <w:t>第三部分 业务类”中的地区维度，</w:t>
      </w:r>
      <w:r>
        <w:rPr>
          <w:rFonts w:hint="eastAsia" w:ascii="仿宋_GB2312" w:hAnsi="仿宋_GB2312" w:eastAsia="仿宋_GB2312" w:cs="仿宋_GB2312"/>
          <w:color w:val="auto"/>
          <w:sz w:val="32"/>
          <w:szCs w:val="32"/>
          <w:lang w:eastAsia="zh-CN"/>
        </w:rPr>
        <w:t>具体到省级行政区和计划单列市，包括</w:t>
      </w:r>
      <w:r>
        <w:rPr>
          <w:rFonts w:hint="eastAsia" w:ascii="仿宋_GB2312" w:hAnsi="仿宋_GB2312" w:eastAsia="仿宋_GB2312" w:cs="仿宋_GB2312"/>
          <w:b/>
          <w:bCs/>
          <w:color w:val="auto"/>
          <w:sz w:val="32"/>
          <w:szCs w:val="32"/>
          <w:lang w:val="en-US" w:eastAsia="zh-CN"/>
        </w:rPr>
        <w:t>[安徽省]</w:t>
      </w:r>
      <w:r>
        <w:rPr>
          <w:rFonts w:hint="eastAsia" w:ascii="仿宋_GB2312" w:hAnsi="仿宋_GB2312" w:eastAsia="仿宋_GB2312" w:cs="仿宋_GB2312"/>
          <w:b w:val="0"/>
          <w:bCs w:val="0"/>
          <w:color w:val="auto"/>
          <w:sz w:val="32"/>
          <w:szCs w:val="32"/>
          <w:lang w:val="en-US" w:eastAsia="zh-CN"/>
        </w:rPr>
        <w:t>等22个省、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北京市</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等4个直辖市、</w:t>
      </w:r>
      <w:r>
        <w:rPr>
          <w:rFonts w:hint="eastAsia" w:ascii="仿宋_GB2312" w:hAnsi="仿宋_GB2312" w:eastAsia="仿宋_GB2312" w:cs="仿宋_GB2312"/>
          <w:b/>
          <w:bCs/>
          <w:color w:val="auto"/>
          <w:sz w:val="32"/>
          <w:szCs w:val="32"/>
          <w:lang w:val="en-US" w:eastAsia="zh-CN"/>
        </w:rPr>
        <w:t>[内蒙古自治区]</w:t>
      </w:r>
      <w:r>
        <w:rPr>
          <w:rFonts w:hint="eastAsia" w:ascii="仿宋_GB2312" w:hAnsi="仿宋_GB2312" w:eastAsia="仿宋_GB2312" w:cs="仿宋_GB2312"/>
          <w:b w:val="0"/>
          <w:bCs w:val="0"/>
          <w:color w:val="auto"/>
          <w:sz w:val="32"/>
          <w:szCs w:val="32"/>
          <w:lang w:val="en-US" w:eastAsia="zh-CN"/>
        </w:rPr>
        <w:t>等5个自治区，</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b/>
          <w:bCs/>
          <w:color w:val="auto"/>
          <w:sz w:val="32"/>
          <w:szCs w:val="32"/>
          <w:lang w:val="en-US" w:eastAsia="zh-CN"/>
        </w:rPr>
        <w:t>[辽宁省大连市]、[山东省青岛市]、[广东省深圳市]、[福建省厦门市]、[浙江省宁波市]</w:t>
      </w:r>
      <w:r>
        <w:rPr>
          <w:rFonts w:hint="eastAsia" w:ascii="仿宋_GB2312" w:hAnsi="仿宋_GB2312" w:eastAsia="仿宋_GB2312" w:cs="仿宋_GB2312"/>
          <w:b w:val="0"/>
          <w:bCs w:val="0"/>
          <w:color w:val="auto"/>
          <w:sz w:val="32"/>
          <w:szCs w:val="32"/>
          <w:lang w:val="en-US" w:eastAsia="zh-CN"/>
        </w:rPr>
        <w:t>等5个计划单列市，其中，计入计划单列市的，不再重复计入计划单列市所属省级行政区。</w:t>
      </w:r>
    </w:p>
    <w:p w14:paraId="73865F90">
      <w:pPr>
        <w:pStyle w:val="57"/>
        <w:keepNext w:val="0"/>
        <w:keepLines w:val="0"/>
        <w:pageBreakBefore w:val="0"/>
        <w:kinsoku/>
        <w:wordWrap/>
        <w:overflowPunct/>
        <w:topLinePunct w:val="0"/>
        <w:bidi w:val="0"/>
        <w:spacing w:after="0" w:line="600" w:lineRule="exact"/>
        <w:ind w:firstLine="640"/>
        <w:jc w:val="both"/>
        <w:textAlignment w:val="auto"/>
        <w:outlineLvl w:val="1"/>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四、普惠保险重点领域</w:t>
      </w:r>
    </w:p>
    <w:p w14:paraId="0F985752">
      <w:pPr>
        <w:pStyle w:val="57"/>
        <w:keepNext w:val="0"/>
        <w:keepLines w:val="0"/>
        <w:pageBreakBefore w:val="0"/>
        <w:numPr>
          <w:ilvl w:val="0"/>
          <w:numId w:val="0"/>
        </w:numPr>
        <w:kinsoku/>
        <w:wordWrap/>
        <w:overflowPunct/>
        <w:topLinePunct w:val="0"/>
        <w:bidi w:val="0"/>
        <w:spacing w:after="0" w:line="600" w:lineRule="exact"/>
        <w:ind w:leftChars="0" w:firstLine="64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保险机构应当按照</w:t>
      </w:r>
      <w:r>
        <w:rPr>
          <w:rFonts w:hint="default"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b w:val="0"/>
          <w:bCs w:val="0"/>
          <w:color w:val="auto"/>
          <w:sz w:val="32"/>
          <w:szCs w:val="32"/>
          <w:highlight w:val="none"/>
          <w:lang w:val="en-US" w:eastAsia="zh-CN"/>
        </w:rPr>
        <w:t>《国家金融监督管理总局关于推进普惠保险高质量发展的指导意见》（金发〔2024〕13号）</w:t>
      </w:r>
      <w:r>
        <w:rPr>
          <w:rFonts w:hint="default" w:ascii="仿宋_GB2312" w:hAnsi="仿宋_GB2312" w:eastAsia="仿宋_GB2312" w:cs="仿宋_GB2312"/>
          <w:color w:val="auto"/>
          <w:sz w:val="32"/>
          <w:szCs w:val="32"/>
          <w:highlight w:val="none"/>
          <w:lang w:val="en-US" w:eastAsia="zh-CN"/>
        </w:rPr>
        <w:t>要求，</w:t>
      </w:r>
      <w:r>
        <w:rPr>
          <w:rFonts w:hint="eastAsia" w:ascii="仿宋_GB2312" w:hAnsi="仿宋_GB2312" w:eastAsia="仿宋_GB2312" w:cs="仿宋_GB2312"/>
          <w:color w:val="auto"/>
          <w:sz w:val="32"/>
          <w:szCs w:val="32"/>
          <w:highlight w:val="none"/>
          <w:lang w:val="en-US" w:eastAsia="zh-CN"/>
        </w:rPr>
        <w:t>统计普惠保险重点领域有关数据。</w:t>
      </w:r>
    </w:p>
    <w:p w14:paraId="19DE84F6">
      <w:pPr>
        <w:pStyle w:val="57"/>
        <w:keepNext w:val="0"/>
        <w:keepLines w:val="0"/>
        <w:pageBreakBefore w:val="0"/>
        <w:numPr>
          <w:ilvl w:val="0"/>
          <w:numId w:val="0"/>
        </w:numPr>
        <w:kinsoku/>
        <w:wordWrap/>
        <w:overflowPunct/>
        <w:topLinePunct w:val="0"/>
        <w:bidi w:val="0"/>
        <w:spacing w:after="0" w:line="600" w:lineRule="exact"/>
        <w:ind w:leftChars="0" w:firstLine="640"/>
        <w:jc w:val="both"/>
        <w:textAlignment w:val="auto"/>
        <w:outlineLvl w:val="2"/>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lang w:val="en-US" w:eastAsia="zh-CN"/>
        </w:rPr>
        <w:t>统计指标及口径</w:t>
      </w:r>
    </w:p>
    <w:p w14:paraId="73E67D0C">
      <w:pPr>
        <w:pStyle w:val="56"/>
        <w:keepNext w:val="0"/>
        <w:keepLines w:val="0"/>
        <w:pageBreakBefore w:val="0"/>
        <w:numPr>
          <w:ilvl w:val="0"/>
          <w:numId w:val="0"/>
        </w:numPr>
        <w:kinsoku/>
        <w:wordWrap/>
        <w:overflowPunct/>
        <w:topLinePunct w:val="0"/>
        <w:bidi w:val="0"/>
        <w:spacing w:after="0" w:line="600" w:lineRule="exact"/>
        <w:ind w:left="0" w:leftChars="0" w:firstLine="56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[保费]、[本年累计新增保险金额]、[赔付</w:t>
      </w:r>
      <w:r>
        <w:rPr>
          <w:rFonts w:hint="eastAsia" w:ascii="仿宋_GB2312" w:hAnsi="仿宋_GB2312" w:eastAsia="仿宋_GB2312" w:cs="仿宋_GB2312"/>
          <w:b/>
          <w:bCs/>
          <w:color w:val="auto"/>
          <w:sz w:val="32"/>
          <w:szCs w:val="32"/>
          <w:highlight w:val="none"/>
          <w:lang w:val="en-US" w:eastAsia="zh-CN"/>
        </w:rPr>
        <w:t>金额]</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highlight w:val="none"/>
          <w:lang w:val="en-US" w:eastAsia="zh-CN"/>
        </w:rPr>
        <w:t>[承保数量]、</w:t>
      </w:r>
      <w:r>
        <w:rPr>
          <w:rFonts w:hint="eastAsia" w:ascii="仿宋_GB2312" w:hAnsi="仿宋_GB2312" w:eastAsia="仿宋_GB2312" w:cs="仿宋_GB2312"/>
          <w:b/>
          <w:bCs/>
          <w:color w:val="auto"/>
          <w:sz w:val="32"/>
          <w:szCs w:val="32"/>
          <w:lang w:val="en-US" w:eastAsia="zh-CN"/>
        </w:rPr>
        <w:t>[赔付数量]</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lang w:val="en-US" w:eastAsia="zh-CN"/>
        </w:rPr>
        <w:t>[保费]、[本年累计新增保险金额]、[赔付</w:t>
      </w:r>
      <w:r>
        <w:rPr>
          <w:rFonts w:hint="eastAsia" w:ascii="仿宋_GB2312" w:hAnsi="仿宋_GB2312" w:eastAsia="仿宋_GB2312" w:cs="仿宋_GB2312"/>
          <w:b/>
          <w:bCs/>
          <w:color w:val="auto"/>
          <w:sz w:val="32"/>
          <w:szCs w:val="32"/>
          <w:highlight w:val="none"/>
          <w:lang w:val="en-US" w:eastAsia="zh-CN"/>
        </w:rPr>
        <w:t>金额]，</w:t>
      </w:r>
      <w:r>
        <w:rPr>
          <w:rFonts w:hint="eastAsia" w:ascii="仿宋_GB2312" w:hAnsi="仿宋_GB2312" w:eastAsia="仿宋_GB2312" w:cs="仿宋_GB2312"/>
          <w:b w:val="0"/>
          <w:bCs w:val="0"/>
          <w:color w:val="auto"/>
          <w:sz w:val="32"/>
          <w:szCs w:val="32"/>
          <w:highlight w:val="none"/>
          <w:lang w:val="en-US" w:eastAsia="zh-CN"/>
        </w:rPr>
        <w:t>统计口径与“第三部分 业务类”相关统计指标的口径一致</w:t>
      </w:r>
      <w:r>
        <w:rPr>
          <w:rFonts w:hint="eastAsia" w:ascii="仿宋_GB2312" w:hAnsi="仿宋_GB2312" w:eastAsia="仿宋_GB2312" w:cs="仿宋_GB2312"/>
          <w:color w:val="auto"/>
          <w:sz w:val="32"/>
          <w:szCs w:val="32"/>
          <w:lang w:val="en-US" w:eastAsia="zh-CN"/>
        </w:rPr>
        <w:t>。</w:t>
      </w:r>
    </w:p>
    <w:p w14:paraId="4F4DEA2C">
      <w:pPr>
        <w:pStyle w:val="56"/>
        <w:keepNext w:val="0"/>
        <w:keepLines w:val="0"/>
        <w:pageBreakBefore w:val="0"/>
        <w:numPr>
          <w:ilvl w:val="0"/>
          <w:numId w:val="0"/>
        </w:numPr>
        <w:kinsoku/>
        <w:wordWrap/>
        <w:overflowPunct/>
        <w:topLinePunct w:val="0"/>
        <w:bidi w:val="0"/>
        <w:spacing w:line="60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[承保数量]</w:t>
      </w:r>
      <w:r>
        <w:rPr>
          <w:rFonts w:hint="eastAsia" w:ascii="仿宋_GB2312" w:hAnsi="仿宋_GB2312" w:eastAsia="仿宋_GB2312" w:cs="仿宋_GB2312"/>
          <w:b w:val="0"/>
          <w:bCs w:val="0"/>
          <w:color w:val="auto"/>
          <w:sz w:val="32"/>
          <w:szCs w:val="32"/>
          <w:highlight w:val="none"/>
          <w:lang w:val="en-US" w:eastAsia="zh-CN"/>
        </w:rPr>
        <w:t>是指保险公司在统计期内签发的全部保险合同中载明的保险标的数量，若不同保险合同承保同一保险标的的，每一保险合同均计入一次。</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承保数量</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的计量单位</w:t>
      </w: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保险标的</w:t>
      </w:r>
      <w:r>
        <w:rPr>
          <w:rFonts w:hint="eastAsia" w:ascii="仿宋_GB2312" w:hAnsi="仿宋_GB2312" w:eastAsia="仿宋_GB2312" w:cs="仿宋_GB2312"/>
          <w:color w:val="auto"/>
          <w:sz w:val="32"/>
          <w:szCs w:val="32"/>
          <w:highlight w:val="none"/>
          <w:lang w:eastAsia="zh-CN"/>
        </w:rPr>
        <w:t>性质确定。</w:t>
      </w:r>
      <w:r>
        <w:rPr>
          <w:rFonts w:hint="eastAsia" w:ascii="仿宋_GB2312" w:hAnsi="仿宋_GB2312" w:eastAsia="仿宋_GB2312" w:cs="仿宋_GB2312"/>
          <w:b w:val="0"/>
          <w:bCs w:val="0"/>
          <w:color w:val="auto"/>
          <w:sz w:val="32"/>
          <w:szCs w:val="32"/>
          <w:highlight w:val="none"/>
          <w:lang w:val="en-US" w:eastAsia="zh-CN"/>
        </w:rPr>
        <w:t>具体口径如下：（1）对于财产保险业务，比如，</w:t>
      </w:r>
      <w:r>
        <w:rPr>
          <w:rFonts w:hint="eastAsia" w:ascii="仿宋_GB2312" w:hAnsi="仿宋_GB2312" w:eastAsia="仿宋_GB2312" w:cs="仿宋_GB2312"/>
          <w:b/>
          <w:bCs/>
          <w:color w:val="auto"/>
          <w:sz w:val="32"/>
          <w:szCs w:val="32"/>
          <w:highlight w:val="none"/>
          <w:lang w:val="en-US" w:eastAsia="zh-CN"/>
        </w:rPr>
        <w:t>[农业保险]</w:t>
      </w:r>
      <w:r>
        <w:rPr>
          <w:rFonts w:hint="eastAsia" w:ascii="仿宋_GB2312" w:hAnsi="仿宋_GB2312" w:eastAsia="仿宋_GB2312" w:cs="仿宋_GB2312"/>
          <w:b w:val="0"/>
          <w:bCs w:val="0"/>
          <w:color w:val="auto"/>
          <w:sz w:val="32"/>
          <w:szCs w:val="32"/>
          <w:highlight w:val="none"/>
          <w:lang w:val="en-US" w:eastAsia="zh-CN"/>
        </w:rPr>
        <w:t>是指参保农户户次，单位是户次，具体是指财产险公司在统计期内承保的保险单中载明农户户次的总和。无需按客户去重。</w:t>
      </w:r>
      <w:r>
        <w:rPr>
          <w:rFonts w:hint="eastAsia" w:ascii="仿宋_GB2312" w:hAnsi="仿宋_GB2312" w:eastAsia="仿宋_GB2312" w:cs="仿宋_GB2312"/>
          <w:b/>
          <w:bCs/>
          <w:color w:val="auto"/>
          <w:sz w:val="32"/>
          <w:szCs w:val="32"/>
          <w:highlight w:val="none"/>
          <w:lang w:val="en-US" w:eastAsia="zh-CN"/>
        </w:rPr>
        <w:t>[农机保险]</w:t>
      </w:r>
      <w:r>
        <w:rPr>
          <w:rFonts w:hint="eastAsia" w:ascii="仿宋_GB2312" w:hAnsi="仿宋_GB2312" w:eastAsia="仿宋_GB2312" w:cs="仿宋_GB2312"/>
          <w:b w:val="0"/>
          <w:bCs w:val="0"/>
          <w:color w:val="auto"/>
          <w:sz w:val="32"/>
          <w:szCs w:val="32"/>
          <w:highlight w:val="none"/>
          <w:lang w:val="en-US" w:eastAsia="zh-CN"/>
        </w:rPr>
        <w:t>是指参保农机的数量，单位是辆、台。</w:t>
      </w:r>
      <w:r>
        <w:rPr>
          <w:rFonts w:hint="eastAsia" w:ascii="仿宋_GB2312" w:hAnsi="仿宋_GB2312" w:eastAsia="仿宋_GB2312" w:cs="仿宋_GB2312"/>
          <w:b/>
          <w:bCs/>
          <w:color w:val="auto"/>
          <w:sz w:val="32"/>
          <w:szCs w:val="32"/>
          <w:highlight w:val="none"/>
          <w:lang w:val="en-US" w:eastAsia="zh-CN"/>
        </w:rPr>
        <w:t>[农房保险]</w:t>
      </w:r>
      <w:r>
        <w:rPr>
          <w:rFonts w:hint="eastAsia" w:ascii="仿宋_GB2312" w:hAnsi="仿宋_GB2312" w:eastAsia="仿宋_GB2312" w:cs="仿宋_GB2312"/>
          <w:b w:val="0"/>
          <w:bCs w:val="0"/>
          <w:color w:val="auto"/>
          <w:sz w:val="32"/>
          <w:szCs w:val="32"/>
          <w:highlight w:val="none"/>
          <w:lang w:val="en-US" w:eastAsia="zh-CN"/>
        </w:rPr>
        <w:t>是指参保农房的数量，单位是间。</w:t>
      </w:r>
      <w:r>
        <w:rPr>
          <w:rFonts w:hint="eastAsia" w:ascii="仿宋_GB2312" w:hAnsi="仿宋_GB2312" w:eastAsia="仿宋_GB2312" w:cs="仿宋_GB2312"/>
          <w:b/>
          <w:bCs/>
          <w:color w:val="auto"/>
          <w:sz w:val="32"/>
          <w:szCs w:val="32"/>
          <w:highlight w:val="none"/>
          <w:lang w:val="en-US" w:eastAsia="zh-CN"/>
        </w:rPr>
        <w:t>[城市定制型家庭财产保险]</w:t>
      </w:r>
      <w:r>
        <w:rPr>
          <w:rFonts w:hint="eastAsia" w:ascii="仿宋_GB2312" w:hAnsi="仿宋_GB2312" w:eastAsia="仿宋_GB2312" w:cs="仿宋_GB2312"/>
          <w:color w:val="auto"/>
          <w:sz w:val="32"/>
          <w:szCs w:val="32"/>
          <w:highlight w:val="none"/>
          <w:lang w:val="en-US" w:eastAsia="zh-CN"/>
        </w:rPr>
        <w:t>是指保障覆盖数量，非保单数量，单位是户次。对于</w:t>
      </w:r>
      <w:r>
        <w:rPr>
          <w:rFonts w:hint="eastAsia" w:ascii="仿宋_GB2312" w:hAnsi="仿宋_GB2312" w:eastAsia="仿宋_GB2312" w:cs="仿宋_GB2312"/>
          <w:b w:val="0"/>
          <w:bCs w:val="0"/>
          <w:color w:val="auto"/>
          <w:sz w:val="32"/>
          <w:szCs w:val="32"/>
          <w:highlight w:val="none"/>
          <w:lang w:val="en-US" w:eastAsia="zh-CN"/>
        </w:rPr>
        <w:t>人身保险业务，是指被保险人人次，单位是人次。（2）对于分期缴费业务，只在交纳首期保费时统计，在缴纳续期保费时不再统计。（3）主险和附加险分别统计。（4）保险责任开始后发生的减保、退保，不减少</w:t>
      </w:r>
      <w:r>
        <w:rPr>
          <w:rFonts w:hint="eastAsia" w:ascii="仿宋_GB2312" w:hAnsi="仿宋_GB2312" w:eastAsia="仿宋_GB2312" w:cs="仿宋_GB2312"/>
          <w:b/>
          <w:bCs/>
          <w:color w:val="auto"/>
          <w:sz w:val="32"/>
          <w:szCs w:val="32"/>
          <w:highlight w:val="none"/>
          <w:lang w:val="en-US" w:eastAsia="zh-CN"/>
        </w:rPr>
        <w:t>[承保数量]</w:t>
      </w:r>
      <w:r>
        <w:rPr>
          <w:rFonts w:hint="eastAsia" w:ascii="仿宋_GB2312" w:hAnsi="仿宋_GB2312" w:eastAsia="仿宋_GB2312" w:cs="仿宋_GB2312"/>
          <w:b w:val="0"/>
          <w:bCs w:val="0"/>
          <w:color w:val="auto"/>
          <w:sz w:val="32"/>
          <w:szCs w:val="32"/>
          <w:highlight w:val="none"/>
          <w:lang w:val="en-US" w:eastAsia="zh-CN"/>
        </w:rPr>
        <w:t>。（5）对于通过联保、共保方式开展的保险业务，</w:t>
      </w:r>
      <w:r>
        <w:rPr>
          <w:rFonts w:hint="eastAsia" w:ascii="仿宋_GB2312" w:hAnsi="仿宋_GB2312" w:eastAsia="仿宋_GB2312" w:cs="仿宋_GB2312"/>
          <w:b/>
          <w:bCs/>
          <w:color w:val="auto"/>
          <w:sz w:val="32"/>
          <w:szCs w:val="32"/>
          <w:highlight w:val="none"/>
          <w:lang w:val="en-US" w:eastAsia="zh-CN"/>
        </w:rPr>
        <w:t>[承保数量]</w:t>
      </w:r>
      <w:r>
        <w:rPr>
          <w:rFonts w:hint="eastAsia" w:ascii="仿宋_GB2312" w:hAnsi="仿宋_GB2312" w:eastAsia="仿宋_GB2312" w:cs="仿宋_GB2312"/>
          <w:b w:val="0"/>
          <w:bCs w:val="0"/>
          <w:color w:val="auto"/>
          <w:sz w:val="32"/>
          <w:szCs w:val="32"/>
          <w:highlight w:val="none"/>
          <w:lang w:val="en-US" w:eastAsia="zh-CN"/>
        </w:rPr>
        <w:t>按照联保、共保比例进行折算。</w:t>
      </w:r>
    </w:p>
    <w:p w14:paraId="49C9D44D">
      <w:pPr>
        <w:pStyle w:val="56"/>
        <w:keepNext w:val="0"/>
        <w:keepLines w:val="0"/>
        <w:pageBreakBefore w:val="0"/>
        <w:kinsoku/>
        <w:wordWrap/>
        <w:overflowPunct/>
        <w:topLinePunct w:val="0"/>
        <w:bidi w:val="0"/>
        <w:spacing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[赔付数量]</w:t>
      </w:r>
      <w:r>
        <w:rPr>
          <w:rFonts w:hint="eastAsia" w:ascii="仿宋_GB2312" w:hAnsi="仿宋_GB2312" w:eastAsia="仿宋_GB2312" w:cs="仿宋_GB2312"/>
          <w:b w:val="0"/>
          <w:bCs w:val="0"/>
          <w:color w:val="auto"/>
          <w:sz w:val="32"/>
          <w:szCs w:val="32"/>
          <w:highlight w:val="none"/>
          <w:lang w:val="en-US" w:eastAsia="zh-CN"/>
        </w:rPr>
        <w:t>是</w:t>
      </w:r>
      <w:r>
        <w:rPr>
          <w:rFonts w:hint="eastAsia" w:ascii="仿宋_GB2312" w:hAnsi="仿宋_GB2312" w:eastAsia="仿宋_GB2312" w:cs="仿宋_GB2312"/>
          <w:b w:val="0"/>
          <w:bCs w:val="0"/>
          <w:color w:val="auto"/>
          <w:sz w:val="32"/>
          <w:szCs w:val="32"/>
          <w:highlight w:val="none"/>
          <w:lang w:val="en-US" w:eastAsia="zh"/>
        </w:rPr>
        <w:t>指保险公司在统计期内</w:t>
      </w:r>
      <w:r>
        <w:rPr>
          <w:rFonts w:hint="eastAsia" w:ascii="仿宋_GB2312" w:hAnsi="仿宋_GB2312" w:eastAsia="仿宋_GB2312" w:cs="仿宋_GB2312"/>
          <w:b w:val="0"/>
          <w:bCs w:val="0"/>
          <w:color w:val="auto"/>
          <w:sz w:val="32"/>
          <w:szCs w:val="32"/>
          <w:highlight w:val="none"/>
          <w:lang w:val="en-US" w:eastAsia="zh-CN"/>
        </w:rPr>
        <w:t>已核赔通过的</w:t>
      </w:r>
      <w:r>
        <w:rPr>
          <w:rFonts w:hint="eastAsia" w:ascii="仿宋_GB2312" w:hAnsi="仿宋_GB2312" w:eastAsia="仿宋_GB2312" w:cs="仿宋_GB2312"/>
          <w:b w:val="0"/>
          <w:bCs w:val="0"/>
          <w:color w:val="auto"/>
          <w:sz w:val="32"/>
          <w:szCs w:val="32"/>
          <w:highlight w:val="none"/>
          <w:lang w:val="en-US" w:eastAsia="zh"/>
        </w:rPr>
        <w:t>保险标的数量。</w:t>
      </w:r>
      <w:r>
        <w:rPr>
          <w:rFonts w:hint="eastAsia" w:ascii="仿宋_GB2312" w:hAnsi="仿宋_GB2312" w:eastAsia="仿宋_GB2312" w:cs="仿宋_GB2312"/>
          <w:b/>
          <w:bCs/>
          <w:color w:val="auto"/>
          <w:sz w:val="32"/>
          <w:szCs w:val="32"/>
          <w:highlight w:val="none"/>
          <w:lang w:val="en-US" w:eastAsia="zh-CN"/>
        </w:rPr>
        <w:t>[赔付</w:t>
      </w:r>
      <w:r>
        <w:rPr>
          <w:rFonts w:hint="eastAsia" w:ascii="仿宋_GB2312" w:hAnsi="仿宋_GB2312" w:eastAsia="仿宋_GB2312" w:cs="仿宋_GB2312"/>
          <w:b/>
          <w:bCs/>
          <w:color w:val="auto"/>
          <w:sz w:val="32"/>
          <w:szCs w:val="32"/>
          <w:highlight w:val="none"/>
        </w:rPr>
        <w:t>数量</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的计量单位</w:t>
      </w: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保险标的</w:t>
      </w:r>
      <w:r>
        <w:rPr>
          <w:rFonts w:hint="eastAsia" w:ascii="仿宋_GB2312" w:hAnsi="仿宋_GB2312" w:eastAsia="仿宋_GB2312" w:cs="仿宋_GB2312"/>
          <w:color w:val="auto"/>
          <w:sz w:val="32"/>
          <w:szCs w:val="32"/>
          <w:highlight w:val="none"/>
          <w:lang w:eastAsia="zh-CN"/>
        </w:rPr>
        <w:t>性质确定。</w:t>
      </w:r>
      <w:r>
        <w:rPr>
          <w:rFonts w:hint="eastAsia" w:ascii="仿宋_GB2312" w:hAnsi="仿宋_GB2312" w:eastAsia="仿宋_GB2312" w:cs="仿宋_GB2312"/>
          <w:b w:val="0"/>
          <w:bCs w:val="0"/>
          <w:color w:val="auto"/>
          <w:sz w:val="32"/>
          <w:szCs w:val="32"/>
          <w:highlight w:val="none"/>
          <w:lang w:val="en-US" w:eastAsia="zh-CN"/>
        </w:rPr>
        <w:t>具体口径如下：（1）对于</w:t>
      </w:r>
      <w:r>
        <w:rPr>
          <w:rFonts w:hint="eastAsia" w:ascii="仿宋_GB2312" w:hAnsi="仿宋_GB2312" w:eastAsia="仿宋_GB2312" w:cs="仿宋_GB2312"/>
          <w:color w:val="auto"/>
          <w:sz w:val="32"/>
          <w:szCs w:val="32"/>
        </w:rPr>
        <w:t>财产</w:t>
      </w:r>
      <w:r>
        <w:rPr>
          <w:rFonts w:hint="eastAsia" w:ascii="仿宋_GB2312" w:hAnsi="仿宋_GB2312" w:eastAsia="仿宋_GB2312" w:cs="仿宋_GB2312"/>
          <w:color w:val="auto"/>
          <w:sz w:val="32"/>
          <w:szCs w:val="32"/>
          <w:lang w:eastAsia="zh-CN"/>
        </w:rPr>
        <w:t>保</w:t>
      </w:r>
      <w:r>
        <w:rPr>
          <w:rFonts w:hint="eastAsia" w:ascii="仿宋_GB2312" w:hAnsi="仿宋_GB2312" w:eastAsia="仿宋_GB2312" w:cs="仿宋_GB2312"/>
          <w:color w:val="auto"/>
          <w:sz w:val="32"/>
          <w:szCs w:val="32"/>
        </w:rPr>
        <w:t>险业务</w:t>
      </w:r>
      <w:r>
        <w:rPr>
          <w:rFonts w:hint="eastAsia" w:ascii="仿宋_GB2312" w:hAnsi="仿宋_GB2312" w:eastAsia="仿宋_GB2312" w:cs="仿宋_GB2312"/>
          <w:color w:val="auto"/>
          <w:sz w:val="32"/>
          <w:szCs w:val="32"/>
          <w:lang w:eastAsia="zh-CN"/>
        </w:rPr>
        <w:t>，比如，</w:t>
      </w:r>
      <w:r>
        <w:rPr>
          <w:rFonts w:hint="eastAsia" w:ascii="仿宋_GB2312" w:hAnsi="仿宋_GB2312" w:eastAsia="仿宋_GB2312" w:cs="仿宋_GB2312"/>
          <w:b/>
          <w:bCs/>
          <w:color w:val="auto"/>
          <w:sz w:val="32"/>
          <w:szCs w:val="32"/>
          <w:highlight w:val="none"/>
          <w:lang w:val="en-US" w:eastAsia="zh-CN"/>
        </w:rPr>
        <w:t>[农业保险]</w:t>
      </w:r>
      <w:r>
        <w:rPr>
          <w:rFonts w:hint="eastAsia" w:ascii="仿宋_GB2312" w:hAnsi="仿宋_GB2312" w:eastAsia="仿宋_GB2312" w:cs="仿宋_GB2312"/>
          <w:b w:val="0"/>
          <w:bCs w:val="0"/>
          <w:color w:val="auto"/>
          <w:sz w:val="32"/>
          <w:szCs w:val="32"/>
          <w:highlight w:val="none"/>
          <w:lang w:val="en-US" w:eastAsia="zh-CN"/>
        </w:rPr>
        <w:t>是指</w:t>
      </w:r>
      <w:r>
        <w:rPr>
          <w:rFonts w:hint="eastAsia" w:ascii="仿宋_GB2312" w:hAnsi="仿宋_GB2312" w:eastAsia="仿宋_GB2312" w:cs="仿宋_GB2312"/>
          <w:color w:val="auto"/>
          <w:sz w:val="32"/>
          <w:szCs w:val="32"/>
        </w:rPr>
        <w:t>受益农户户次，</w:t>
      </w:r>
      <w:r>
        <w:rPr>
          <w:rFonts w:hint="eastAsia" w:ascii="仿宋_GB2312" w:hAnsi="仿宋_GB2312" w:eastAsia="仿宋_GB2312" w:cs="仿宋_GB2312"/>
          <w:color w:val="auto"/>
          <w:sz w:val="32"/>
          <w:szCs w:val="32"/>
          <w:lang w:eastAsia="zh-CN"/>
        </w:rPr>
        <w:t>单位是户次，具体是</w:t>
      </w:r>
      <w:r>
        <w:rPr>
          <w:rFonts w:hint="eastAsia" w:ascii="仿宋_GB2312" w:hAnsi="仿宋_GB2312" w:eastAsia="仿宋_GB2312" w:cs="仿宋_GB2312"/>
          <w:color w:val="auto"/>
          <w:sz w:val="32"/>
          <w:szCs w:val="32"/>
        </w:rPr>
        <w:t>指财产险公司在统计期内已立案且已核赔的赔案中直接受益的农户受益次数的总和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无需按客户去重。</w:t>
      </w:r>
      <w:r>
        <w:rPr>
          <w:rFonts w:hint="eastAsia" w:ascii="仿宋_GB2312" w:hAnsi="仿宋_GB2312" w:eastAsia="仿宋_GB2312" w:cs="仿宋_GB2312"/>
          <w:b/>
          <w:bCs/>
          <w:color w:val="auto"/>
          <w:sz w:val="32"/>
          <w:szCs w:val="32"/>
          <w:highlight w:val="none"/>
          <w:lang w:val="en-US" w:eastAsia="zh-CN"/>
        </w:rPr>
        <w:t>[农机保险]</w:t>
      </w:r>
      <w:r>
        <w:rPr>
          <w:rFonts w:hint="eastAsia" w:ascii="仿宋_GB2312" w:hAnsi="仿宋_GB2312" w:eastAsia="仿宋_GB2312" w:cs="仿宋_GB2312"/>
          <w:b w:val="0"/>
          <w:bCs w:val="0"/>
          <w:color w:val="auto"/>
          <w:sz w:val="32"/>
          <w:szCs w:val="32"/>
          <w:highlight w:val="none"/>
          <w:lang w:val="en-US" w:eastAsia="zh-CN"/>
        </w:rPr>
        <w:t>是指赔付农机的数量，单位是辆、台。</w:t>
      </w:r>
      <w:r>
        <w:rPr>
          <w:rFonts w:hint="eastAsia" w:ascii="仿宋_GB2312" w:hAnsi="仿宋_GB2312" w:eastAsia="仿宋_GB2312" w:cs="仿宋_GB2312"/>
          <w:b/>
          <w:bCs/>
          <w:color w:val="auto"/>
          <w:sz w:val="32"/>
          <w:szCs w:val="32"/>
          <w:highlight w:val="none"/>
          <w:lang w:val="en-US" w:eastAsia="zh-CN"/>
        </w:rPr>
        <w:t>[农房保险]</w:t>
      </w:r>
      <w:r>
        <w:rPr>
          <w:rFonts w:hint="eastAsia" w:ascii="仿宋_GB2312" w:hAnsi="仿宋_GB2312" w:eastAsia="仿宋_GB2312" w:cs="仿宋_GB2312"/>
          <w:b w:val="0"/>
          <w:bCs w:val="0"/>
          <w:color w:val="auto"/>
          <w:sz w:val="32"/>
          <w:szCs w:val="32"/>
          <w:highlight w:val="none"/>
          <w:lang w:val="en-US" w:eastAsia="zh-CN"/>
        </w:rPr>
        <w:t>是指赔付农房的数量，单位是间。</w:t>
      </w:r>
      <w:r>
        <w:rPr>
          <w:rFonts w:hint="eastAsia" w:ascii="仿宋_GB2312" w:hAnsi="仿宋_GB2312" w:eastAsia="仿宋_GB2312" w:cs="仿宋_GB2312"/>
          <w:b/>
          <w:bCs/>
          <w:color w:val="auto"/>
          <w:sz w:val="32"/>
          <w:szCs w:val="32"/>
          <w:highlight w:val="none"/>
          <w:lang w:val="en-US" w:eastAsia="zh-CN"/>
        </w:rPr>
        <w:t>[城市定制型家庭财产保险]</w:t>
      </w:r>
      <w:r>
        <w:rPr>
          <w:rFonts w:hint="eastAsia" w:ascii="仿宋_GB2312" w:hAnsi="仿宋_GB2312" w:eastAsia="仿宋_GB2312" w:cs="仿宋_GB2312"/>
          <w:color w:val="auto"/>
          <w:sz w:val="32"/>
          <w:szCs w:val="32"/>
          <w:highlight w:val="none"/>
          <w:lang w:val="en-US" w:eastAsia="zh-CN"/>
        </w:rPr>
        <w:t>是指赔付标的数量，非保单数量，单位是户次。对于</w:t>
      </w:r>
      <w:r>
        <w:rPr>
          <w:rFonts w:hint="eastAsia" w:ascii="仿宋_GB2312" w:hAnsi="仿宋_GB2312" w:eastAsia="仿宋_GB2312" w:cs="仿宋_GB2312"/>
          <w:b w:val="0"/>
          <w:bCs w:val="0"/>
          <w:color w:val="auto"/>
          <w:sz w:val="32"/>
          <w:szCs w:val="32"/>
          <w:highlight w:val="none"/>
          <w:lang w:val="en-US" w:eastAsia="zh-CN"/>
        </w:rPr>
        <w:t>人身保险业务，是指被保险人人次，单位是人次。（2）对于</w:t>
      </w:r>
      <w:r>
        <w:rPr>
          <w:rFonts w:hint="eastAsia" w:ascii="仿宋_GB2312" w:hAnsi="仿宋_GB2312" w:eastAsia="仿宋_GB2312" w:cs="仿宋_GB2312"/>
          <w:b w:val="0"/>
          <w:bCs w:val="0"/>
          <w:color w:val="auto"/>
          <w:sz w:val="32"/>
          <w:szCs w:val="32"/>
          <w:highlight w:val="none"/>
          <w:lang w:val="en-US" w:eastAsia="zh"/>
        </w:rPr>
        <w:t>人身险业务</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
        </w:rPr>
        <w:t>赔付数量指赔案已核赔通过的人次，以及应给付的满期保险金和年金的人次，同一被保险人多次受益按照多次计算。</w:t>
      </w:r>
      <w:r>
        <w:rPr>
          <w:rFonts w:hint="eastAsia" w:ascii="仿宋_GB2312" w:hAnsi="仿宋_GB2312" w:eastAsia="仿宋_GB2312" w:cs="仿宋_GB2312"/>
          <w:b w:val="0"/>
          <w:bCs w:val="0"/>
          <w:color w:val="auto"/>
          <w:sz w:val="32"/>
          <w:szCs w:val="32"/>
          <w:highlight w:val="none"/>
          <w:lang w:val="en-US" w:eastAsia="zh-CN"/>
        </w:rPr>
        <w:t>单位是人次。</w:t>
      </w:r>
    </w:p>
    <w:p w14:paraId="17822B3E">
      <w:pPr>
        <w:pStyle w:val="56"/>
        <w:keepNext w:val="0"/>
        <w:keepLines w:val="0"/>
        <w:pageBreakBefore w:val="0"/>
        <w:numPr>
          <w:ilvl w:val="0"/>
          <w:numId w:val="0"/>
        </w:numPr>
        <w:kinsoku/>
        <w:wordWrap/>
        <w:overflowPunct/>
        <w:topLinePunct w:val="0"/>
        <w:bidi w:val="0"/>
        <w:spacing w:after="0" w:line="600" w:lineRule="exact"/>
        <w:ind w:leftChars="0" w:firstLine="640" w:firstLineChars="200"/>
        <w:jc w:val="both"/>
        <w:textAlignment w:val="auto"/>
        <w:outlineLvl w:val="2"/>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lang w:val="en-US" w:eastAsia="zh-CN"/>
        </w:rPr>
        <w:t>统计维度及分类标准</w:t>
      </w:r>
    </w:p>
    <w:p w14:paraId="25906700">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1.险种维度。</w:t>
      </w:r>
      <w:r>
        <w:rPr>
          <w:rFonts w:hint="eastAsia" w:ascii="仿宋_GB2312" w:hAnsi="仿宋_GB2312" w:eastAsia="仿宋_GB2312" w:cs="仿宋_GB2312"/>
          <w:b w:val="0"/>
          <w:bCs w:val="0"/>
          <w:color w:val="auto"/>
          <w:sz w:val="32"/>
          <w:szCs w:val="32"/>
          <w:highlight w:val="none"/>
          <w:lang w:val="en-US" w:eastAsia="zh-CN"/>
        </w:rPr>
        <w:t>包括</w:t>
      </w:r>
      <w:r>
        <w:rPr>
          <w:rFonts w:hint="eastAsia" w:ascii="仿宋_GB2312" w:hAnsi="仿宋_GB2312" w:eastAsia="仿宋_GB2312" w:cs="仿宋_GB2312"/>
          <w:b/>
          <w:bCs/>
          <w:color w:val="auto"/>
          <w:sz w:val="32"/>
          <w:szCs w:val="32"/>
          <w:highlight w:val="none"/>
          <w:lang w:val="en-US" w:eastAsia="zh-CN"/>
        </w:rPr>
        <w:t>[农业保险]、[企业财产保险]、[责任保险]、[信用保险]、[保证保险]、[工程保险]、[货物运输保险]、[机动车辆保险]、[意外伤害保险]、[人寿保险]、[年金保险]、[健康保险]。</w:t>
      </w:r>
      <w:r>
        <w:rPr>
          <w:rFonts w:hint="eastAsia" w:ascii="仿宋_GB2312" w:hAnsi="仿宋_GB2312" w:eastAsia="仿宋_GB2312" w:cs="仿宋_GB2312"/>
          <w:b w:val="0"/>
          <w:bCs w:val="0"/>
          <w:color w:val="auto"/>
          <w:sz w:val="32"/>
          <w:szCs w:val="32"/>
          <w:highlight w:val="none"/>
          <w:lang w:val="en-US" w:eastAsia="zh-CN"/>
        </w:rPr>
        <w:t>险种维度是通用维度，其分类及分类标准详见财产险公司险种维度、人身险公司险种维度有关险种分类及分类标准。</w:t>
      </w:r>
    </w:p>
    <w:p w14:paraId="7AE4D354">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[农业保险]</w:t>
      </w:r>
      <w:r>
        <w:rPr>
          <w:rFonts w:hint="eastAsia" w:ascii="仿宋_GB2312" w:hAnsi="仿宋_GB2312" w:eastAsia="仿宋_GB2312" w:cs="仿宋_GB2312"/>
          <w:b w:val="0"/>
          <w:bCs w:val="0"/>
          <w:color w:val="auto"/>
          <w:sz w:val="32"/>
          <w:szCs w:val="32"/>
          <w:highlight w:val="none"/>
          <w:lang w:val="en-US" w:eastAsia="zh-CN"/>
        </w:rPr>
        <w:t>根据政府是否给予财政补贴，分为</w:t>
      </w:r>
      <w:r>
        <w:rPr>
          <w:rFonts w:hint="eastAsia" w:ascii="仿宋_GB2312" w:hAnsi="仿宋_GB2312" w:eastAsia="仿宋_GB2312" w:cs="仿宋_GB2312"/>
          <w:b/>
          <w:bCs/>
          <w:color w:val="auto"/>
          <w:sz w:val="32"/>
          <w:szCs w:val="32"/>
          <w:highlight w:val="none"/>
          <w:lang w:val="en-US" w:eastAsia="zh-CN"/>
        </w:rPr>
        <w:t>[政策性农业保险]、[商业性农业保险]。</w:t>
      </w:r>
    </w:p>
    <w:p w14:paraId="563E26B8">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[信用保险]</w:t>
      </w:r>
      <w:r>
        <w:rPr>
          <w:rFonts w:hint="eastAsia" w:ascii="仿宋_GB2312" w:hAnsi="仿宋_GB2312" w:eastAsia="仿宋_GB2312" w:cs="仿宋_GB2312"/>
          <w:b w:val="0"/>
          <w:bCs w:val="0"/>
          <w:color w:val="auto"/>
          <w:sz w:val="32"/>
          <w:szCs w:val="32"/>
          <w:highlight w:val="none"/>
          <w:lang w:val="en-US" w:eastAsia="zh-CN"/>
        </w:rPr>
        <w:t>按照承保的保险标的是否为贷款，分为</w:t>
      </w:r>
      <w:r>
        <w:rPr>
          <w:rFonts w:hint="eastAsia" w:ascii="仿宋_GB2312" w:hAnsi="仿宋_GB2312" w:eastAsia="仿宋_GB2312" w:cs="仿宋_GB2312"/>
          <w:b/>
          <w:bCs/>
          <w:color w:val="auto"/>
          <w:sz w:val="32"/>
          <w:szCs w:val="32"/>
          <w:highlight w:val="none"/>
          <w:lang w:val="en-US" w:eastAsia="zh-CN"/>
        </w:rPr>
        <w:t>[融资性信用保险]、[非融资性信用保险]</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[非融资性信用保险]</w:t>
      </w:r>
      <w:r>
        <w:rPr>
          <w:rFonts w:hint="eastAsia" w:ascii="仿宋_GB2312" w:hAnsi="仿宋_GB2312" w:eastAsia="仿宋_GB2312" w:cs="仿宋_GB2312"/>
          <w:b w:val="0"/>
          <w:bCs w:val="0"/>
          <w:color w:val="auto"/>
          <w:sz w:val="32"/>
          <w:szCs w:val="32"/>
          <w:highlight w:val="none"/>
          <w:lang w:val="en-US" w:eastAsia="zh-CN"/>
        </w:rPr>
        <w:t>包括</w:t>
      </w:r>
      <w:r>
        <w:rPr>
          <w:rFonts w:hint="eastAsia" w:ascii="仿宋_GB2312" w:hAnsi="仿宋_GB2312" w:eastAsia="仿宋_GB2312" w:cs="仿宋_GB2312"/>
          <w:b/>
          <w:bCs/>
          <w:color w:val="auto"/>
          <w:sz w:val="32"/>
          <w:szCs w:val="32"/>
          <w:highlight w:val="none"/>
          <w:lang w:val="en-US" w:eastAsia="zh-CN"/>
        </w:rPr>
        <w:t>[出口信用保险]、[国内贸易信用保险]、[其他非融资信用保险]，[出口信用保险]</w:t>
      </w:r>
      <w:r>
        <w:rPr>
          <w:rFonts w:hint="eastAsia" w:ascii="仿宋_GB2312" w:hAnsi="仿宋_GB2312" w:eastAsia="仿宋_GB2312" w:cs="仿宋_GB2312"/>
          <w:b w:val="0"/>
          <w:bCs w:val="0"/>
          <w:color w:val="auto"/>
          <w:sz w:val="32"/>
          <w:szCs w:val="32"/>
          <w:highlight w:val="none"/>
          <w:lang w:val="en-US" w:eastAsia="zh-CN"/>
        </w:rPr>
        <w:t>根据保障期限长短，分为</w:t>
      </w:r>
      <w:r>
        <w:rPr>
          <w:rFonts w:hint="eastAsia" w:ascii="仿宋_GB2312" w:hAnsi="仿宋_GB2312" w:eastAsia="仿宋_GB2312" w:cs="仿宋_GB2312"/>
          <w:b/>
          <w:bCs/>
          <w:color w:val="auto"/>
          <w:sz w:val="32"/>
          <w:szCs w:val="32"/>
          <w:highlight w:val="none"/>
          <w:lang w:val="en-US" w:eastAsia="zh-CN"/>
        </w:rPr>
        <w:t>[短期出口信用保险]、[中长期出口信用保险]</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[短期出口信用保险]</w:t>
      </w:r>
      <w:r>
        <w:rPr>
          <w:rFonts w:hint="eastAsia" w:ascii="仿宋_GB2312" w:hAnsi="仿宋_GB2312" w:eastAsia="仿宋_GB2312" w:cs="仿宋_GB2312"/>
          <w:b w:val="0"/>
          <w:bCs w:val="0"/>
          <w:color w:val="auto"/>
          <w:sz w:val="32"/>
          <w:szCs w:val="32"/>
          <w:highlight w:val="none"/>
          <w:lang w:val="en-US" w:eastAsia="zh-CN"/>
        </w:rPr>
        <w:t>的信用期限一般在1年以内，最长不超过2年；</w:t>
      </w:r>
      <w:r>
        <w:rPr>
          <w:rFonts w:hint="eastAsia" w:ascii="仿宋_GB2312" w:hAnsi="仿宋_GB2312" w:eastAsia="仿宋_GB2312" w:cs="仿宋_GB2312"/>
          <w:b/>
          <w:bCs/>
          <w:color w:val="auto"/>
          <w:sz w:val="32"/>
          <w:szCs w:val="32"/>
          <w:highlight w:val="none"/>
          <w:lang w:val="en-US" w:eastAsia="zh-CN"/>
        </w:rPr>
        <w:t>[中长期出口信用保险]</w:t>
      </w:r>
      <w:r>
        <w:rPr>
          <w:rFonts w:hint="eastAsia" w:ascii="仿宋_GB2312" w:hAnsi="仿宋_GB2312" w:eastAsia="仿宋_GB2312" w:cs="仿宋_GB2312"/>
          <w:b w:val="0"/>
          <w:bCs w:val="0"/>
          <w:color w:val="auto"/>
          <w:sz w:val="32"/>
          <w:szCs w:val="32"/>
          <w:highlight w:val="none"/>
          <w:lang w:val="en-US" w:eastAsia="zh-CN"/>
        </w:rPr>
        <w:t>的信用期限在2年以上。除</w:t>
      </w:r>
      <w:r>
        <w:rPr>
          <w:rFonts w:hint="eastAsia" w:ascii="仿宋_GB2312" w:hAnsi="仿宋_GB2312" w:eastAsia="仿宋_GB2312" w:cs="仿宋_GB2312"/>
          <w:b/>
          <w:bCs/>
          <w:color w:val="auto"/>
          <w:sz w:val="32"/>
          <w:szCs w:val="32"/>
          <w:highlight w:val="none"/>
          <w:lang w:val="en-US" w:eastAsia="zh-CN"/>
        </w:rPr>
        <w:t>[小微企业财产保险]</w:t>
      </w:r>
      <w:r>
        <w:rPr>
          <w:rFonts w:hint="eastAsia" w:ascii="仿宋_GB2312" w:hAnsi="仿宋_GB2312" w:eastAsia="仿宋_GB2312" w:cs="仿宋_GB2312"/>
          <w:b w:val="0"/>
          <w:bCs w:val="0"/>
          <w:color w:val="auto"/>
          <w:sz w:val="32"/>
          <w:szCs w:val="32"/>
          <w:highlight w:val="none"/>
          <w:lang w:val="en-US" w:eastAsia="zh-CN"/>
        </w:rPr>
        <w:t>，其他普惠保险领域维度的</w:t>
      </w:r>
      <w:r>
        <w:rPr>
          <w:rFonts w:hint="eastAsia" w:ascii="仿宋_GB2312" w:hAnsi="仿宋_GB2312" w:eastAsia="仿宋_GB2312" w:cs="仿宋_GB2312"/>
          <w:b/>
          <w:bCs/>
          <w:color w:val="auto"/>
          <w:sz w:val="32"/>
          <w:szCs w:val="32"/>
          <w:highlight w:val="none"/>
          <w:lang w:val="en-US" w:eastAsia="zh-CN"/>
        </w:rPr>
        <w:t>[信用保险]</w:t>
      </w:r>
      <w:r>
        <w:rPr>
          <w:rFonts w:hint="eastAsia" w:ascii="仿宋_GB2312" w:hAnsi="仿宋_GB2312" w:eastAsia="仿宋_GB2312" w:cs="仿宋_GB2312"/>
          <w:b w:val="0"/>
          <w:bCs w:val="0"/>
          <w:color w:val="auto"/>
          <w:sz w:val="32"/>
          <w:szCs w:val="32"/>
          <w:highlight w:val="none"/>
          <w:lang w:val="en-US" w:eastAsia="zh-CN"/>
        </w:rPr>
        <w:t>险种不需按上述要求细分。</w:t>
      </w:r>
    </w:p>
    <w:p w14:paraId="1D9BAE37">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[保证保险]</w:t>
      </w:r>
      <w:r>
        <w:rPr>
          <w:rFonts w:hint="eastAsia" w:ascii="仿宋_GB2312" w:hAnsi="仿宋_GB2312" w:eastAsia="仿宋_GB2312" w:cs="仿宋_GB2312"/>
          <w:b w:val="0"/>
          <w:bCs w:val="0"/>
          <w:color w:val="auto"/>
          <w:sz w:val="32"/>
          <w:szCs w:val="32"/>
          <w:highlight w:val="none"/>
          <w:lang w:val="en-US" w:eastAsia="zh-CN"/>
        </w:rPr>
        <w:t>按照承保的保险标的是否为贷款，分为</w:t>
      </w:r>
      <w:r>
        <w:rPr>
          <w:rFonts w:hint="eastAsia" w:ascii="仿宋_GB2312" w:hAnsi="仿宋_GB2312" w:eastAsia="仿宋_GB2312" w:cs="仿宋_GB2312"/>
          <w:b/>
          <w:bCs/>
          <w:color w:val="auto"/>
          <w:sz w:val="32"/>
          <w:szCs w:val="32"/>
          <w:highlight w:val="none"/>
          <w:lang w:val="en-US" w:eastAsia="zh-CN"/>
        </w:rPr>
        <w:t>[融资性保证保险]、[非融资性保证保险]。</w:t>
      </w:r>
      <w:r>
        <w:rPr>
          <w:rFonts w:hint="eastAsia" w:ascii="仿宋_GB2312" w:hAnsi="仿宋_GB2312" w:eastAsia="仿宋_GB2312" w:cs="仿宋_GB2312"/>
          <w:b w:val="0"/>
          <w:bCs w:val="0"/>
          <w:color w:val="auto"/>
          <w:sz w:val="32"/>
          <w:szCs w:val="32"/>
          <w:highlight w:val="none"/>
          <w:lang w:val="en-US" w:eastAsia="zh-CN"/>
        </w:rPr>
        <w:t>除</w:t>
      </w:r>
      <w:r>
        <w:rPr>
          <w:rFonts w:hint="eastAsia" w:ascii="仿宋_GB2312" w:hAnsi="仿宋_GB2312" w:eastAsia="仿宋_GB2312" w:cs="仿宋_GB2312"/>
          <w:b/>
          <w:bCs/>
          <w:color w:val="auto"/>
          <w:sz w:val="32"/>
          <w:szCs w:val="32"/>
          <w:highlight w:val="none"/>
          <w:lang w:val="en-US" w:eastAsia="zh-CN"/>
        </w:rPr>
        <w:t>[小微企业财产保险]</w:t>
      </w:r>
      <w:r>
        <w:rPr>
          <w:rFonts w:hint="eastAsia" w:ascii="仿宋_GB2312" w:hAnsi="仿宋_GB2312" w:eastAsia="仿宋_GB2312" w:cs="仿宋_GB2312"/>
          <w:b w:val="0"/>
          <w:bCs w:val="0"/>
          <w:color w:val="auto"/>
          <w:sz w:val="32"/>
          <w:szCs w:val="32"/>
          <w:highlight w:val="none"/>
          <w:lang w:val="en-US" w:eastAsia="zh-CN"/>
        </w:rPr>
        <w:t>，其他普惠保险领域维度的</w:t>
      </w:r>
      <w:r>
        <w:rPr>
          <w:rFonts w:hint="eastAsia" w:ascii="仿宋_GB2312" w:hAnsi="仿宋_GB2312" w:eastAsia="仿宋_GB2312" w:cs="仿宋_GB2312"/>
          <w:b/>
          <w:bCs/>
          <w:color w:val="auto"/>
          <w:sz w:val="32"/>
          <w:szCs w:val="32"/>
          <w:highlight w:val="none"/>
          <w:lang w:val="en-US" w:eastAsia="zh-CN"/>
        </w:rPr>
        <w:t>[保证保险]</w:t>
      </w:r>
      <w:r>
        <w:rPr>
          <w:rFonts w:hint="eastAsia" w:ascii="仿宋_GB2312" w:hAnsi="仿宋_GB2312" w:eastAsia="仿宋_GB2312" w:cs="仿宋_GB2312"/>
          <w:b w:val="0"/>
          <w:bCs w:val="0"/>
          <w:color w:val="auto"/>
          <w:sz w:val="32"/>
          <w:szCs w:val="32"/>
          <w:highlight w:val="none"/>
          <w:lang w:val="en-US" w:eastAsia="zh-CN"/>
        </w:rPr>
        <w:t>险种不需按上述要求细分。</w:t>
      </w:r>
    </w:p>
    <w:p w14:paraId="40D083F6">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2.普惠保险产品维度。</w:t>
      </w:r>
      <w:r>
        <w:rPr>
          <w:rFonts w:hint="eastAsia" w:ascii="仿宋_GB2312" w:hAnsi="仿宋_GB2312" w:eastAsia="仿宋_GB2312" w:cs="仿宋_GB2312"/>
          <w:b w:val="0"/>
          <w:bCs w:val="0"/>
          <w:color w:val="auto"/>
          <w:sz w:val="32"/>
          <w:szCs w:val="32"/>
          <w:highlight w:val="none"/>
          <w:lang w:val="en-US" w:eastAsia="zh-CN"/>
        </w:rPr>
        <w:t>普惠保险是指保险机构依据《国家金融监督管理总局关于推进普惠保险高质量发展的指导意见》（金发〔2024〕13号）开展的保险产品服务。普惠保险根据各险种保险标的所属领域的不同，分为</w:t>
      </w:r>
      <w:r>
        <w:rPr>
          <w:rFonts w:hint="eastAsia" w:ascii="仿宋_GB2312" w:hAnsi="仿宋_GB2312" w:eastAsia="仿宋_GB2312" w:cs="仿宋_GB2312"/>
          <w:b/>
          <w:bCs/>
          <w:color w:val="auto"/>
          <w:sz w:val="32"/>
          <w:szCs w:val="32"/>
          <w:highlight w:val="none"/>
          <w:lang w:val="en-US" w:eastAsia="zh-CN"/>
        </w:rPr>
        <w:t>[普惠涉农保险]、[普惠小微保险]、[特定群体保险]、[城市定制型普惠保险]。</w:t>
      </w:r>
      <w:r>
        <w:rPr>
          <w:rFonts w:hint="eastAsia" w:ascii="仿宋_GB2312" w:hAnsi="仿宋_GB2312" w:eastAsia="仿宋_GB2312" w:cs="仿宋_GB2312"/>
          <w:b w:val="0"/>
          <w:bCs w:val="0"/>
          <w:color w:val="auto"/>
          <w:sz w:val="32"/>
          <w:szCs w:val="32"/>
          <w:highlight w:val="none"/>
          <w:lang w:val="en-US" w:eastAsia="zh-CN"/>
        </w:rPr>
        <w:t>普惠保险产品是具体产品和服务层面的维度，与险种领域并列。</w:t>
      </w:r>
    </w:p>
    <w:p w14:paraId="0A2D52E3">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[普惠涉农保险]</w:t>
      </w:r>
      <w:r>
        <w:rPr>
          <w:rFonts w:hint="eastAsia" w:ascii="仿宋_GB2312" w:hAnsi="仿宋_GB2312" w:eastAsia="仿宋_GB2312" w:cs="仿宋_GB2312"/>
          <w:b w:val="0"/>
          <w:bCs w:val="0"/>
          <w:color w:val="auto"/>
          <w:sz w:val="32"/>
          <w:szCs w:val="32"/>
          <w:highlight w:val="none"/>
          <w:lang w:val="en-US" w:eastAsia="zh-CN"/>
        </w:rPr>
        <w:t>的二级领域包括</w:t>
      </w:r>
      <w:r>
        <w:rPr>
          <w:rFonts w:hint="eastAsia" w:ascii="仿宋_GB2312" w:hAnsi="仿宋_GB2312" w:eastAsia="仿宋_GB2312" w:cs="仿宋_GB2312"/>
          <w:b/>
          <w:bCs/>
          <w:color w:val="auto"/>
          <w:sz w:val="32"/>
          <w:szCs w:val="32"/>
          <w:highlight w:val="none"/>
          <w:lang w:val="en-US" w:eastAsia="zh-CN"/>
        </w:rPr>
        <w:t>[农业保险]、[农机保险]、[农房保险]、[农田保险]、[乡村人口人身保险]。[农机保险]、[农房保险]、[农田保险]、[乡村人口人身保险]</w:t>
      </w:r>
      <w:r>
        <w:rPr>
          <w:rFonts w:hint="eastAsia" w:ascii="仿宋_GB2312" w:hAnsi="仿宋_GB2312" w:eastAsia="仿宋_GB2312" w:cs="仿宋_GB2312"/>
          <w:b w:val="0"/>
          <w:bCs w:val="0"/>
          <w:color w:val="auto"/>
          <w:sz w:val="32"/>
          <w:szCs w:val="32"/>
          <w:highlight w:val="none"/>
          <w:lang w:val="en-US" w:eastAsia="zh-CN"/>
        </w:rPr>
        <w:t>是涉农保险，是指除</w:t>
      </w:r>
      <w:r>
        <w:rPr>
          <w:rFonts w:hint="eastAsia" w:ascii="仿宋_GB2312" w:hAnsi="仿宋_GB2312" w:eastAsia="仿宋_GB2312" w:cs="仿宋_GB2312"/>
          <w:b/>
          <w:bCs/>
          <w:color w:val="auto"/>
          <w:sz w:val="32"/>
          <w:szCs w:val="32"/>
          <w:highlight w:val="none"/>
          <w:lang w:val="en-US" w:eastAsia="zh-CN"/>
        </w:rPr>
        <w:t>[农业保险]</w:t>
      </w:r>
      <w:r>
        <w:rPr>
          <w:rFonts w:hint="eastAsia" w:ascii="仿宋_GB2312" w:hAnsi="仿宋_GB2312" w:eastAsia="仿宋_GB2312" w:cs="仿宋_GB2312"/>
          <w:b w:val="0"/>
          <w:bCs w:val="0"/>
          <w:color w:val="auto"/>
          <w:sz w:val="32"/>
          <w:szCs w:val="32"/>
          <w:highlight w:val="none"/>
          <w:lang w:val="en-US" w:eastAsia="zh-CN"/>
        </w:rPr>
        <w:t>以外的其他险种的保险标的涉及到农业服务业、农村、农民。其中，财产保险标的涉及农用机械、农用设备、农用设施、农房等农业生产生活资料，以及农产品储藏和运输、农产品初级加工、农业信贷、农产品销售等活动的；人身保险标的涉及农民的寿命和身体等方面的。</w:t>
      </w:r>
    </w:p>
    <w:p w14:paraId="5ED15CB9">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[农田保险]</w:t>
      </w:r>
      <w:r>
        <w:rPr>
          <w:rFonts w:hint="eastAsia" w:ascii="仿宋_GB2312" w:hAnsi="仿宋_GB2312" w:eastAsia="仿宋_GB2312" w:cs="仿宋_GB2312"/>
          <w:b w:val="0"/>
          <w:bCs w:val="0"/>
          <w:color w:val="auto"/>
          <w:sz w:val="32"/>
          <w:szCs w:val="32"/>
          <w:highlight w:val="none"/>
          <w:lang w:val="en-US" w:eastAsia="zh-CN"/>
        </w:rPr>
        <w:t>的三级领域包括</w:t>
      </w:r>
      <w:r>
        <w:rPr>
          <w:rFonts w:hint="eastAsia" w:ascii="仿宋_GB2312" w:hAnsi="仿宋_GB2312" w:eastAsia="仿宋_GB2312" w:cs="仿宋_GB2312"/>
          <w:b/>
          <w:bCs/>
          <w:color w:val="auto"/>
          <w:sz w:val="32"/>
          <w:szCs w:val="32"/>
          <w:highlight w:val="none"/>
          <w:lang w:val="en-US" w:eastAsia="zh-CN"/>
        </w:rPr>
        <w:t>[高标准农田建设工程质量保险]、[农田设施损毁综合保险]、[其他农田保险]</w:t>
      </w:r>
      <w:r>
        <w:rPr>
          <w:rFonts w:hint="eastAsia" w:ascii="仿宋_GB2312" w:hAnsi="仿宋_GB2312" w:eastAsia="仿宋_GB2312" w:cs="仿宋_GB2312"/>
          <w:b w:val="0"/>
          <w:bCs w:val="0"/>
          <w:color w:val="auto"/>
          <w:sz w:val="32"/>
          <w:szCs w:val="32"/>
          <w:highlight w:val="none"/>
          <w:lang w:val="en-US" w:eastAsia="zh-CN"/>
        </w:rPr>
        <w:t>，适用于除</w:t>
      </w:r>
      <w:r>
        <w:rPr>
          <w:rFonts w:hint="eastAsia" w:ascii="仿宋_GB2312" w:hAnsi="仿宋_GB2312" w:eastAsia="仿宋_GB2312" w:cs="仿宋_GB2312"/>
          <w:b/>
          <w:bCs/>
          <w:color w:val="auto"/>
          <w:sz w:val="32"/>
          <w:szCs w:val="32"/>
          <w:highlight w:val="none"/>
          <w:lang w:val="en-US" w:eastAsia="zh-CN"/>
        </w:rPr>
        <w:t>[农业保险]</w:t>
      </w:r>
      <w:r>
        <w:rPr>
          <w:rFonts w:hint="eastAsia" w:ascii="仿宋_GB2312" w:hAnsi="仿宋_GB2312" w:eastAsia="仿宋_GB2312" w:cs="仿宋_GB2312"/>
          <w:b w:val="0"/>
          <w:bCs w:val="0"/>
          <w:color w:val="auto"/>
          <w:sz w:val="32"/>
          <w:szCs w:val="32"/>
          <w:highlight w:val="none"/>
          <w:lang w:val="en-US" w:eastAsia="zh-CN"/>
        </w:rPr>
        <w:t>以外的其他财产保险的险种。其中，</w:t>
      </w:r>
      <w:r>
        <w:rPr>
          <w:rFonts w:hint="eastAsia" w:ascii="仿宋_GB2312" w:hAnsi="仿宋_GB2312" w:eastAsia="仿宋_GB2312" w:cs="仿宋_GB2312"/>
          <w:b/>
          <w:bCs/>
          <w:color w:val="auto"/>
          <w:sz w:val="32"/>
          <w:szCs w:val="32"/>
          <w:highlight w:val="none"/>
          <w:lang w:val="en-US" w:eastAsia="zh-CN"/>
        </w:rPr>
        <w:t>[高标准农田建设工程质量保险]</w:t>
      </w:r>
      <w:r>
        <w:rPr>
          <w:rFonts w:hint="eastAsia" w:ascii="仿宋_GB2312" w:hAnsi="仿宋_GB2312" w:eastAsia="仿宋_GB2312" w:cs="仿宋_GB2312"/>
          <w:b w:val="0"/>
          <w:bCs w:val="0"/>
          <w:color w:val="auto"/>
          <w:sz w:val="32"/>
          <w:szCs w:val="32"/>
          <w:highlight w:val="none"/>
          <w:lang w:val="en-US" w:eastAsia="zh-CN"/>
        </w:rPr>
        <w:t>是指针对高标准农田工程质量的农田保险，四级领域包括</w:t>
      </w:r>
      <w:r>
        <w:rPr>
          <w:rFonts w:hint="eastAsia" w:ascii="仿宋_GB2312" w:hAnsi="仿宋_GB2312" w:eastAsia="仿宋_GB2312" w:cs="仿宋_GB2312"/>
          <w:b/>
          <w:bCs/>
          <w:color w:val="auto"/>
          <w:sz w:val="32"/>
          <w:szCs w:val="32"/>
          <w:highlight w:val="none"/>
          <w:lang w:val="en-US" w:eastAsia="zh-CN"/>
        </w:rPr>
        <w:t>[高标准农田建设工程质量潜在缺陷责任保险]、[其他高标准农田建设工程质量保险]，[高标准农田建设工程质量潜在缺陷责任保险]</w:t>
      </w:r>
      <w:r>
        <w:rPr>
          <w:rFonts w:hint="eastAsia" w:ascii="仿宋_GB2312" w:hAnsi="仿宋_GB2312" w:eastAsia="仿宋_GB2312" w:cs="仿宋_GB2312"/>
          <w:b w:val="0"/>
          <w:bCs w:val="0"/>
          <w:color w:val="auto"/>
          <w:sz w:val="32"/>
          <w:szCs w:val="32"/>
          <w:highlight w:val="none"/>
          <w:lang w:val="en-US" w:eastAsia="zh-CN"/>
        </w:rPr>
        <w:t>是针对高标准农田，保障因建设工程质量潜在缺陷造成建设工程整体或局部出现裂缝、坍塌、不均匀沉降和渗漏等损坏，而发生的修理、加固或重置的费用，适用的险种是</w:t>
      </w:r>
      <w:r>
        <w:rPr>
          <w:rFonts w:hint="eastAsia" w:ascii="仿宋_GB2312" w:hAnsi="仿宋_GB2312" w:eastAsia="仿宋_GB2312" w:cs="仿宋_GB2312"/>
          <w:b/>
          <w:bCs/>
          <w:color w:val="auto"/>
          <w:sz w:val="32"/>
          <w:szCs w:val="32"/>
          <w:highlight w:val="none"/>
          <w:lang w:val="en-US" w:eastAsia="zh-CN"/>
        </w:rPr>
        <w:t>[责任保险]</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[农田设施损毁保险]</w:t>
      </w:r>
      <w:r>
        <w:rPr>
          <w:rFonts w:hint="eastAsia" w:ascii="仿宋_GB2312" w:hAnsi="仿宋_GB2312" w:eastAsia="仿宋_GB2312" w:cs="仿宋_GB2312"/>
          <w:b w:val="0"/>
          <w:bCs w:val="0"/>
          <w:color w:val="auto"/>
          <w:sz w:val="32"/>
          <w:szCs w:val="32"/>
          <w:highlight w:val="none"/>
          <w:lang w:val="en-US" w:eastAsia="zh-CN"/>
        </w:rPr>
        <w:t>是指针对在建或已建成农田，保障因为火灾、爆炸、自然灾害等原因造成的农田损失、第三者责任以及设施维修费用等。</w:t>
      </w:r>
    </w:p>
    <w:p w14:paraId="1E265B83">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[乡村人口人身保险]</w:t>
      </w:r>
      <w:r>
        <w:rPr>
          <w:rFonts w:hint="eastAsia" w:ascii="仿宋_GB2312" w:hAnsi="仿宋_GB2312" w:eastAsia="仿宋_GB2312" w:cs="仿宋_GB2312"/>
          <w:b w:val="0"/>
          <w:bCs w:val="0"/>
          <w:color w:val="auto"/>
          <w:sz w:val="32"/>
          <w:szCs w:val="32"/>
          <w:highlight w:val="none"/>
          <w:lang w:val="en-US" w:eastAsia="zh-CN"/>
        </w:rPr>
        <w:t>是指为乡村人口承保的人身保险业务。其中，乡村人口是指乡村户数内的常住人口。即经常在家或在家居住6个月以上，而且经济和生活与本户连成一体的人口。外出从业人员在外居住时间虽然在6个月以上，但收入主要带回家中，经济与本户连为一体，仍视为家庭常住人口；在家居住，生活和本户连成一体的国家职工、退休人员也为家庭常住人口。但是现役军人、中专及以上（走读生除外）的在校学生、以及常年在外（不包括探亲、看病等）且已有稳定的职业与居住场所的外出从业人员，不应当作家庭常住人口。其中，乡村户数是指长期（一年以上）居住在乡镇（不包括城关镇）行政管理区域内的住户，还包括居住在城关镇所辖行政村范围内的农村住户。户口不在本地而在本地居住一年及以上的住户也包括在本地农村住户内；有本地户口，但举家外出谋生一年以上的住户，无论是否保留承包耕地都不包括在本地农村住户范围内。不包括乡村地区内的国有经济的机关、团体、学校、企业、事业单位的集体户。如果无法判定是否为乡村人口，可参考住址、职业进行判断。</w:t>
      </w:r>
      <w:r>
        <w:rPr>
          <w:rFonts w:hint="eastAsia" w:ascii="仿宋_GB2312" w:hAnsi="仿宋_GB2312" w:eastAsia="仿宋_GB2312" w:cs="仿宋_GB2312"/>
          <w:b/>
          <w:bCs/>
          <w:color w:val="auto"/>
          <w:sz w:val="32"/>
          <w:szCs w:val="32"/>
          <w:highlight w:val="none"/>
          <w:lang w:val="en-US" w:eastAsia="zh-CN"/>
        </w:rPr>
        <w:t>[乡村人口人身保险]</w:t>
      </w:r>
      <w:r>
        <w:rPr>
          <w:rFonts w:hint="eastAsia" w:ascii="仿宋_GB2312" w:hAnsi="仿宋_GB2312" w:eastAsia="仿宋_GB2312" w:cs="仿宋_GB2312"/>
          <w:b w:val="0"/>
          <w:bCs w:val="0"/>
          <w:color w:val="auto"/>
          <w:sz w:val="32"/>
          <w:szCs w:val="32"/>
          <w:highlight w:val="none"/>
          <w:lang w:val="en-US" w:eastAsia="zh-CN"/>
        </w:rPr>
        <w:t>适用的险种为</w:t>
      </w:r>
      <w:r>
        <w:rPr>
          <w:rFonts w:hint="eastAsia" w:ascii="仿宋_GB2312" w:hAnsi="仿宋_GB2312" w:eastAsia="仿宋_GB2312" w:cs="仿宋_GB2312"/>
          <w:b/>
          <w:bCs/>
          <w:color w:val="auto"/>
          <w:sz w:val="32"/>
          <w:szCs w:val="32"/>
          <w:highlight w:val="none"/>
          <w:lang w:val="en-US" w:eastAsia="zh-CN"/>
        </w:rPr>
        <w:t>[人寿保险]、[健康保险]、[意外伤害保险]。</w:t>
      </w:r>
    </w:p>
    <w:p w14:paraId="112B353B">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[普惠小微保险]</w:t>
      </w:r>
      <w:r>
        <w:rPr>
          <w:rFonts w:hint="eastAsia" w:ascii="仿宋_GB2312" w:hAnsi="仿宋_GB2312" w:eastAsia="仿宋_GB2312" w:cs="仿宋_GB2312"/>
          <w:b w:val="0"/>
          <w:bCs w:val="0"/>
          <w:color w:val="auto"/>
          <w:sz w:val="32"/>
          <w:szCs w:val="32"/>
          <w:highlight w:val="none"/>
          <w:lang w:val="en-US" w:eastAsia="zh-CN"/>
        </w:rPr>
        <w:t>的二级领域包括</w:t>
      </w:r>
      <w:r>
        <w:rPr>
          <w:rFonts w:hint="eastAsia" w:ascii="仿宋_GB2312" w:hAnsi="仿宋_GB2312" w:eastAsia="仿宋_GB2312" w:cs="仿宋_GB2312"/>
          <w:b/>
          <w:bCs/>
          <w:color w:val="auto"/>
          <w:sz w:val="32"/>
          <w:szCs w:val="32"/>
          <w:highlight w:val="none"/>
          <w:lang w:val="en-US" w:eastAsia="zh-CN"/>
        </w:rPr>
        <w:t>[小微企业财产保险]、[个体工商户财产保险]、[个体工商户人身保险]、[小微企业法定代表人人身保险]、[小微企业团体意外伤害保险]、[小微企业团体健康保险（不含大病保险）]</w:t>
      </w:r>
      <w:r>
        <w:rPr>
          <w:rFonts w:hint="eastAsia" w:ascii="仿宋_GB2312" w:hAnsi="仿宋_GB2312" w:eastAsia="仿宋_GB2312" w:cs="仿宋_GB2312"/>
          <w:b w:val="0"/>
          <w:bCs w:val="0"/>
          <w:color w:val="auto"/>
          <w:sz w:val="32"/>
          <w:szCs w:val="32"/>
          <w:highlight w:val="none"/>
          <w:lang w:val="en-US" w:eastAsia="zh-CN"/>
        </w:rPr>
        <w:t>。</w:t>
      </w:r>
    </w:p>
    <w:p w14:paraId="291A6AF7">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[小微企业财产保险]</w:t>
      </w:r>
      <w:r>
        <w:rPr>
          <w:rFonts w:hint="eastAsia" w:ascii="仿宋_GB2312" w:hAnsi="仿宋_GB2312" w:eastAsia="仿宋_GB2312" w:cs="仿宋_GB2312"/>
          <w:b w:val="0"/>
          <w:bCs w:val="0"/>
          <w:color w:val="auto"/>
          <w:sz w:val="32"/>
          <w:szCs w:val="32"/>
          <w:highlight w:val="none"/>
          <w:lang w:val="en-US" w:eastAsia="zh-CN"/>
        </w:rPr>
        <w:t>是指为小微企业承保的各类财产保险业务。小微企业按照工业和信息化部牵头制定的《中小企业划型标准规定》有关小型微型企业的标准划定。适用的险种包括</w:t>
      </w:r>
      <w:r>
        <w:rPr>
          <w:rFonts w:hint="eastAsia" w:ascii="仿宋_GB2312" w:hAnsi="仿宋_GB2312" w:eastAsia="仿宋_GB2312" w:cs="仿宋_GB2312"/>
          <w:b/>
          <w:bCs/>
          <w:color w:val="auto"/>
          <w:sz w:val="32"/>
          <w:szCs w:val="32"/>
          <w:highlight w:val="none"/>
          <w:lang w:val="en-US" w:eastAsia="zh-CN"/>
        </w:rPr>
        <w:t>[企业财产保险]、[责任保险]、[信用保险]、[保证保险]、[工程保险]、[货物运输保险]、[机动车辆保险]</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[信用保险]、[保证保险]</w:t>
      </w:r>
      <w:r>
        <w:rPr>
          <w:rFonts w:hint="eastAsia" w:ascii="仿宋_GB2312" w:hAnsi="仿宋_GB2312" w:eastAsia="仿宋_GB2312" w:cs="仿宋_GB2312"/>
          <w:b w:val="0"/>
          <w:bCs w:val="0"/>
          <w:color w:val="auto"/>
          <w:sz w:val="32"/>
          <w:szCs w:val="32"/>
          <w:highlight w:val="none"/>
          <w:lang w:val="en-US" w:eastAsia="zh-CN"/>
        </w:rPr>
        <w:t>下的</w:t>
      </w:r>
      <w:r>
        <w:rPr>
          <w:rFonts w:hint="eastAsia" w:ascii="仿宋_GB2312" w:hAnsi="仿宋_GB2312" w:eastAsia="仿宋_GB2312" w:cs="仿宋_GB2312"/>
          <w:b/>
          <w:bCs/>
          <w:color w:val="auto"/>
          <w:sz w:val="32"/>
          <w:szCs w:val="32"/>
          <w:highlight w:val="none"/>
          <w:lang w:val="en-US" w:eastAsia="zh-CN"/>
        </w:rPr>
        <w:t>[融资性信用保险]、[融资性保证保险]</w:t>
      </w:r>
      <w:r>
        <w:rPr>
          <w:rFonts w:hint="eastAsia" w:ascii="仿宋_GB2312" w:hAnsi="仿宋_GB2312" w:eastAsia="仿宋_GB2312" w:cs="仿宋_GB2312"/>
          <w:b w:val="0"/>
          <w:bCs w:val="0"/>
          <w:color w:val="auto"/>
          <w:sz w:val="32"/>
          <w:szCs w:val="32"/>
          <w:highlight w:val="none"/>
          <w:lang w:val="en-US" w:eastAsia="zh-CN"/>
        </w:rPr>
        <w:t>承保的小微企业贷款是指符合工业和信息化部牵头制定的《中小企业划型标准规定》划型标准的小型、微型企业贷款，以及用于生产经营的小微企业主贷款。小微企业主包括小微企业法定代表人及其配偶、企业主要股东、实际控制人。主要股东指持股比例20%以上，或者虽然持股比例不到20%但在企业担任高管的实际经营人。实际控制人按照《中华人民共和国公司法》第265条规定，指通过投资关系、协议或者其他安排，能够实际支配公司行为的人。</w:t>
      </w:r>
    </w:p>
    <w:p w14:paraId="5EAAE437">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[个体工商户财产保险]</w:t>
      </w:r>
      <w:r>
        <w:rPr>
          <w:rFonts w:hint="eastAsia" w:ascii="仿宋_GB2312" w:hAnsi="仿宋_GB2312" w:eastAsia="仿宋_GB2312" w:cs="仿宋_GB2312"/>
          <w:b w:val="0"/>
          <w:bCs w:val="0"/>
          <w:color w:val="auto"/>
          <w:sz w:val="32"/>
          <w:szCs w:val="32"/>
          <w:highlight w:val="none"/>
          <w:lang w:val="en-US" w:eastAsia="zh-CN"/>
        </w:rPr>
        <w:t>是指</w:t>
      </w:r>
      <w:r>
        <w:rPr>
          <w:rFonts w:hint="default" w:ascii="仿宋_GB2312" w:hAnsi="仿宋_GB2312" w:eastAsia="仿宋_GB2312" w:cs="仿宋_GB2312"/>
          <w:b w:val="0"/>
          <w:bCs w:val="0"/>
          <w:color w:val="auto"/>
          <w:sz w:val="32"/>
          <w:szCs w:val="32"/>
          <w:highlight w:val="none"/>
          <w:lang w:val="en-US" w:eastAsia="zh-CN"/>
        </w:rPr>
        <w:t>为个体工商户承保的各类财产保险业务。其中，个体工商户指持有个体工商户营业执照的个人经营者。</w:t>
      </w:r>
      <w:r>
        <w:rPr>
          <w:rFonts w:hint="eastAsia" w:ascii="仿宋_GB2312" w:hAnsi="仿宋_GB2312" w:eastAsia="仿宋_GB2312" w:cs="仿宋_GB2312"/>
          <w:b w:val="0"/>
          <w:bCs w:val="0"/>
          <w:color w:val="auto"/>
          <w:sz w:val="32"/>
          <w:szCs w:val="32"/>
          <w:highlight w:val="none"/>
          <w:lang w:val="en-US" w:eastAsia="zh-CN"/>
        </w:rPr>
        <w:t>适用于财产保险的险种。</w:t>
      </w:r>
    </w:p>
    <w:p w14:paraId="15FDB2F5">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[个体工商户人身保险]</w:t>
      </w:r>
      <w:r>
        <w:rPr>
          <w:rFonts w:hint="eastAsia" w:ascii="仿宋_GB2312" w:hAnsi="仿宋_GB2312" w:eastAsia="仿宋_GB2312" w:cs="仿宋_GB2312"/>
          <w:b w:val="0"/>
          <w:bCs w:val="0"/>
          <w:color w:val="auto"/>
          <w:sz w:val="32"/>
          <w:szCs w:val="32"/>
          <w:highlight w:val="none"/>
          <w:lang w:val="en-US" w:eastAsia="zh-CN"/>
        </w:rPr>
        <w:t>是</w:t>
      </w:r>
      <w:r>
        <w:rPr>
          <w:rFonts w:hint="default" w:ascii="仿宋_GB2312" w:hAnsi="仿宋_GB2312" w:eastAsia="仿宋_GB2312" w:cs="仿宋_GB2312"/>
          <w:b w:val="0"/>
          <w:bCs w:val="0"/>
          <w:color w:val="auto"/>
          <w:sz w:val="32"/>
          <w:szCs w:val="32"/>
          <w:highlight w:val="none"/>
          <w:lang w:val="en-US" w:eastAsia="zh-CN"/>
        </w:rPr>
        <w:t>指为个体工商户（为被保险人）承保的人身保险业务。其中，个体工商户指持有个体工商户营业执照的个人经营者。</w:t>
      </w:r>
      <w:r>
        <w:rPr>
          <w:rFonts w:hint="eastAsia" w:ascii="仿宋_GB2312" w:hAnsi="仿宋_GB2312" w:eastAsia="仿宋_GB2312" w:cs="仿宋_GB2312"/>
          <w:b w:val="0"/>
          <w:bCs w:val="0"/>
          <w:color w:val="auto"/>
          <w:sz w:val="32"/>
          <w:szCs w:val="32"/>
          <w:highlight w:val="none"/>
          <w:lang w:val="en-US" w:eastAsia="zh-CN"/>
        </w:rPr>
        <w:t>适用于人身保险的险种。</w:t>
      </w:r>
    </w:p>
    <w:p w14:paraId="5BE3B3C6">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[小微企业团体意外伤害保险]</w:t>
      </w:r>
      <w:r>
        <w:rPr>
          <w:rFonts w:hint="eastAsia" w:ascii="仿宋_GB2312" w:hAnsi="仿宋_GB2312" w:eastAsia="仿宋_GB2312" w:cs="仿宋_GB2312"/>
          <w:b w:val="0"/>
          <w:bCs w:val="0"/>
          <w:color w:val="auto"/>
          <w:sz w:val="32"/>
          <w:szCs w:val="32"/>
          <w:highlight w:val="none"/>
          <w:lang w:val="en-US" w:eastAsia="zh-CN"/>
        </w:rPr>
        <w:t>是指</w:t>
      </w:r>
      <w:r>
        <w:rPr>
          <w:rFonts w:hint="default" w:ascii="仿宋_GB2312" w:hAnsi="仿宋_GB2312" w:eastAsia="仿宋_GB2312" w:cs="仿宋_GB2312"/>
          <w:b w:val="0"/>
          <w:bCs w:val="0"/>
          <w:color w:val="auto"/>
          <w:sz w:val="32"/>
          <w:szCs w:val="32"/>
          <w:highlight w:val="none"/>
          <w:lang w:val="en-US" w:eastAsia="zh-CN"/>
        </w:rPr>
        <w:t>为小微企业员工购买的团体意外伤害保险。小微企业按照工业和信息化部牵头制定的《中小企业划型标准规定》有关小型微型企业的标准划定。</w:t>
      </w:r>
      <w:r>
        <w:rPr>
          <w:rFonts w:hint="eastAsia" w:ascii="仿宋_GB2312" w:hAnsi="仿宋_GB2312" w:eastAsia="仿宋_GB2312" w:cs="仿宋_GB2312"/>
          <w:b w:val="0"/>
          <w:bCs w:val="0"/>
          <w:color w:val="auto"/>
          <w:sz w:val="32"/>
          <w:szCs w:val="32"/>
          <w:highlight w:val="none"/>
          <w:lang w:val="en-US" w:eastAsia="zh-CN"/>
        </w:rPr>
        <w:t>适用的险种是</w:t>
      </w:r>
      <w:r>
        <w:rPr>
          <w:rFonts w:hint="eastAsia" w:ascii="仿宋_GB2312" w:hAnsi="仿宋_GB2312" w:eastAsia="仿宋_GB2312" w:cs="仿宋_GB2312"/>
          <w:b/>
          <w:bCs/>
          <w:color w:val="auto"/>
          <w:sz w:val="32"/>
          <w:szCs w:val="32"/>
          <w:highlight w:val="none"/>
          <w:lang w:val="en-US" w:eastAsia="zh-CN"/>
        </w:rPr>
        <w:t>[意外伤害保险]</w:t>
      </w:r>
      <w:r>
        <w:rPr>
          <w:rFonts w:hint="eastAsia" w:ascii="仿宋_GB2312" w:hAnsi="仿宋_GB2312" w:eastAsia="仿宋_GB2312" w:cs="仿宋_GB2312"/>
          <w:b w:val="0"/>
          <w:bCs w:val="0"/>
          <w:color w:val="auto"/>
          <w:sz w:val="32"/>
          <w:szCs w:val="32"/>
          <w:highlight w:val="none"/>
          <w:lang w:val="en-US" w:eastAsia="zh-CN"/>
        </w:rPr>
        <w:t>。</w:t>
      </w:r>
    </w:p>
    <w:p w14:paraId="42C74D9D">
      <w:pPr>
        <w:pStyle w:val="57"/>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[小微企业团体健康险（不含大病保险）]</w:t>
      </w:r>
      <w:r>
        <w:rPr>
          <w:rFonts w:hint="eastAsia" w:ascii="仿宋_GB2312" w:hAnsi="仿宋_GB2312" w:eastAsia="仿宋_GB2312" w:cs="仿宋_GB2312"/>
          <w:b w:val="0"/>
          <w:bCs w:val="0"/>
          <w:color w:val="auto"/>
          <w:sz w:val="32"/>
          <w:szCs w:val="32"/>
          <w:highlight w:val="none"/>
          <w:lang w:val="en-US" w:eastAsia="zh-CN"/>
        </w:rPr>
        <w:t>是指</w:t>
      </w:r>
      <w:r>
        <w:rPr>
          <w:rFonts w:hint="default" w:ascii="仿宋_GB2312" w:hAnsi="仿宋_GB2312" w:eastAsia="仿宋_GB2312" w:cs="仿宋_GB2312"/>
          <w:b w:val="0"/>
          <w:bCs w:val="0"/>
          <w:color w:val="auto"/>
          <w:sz w:val="32"/>
          <w:szCs w:val="32"/>
          <w:highlight w:val="none"/>
          <w:lang w:val="en-US" w:eastAsia="zh-CN"/>
        </w:rPr>
        <w:t>为小微企业员工购买的团体健康险。小微企业按照工业和信息化部牵头制定的《中小企业划型标准规定》有关小型微型企业的标准划定</w:t>
      </w:r>
      <w:r>
        <w:rPr>
          <w:rFonts w:hint="eastAsia" w:ascii="仿宋_GB2312" w:hAnsi="仿宋_GB2312" w:eastAsia="仿宋_GB2312" w:cs="仿宋_GB2312"/>
          <w:b w:val="0"/>
          <w:bCs w:val="0"/>
          <w:color w:val="auto"/>
          <w:sz w:val="32"/>
          <w:szCs w:val="32"/>
          <w:highlight w:val="none"/>
          <w:lang w:val="en-US" w:eastAsia="zh-CN"/>
        </w:rPr>
        <w:t>。适用的险种是</w:t>
      </w:r>
      <w:r>
        <w:rPr>
          <w:rFonts w:hint="eastAsia" w:ascii="仿宋_GB2312" w:hAnsi="仿宋_GB2312" w:eastAsia="仿宋_GB2312" w:cs="仿宋_GB2312"/>
          <w:b/>
          <w:bCs/>
          <w:color w:val="auto"/>
          <w:sz w:val="32"/>
          <w:szCs w:val="32"/>
          <w:highlight w:val="none"/>
          <w:lang w:val="en-US" w:eastAsia="zh-CN"/>
        </w:rPr>
        <w:t>[健康保险]</w:t>
      </w:r>
      <w:r>
        <w:rPr>
          <w:rFonts w:hint="eastAsia" w:ascii="仿宋_GB2312" w:hAnsi="仿宋_GB2312" w:eastAsia="仿宋_GB2312" w:cs="仿宋_GB2312"/>
          <w:b w:val="0"/>
          <w:bCs w:val="0"/>
          <w:color w:val="auto"/>
          <w:sz w:val="32"/>
          <w:szCs w:val="32"/>
          <w:highlight w:val="none"/>
          <w:lang w:val="en-US" w:eastAsia="zh-CN"/>
        </w:rPr>
        <w:t>（不含大病保险）。</w:t>
      </w:r>
    </w:p>
    <w:p w14:paraId="60EC78C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[特别群体保险]</w:t>
      </w:r>
      <w:r>
        <w:rPr>
          <w:rFonts w:hint="eastAsia" w:ascii="仿宋_GB2312" w:hAnsi="仿宋_GB2312" w:eastAsia="仿宋_GB2312" w:cs="仿宋_GB2312"/>
          <w:b w:val="0"/>
          <w:bCs w:val="0"/>
          <w:color w:val="auto"/>
          <w:sz w:val="32"/>
          <w:szCs w:val="32"/>
          <w:highlight w:val="none"/>
          <w:lang w:val="en-US" w:eastAsia="zh-CN"/>
        </w:rPr>
        <w:t>的二级领域包括</w:t>
      </w:r>
      <w:r>
        <w:rPr>
          <w:rFonts w:hint="eastAsia" w:ascii="仿宋_GB2312" w:hAnsi="仿宋_GB2312" w:eastAsia="仿宋_GB2312" w:cs="仿宋_GB2312"/>
          <w:b/>
          <w:bCs/>
          <w:color w:val="auto"/>
          <w:sz w:val="32"/>
          <w:szCs w:val="32"/>
          <w:highlight w:val="none"/>
          <w:lang w:val="en-US" w:eastAsia="zh-CN"/>
        </w:rPr>
        <w:t>[老年人人身保险]、[残疾人人身保险]、[新市民、新业态从业人员两新人群人身保险]。</w:t>
      </w:r>
      <w:r>
        <w:rPr>
          <w:rFonts w:hint="eastAsia" w:ascii="仿宋_GB2312" w:hAnsi="仿宋_GB2312" w:eastAsia="仿宋_GB2312" w:cs="仿宋_GB2312"/>
          <w:b w:val="0"/>
          <w:bCs w:val="0"/>
          <w:color w:val="auto"/>
          <w:sz w:val="32"/>
          <w:szCs w:val="32"/>
          <w:highlight w:val="none"/>
          <w:lang w:val="en-US" w:eastAsia="zh-CN"/>
        </w:rPr>
        <w:t>适用于人身保险的险种。</w:t>
      </w:r>
    </w:p>
    <w:p w14:paraId="14AFEDE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[老年人人身保险]</w:t>
      </w:r>
      <w:r>
        <w:rPr>
          <w:rFonts w:hint="eastAsia" w:ascii="仿宋_GB2312" w:hAnsi="仿宋_GB2312" w:eastAsia="仿宋_GB2312" w:cs="仿宋_GB2312"/>
          <w:b w:val="0"/>
          <w:bCs w:val="0"/>
          <w:color w:val="auto"/>
          <w:sz w:val="32"/>
          <w:szCs w:val="32"/>
          <w:highlight w:val="none"/>
          <w:lang w:val="en-US" w:eastAsia="zh-CN"/>
        </w:rPr>
        <w:t>是指为老年人承保（老年人可作为被保险人）的人身保险业务。根据《中华人民共和国老年人权益保障法》，老年人指六十周岁及以上的公民。适用于人身保险的险种。</w:t>
      </w:r>
    </w:p>
    <w:p w14:paraId="7878629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[残疾人人身保险]</w:t>
      </w:r>
      <w:r>
        <w:rPr>
          <w:rFonts w:hint="eastAsia" w:ascii="仿宋_GB2312" w:hAnsi="仿宋_GB2312" w:eastAsia="仿宋_GB2312" w:cs="仿宋_GB2312"/>
          <w:b w:val="0"/>
          <w:bCs w:val="0"/>
          <w:color w:val="auto"/>
          <w:sz w:val="32"/>
          <w:szCs w:val="32"/>
          <w:highlight w:val="none"/>
          <w:lang w:val="en-US" w:eastAsia="zh-CN"/>
        </w:rPr>
        <w:t>是指为残疾人承保的人身保险业务。残疾人应持有中国残疾人联合会统一制发的残疾人证，或由当地残联等主管单位提供相关证明材料以及统一投保。第二代残疾人证可通过www.cdpf.org.cn/2dzcx/查询验证。对于被保险人明显肢体缺失或功能丧失（如失明），但无法提供残疾人证或相关证明的情况，也应填报此统计科目。适用于人身保险的险种。</w:t>
      </w:r>
    </w:p>
    <w:p w14:paraId="7DEDD31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[新市民、新业态从业人员两新人群人身保险]</w:t>
      </w:r>
      <w:r>
        <w:rPr>
          <w:rFonts w:hint="eastAsia" w:ascii="仿宋_GB2312" w:hAnsi="仿宋_GB2312" w:eastAsia="仿宋_GB2312" w:cs="仿宋_GB2312"/>
          <w:b w:val="0"/>
          <w:bCs w:val="0"/>
          <w:color w:val="auto"/>
          <w:sz w:val="32"/>
          <w:szCs w:val="32"/>
          <w:highlight w:val="none"/>
          <w:lang w:val="en-US" w:eastAsia="zh-CN"/>
        </w:rPr>
        <w:t>是指为新市民、新业态从业人员两新人群承保的人身保险业务。新市民范围参照《中国银保监会 中国人民银行关于加强新市民金融服务工作的通知》（银保监发〔2022〕4号）有关指标解释。新业态从业人员范围参照《关于维护新就业形态劳动者劳动保障权益的指导意见》（人社部发〔2021〕56号）和《新就业形态劳动者休息和劳动报酬权益保障指引》（人社厅发〔2023〕50号），主要是指从事快递行业、外卖行业、直播行业、电商行业、网约车行业等行业的灵活就业人员。两新人群人身保险可使用职业类别和两新人群专属产品进行筛选统计。适用于人身保险的险种。</w:t>
      </w:r>
    </w:p>
    <w:p w14:paraId="17670CF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[妇女“两癌”险保险]</w:t>
      </w:r>
      <w:r>
        <w:rPr>
          <w:rFonts w:hint="eastAsia" w:ascii="仿宋_GB2312" w:hAnsi="仿宋_GB2312" w:eastAsia="仿宋_GB2312" w:cs="仿宋_GB2312"/>
          <w:b w:val="0"/>
          <w:bCs w:val="0"/>
          <w:color w:val="auto"/>
          <w:sz w:val="32"/>
          <w:szCs w:val="32"/>
          <w:highlight w:val="none"/>
          <w:lang w:val="en-US" w:eastAsia="zh-CN"/>
        </w:rPr>
        <w:t>是指针对女性高发恶性肿瘤设计的专项健康保险，主要保障针对女性乳房和子宫等生殖系统恶性肿瘤。适用的险种是</w:t>
      </w:r>
      <w:r>
        <w:rPr>
          <w:rFonts w:hint="eastAsia" w:ascii="仿宋_GB2312" w:hAnsi="仿宋_GB2312" w:eastAsia="仿宋_GB2312" w:cs="仿宋_GB2312"/>
          <w:b/>
          <w:bCs/>
          <w:color w:val="auto"/>
          <w:sz w:val="32"/>
          <w:szCs w:val="32"/>
          <w:highlight w:val="none"/>
          <w:lang w:val="en-US" w:eastAsia="zh-CN"/>
        </w:rPr>
        <w:t>[健康保险]</w:t>
      </w:r>
      <w:r>
        <w:rPr>
          <w:rFonts w:hint="eastAsia" w:ascii="仿宋_GB2312" w:hAnsi="仿宋_GB2312" w:eastAsia="仿宋_GB2312" w:cs="仿宋_GB2312"/>
          <w:b w:val="0"/>
          <w:bCs w:val="0"/>
          <w:color w:val="auto"/>
          <w:sz w:val="32"/>
          <w:szCs w:val="32"/>
          <w:highlight w:val="none"/>
          <w:lang w:val="en-US" w:eastAsia="zh-CN"/>
        </w:rPr>
        <w:t>。</w:t>
      </w:r>
    </w:p>
    <w:p w14:paraId="1A25023E">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[其他特定风险群体或特定风险领域人身保险]</w:t>
      </w:r>
      <w:r>
        <w:rPr>
          <w:rFonts w:hint="eastAsia" w:ascii="仿宋_GB2312" w:hAnsi="仿宋_GB2312" w:eastAsia="仿宋_GB2312" w:cs="仿宋_GB2312"/>
          <w:b w:val="0"/>
          <w:bCs w:val="0"/>
          <w:color w:val="auto"/>
          <w:sz w:val="32"/>
          <w:szCs w:val="32"/>
          <w:highlight w:val="none"/>
          <w:lang w:val="en-US" w:eastAsia="zh-CN"/>
        </w:rPr>
        <w:t>范围参照《国家金融监督管理总局关于推进普惠保险高质量发展的指导意见》（金发〔2024〕13号），包括但不限于面向城镇低收入群体、次标体或慢性病人群、儿童学生群体、特殊职业群体等普惠保险重点群体，以及普惠保险重点领域的相关人身保险。适用于人身保险的险种。</w:t>
      </w:r>
    </w:p>
    <w:p w14:paraId="6B0236C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[城市定制型普惠保险]</w:t>
      </w:r>
      <w:r>
        <w:rPr>
          <w:rFonts w:hint="eastAsia" w:ascii="仿宋_GB2312" w:hAnsi="仿宋_GB2312" w:eastAsia="仿宋_GB2312" w:cs="仿宋_GB2312"/>
          <w:b w:val="0"/>
          <w:bCs w:val="0"/>
          <w:color w:val="auto"/>
          <w:sz w:val="32"/>
          <w:szCs w:val="32"/>
          <w:highlight w:val="none"/>
          <w:lang w:val="en-US" w:eastAsia="zh-CN"/>
        </w:rPr>
        <w:t>的二级领域包括</w:t>
      </w:r>
      <w:r>
        <w:rPr>
          <w:rFonts w:hint="eastAsia" w:ascii="仿宋_GB2312" w:hAnsi="仿宋_GB2312" w:eastAsia="仿宋_GB2312" w:cs="仿宋_GB2312"/>
          <w:b/>
          <w:bCs/>
          <w:color w:val="auto"/>
          <w:sz w:val="32"/>
          <w:szCs w:val="32"/>
          <w:highlight w:val="none"/>
          <w:lang w:val="en-US" w:eastAsia="zh-CN"/>
        </w:rPr>
        <w:t>[城市商业医疗险]、[城市定制型家庭财产保险]</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[城市商业医疗险]</w:t>
      </w:r>
      <w:r>
        <w:rPr>
          <w:rFonts w:hint="eastAsia" w:ascii="仿宋_GB2312" w:hAnsi="仿宋_GB2312" w:eastAsia="仿宋_GB2312" w:cs="仿宋_GB2312"/>
          <w:b w:val="0"/>
          <w:bCs w:val="0"/>
          <w:color w:val="auto"/>
          <w:sz w:val="32"/>
          <w:szCs w:val="32"/>
          <w:highlight w:val="none"/>
          <w:lang w:val="en-US" w:eastAsia="zh-CN"/>
        </w:rPr>
        <w:t>指为满足地域性医疗保障需求的城市定制型商业医疗业务，通称为惠民保。如“北京普惠健康保”、上海“沪惠保”等产品。具体可参考《国家金融监督管理总局办公厅关于推动城市商业医疗险高质量发展的通知》（金办便函〔2025〕745号）。适用的险种是</w:t>
      </w:r>
      <w:r>
        <w:rPr>
          <w:rFonts w:hint="eastAsia" w:ascii="仿宋_GB2312" w:hAnsi="仿宋_GB2312" w:eastAsia="仿宋_GB2312" w:cs="仿宋_GB2312"/>
          <w:b/>
          <w:bCs/>
          <w:color w:val="auto"/>
          <w:sz w:val="32"/>
          <w:szCs w:val="32"/>
          <w:highlight w:val="none"/>
          <w:lang w:val="en-US" w:eastAsia="zh-CN"/>
        </w:rPr>
        <w:t>[健康保险]</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[城市定制型家庭财产保险]</w:t>
      </w:r>
      <w:r>
        <w:rPr>
          <w:rFonts w:hint="eastAsia" w:ascii="仿宋_GB2312" w:hAnsi="仿宋_GB2312" w:eastAsia="仿宋_GB2312" w:cs="仿宋_GB2312"/>
          <w:b w:val="0"/>
          <w:bCs w:val="0"/>
          <w:color w:val="auto"/>
          <w:sz w:val="32"/>
          <w:szCs w:val="32"/>
          <w:highlight w:val="none"/>
          <w:lang w:val="en-US" w:eastAsia="zh-CN"/>
        </w:rPr>
        <w:t>是指为满足地域性家庭财产保障需求的城市定制型家庭财产业务，通称为普惠型家财险。如四川“蓉家保”、北京“普惠家财保”等产品。适用的险种是</w:t>
      </w:r>
      <w:r>
        <w:rPr>
          <w:rFonts w:hint="eastAsia" w:ascii="仿宋_GB2312" w:hAnsi="仿宋_GB2312" w:eastAsia="仿宋_GB2312" w:cs="仿宋_GB2312"/>
          <w:b/>
          <w:bCs/>
          <w:color w:val="auto"/>
          <w:sz w:val="32"/>
          <w:szCs w:val="32"/>
          <w:highlight w:val="none"/>
          <w:lang w:val="en-US" w:eastAsia="zh-CN"/>
        </w:rPr>
        <w:t>[家庭财产保险]</w:t>
      </w:r>
      <w:r>
        <w:rPr>
          <w:rFonts w:hint="eastAsia" w:ascii="仿宋_GB2312" w:hAnsi="仿宋_GB2312" w:eastAsia="仿宋_GB2312" w:cs="仿宋_GB2312"/>
          <w:b w:val="0"/>
          <w:bCs w:val="0"/>
          <w:color w:val="auto"/>
          <w:sz w:val="32"/>
          <w:szCs w:val="32"/>
          <w:highlight w:val="none"/>
          <w:lang w:val="en-US" w:eastAsia="zh-CN"/>
        </w:rPr>
        <w:t>。</w:t>
      </w:r>
    </w:p>
    <w:p w14:paraId="7ED6828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地区维度</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地区的分类及分类标准详见“</w:t>
      </w:r>
      <w:r>
        <w:rPr>
          <w:rFonts w:hint="eastAsia" w:ascii="仿宋_GB2312" w:hAnsi="仿宋_GB2312" w:eastAsia="仿宋_GB2312" w:cs="仿宋_GB2312"/>
          <w:color w:val="auto"/>
          <w:sz w:val="32"/>
          <w:szCs w:val="32"/>
          <w:lang w:val="en-US" w:eastAsia="zh-CN"/>
        </w:rPr>
        <w:t>第三部分 业务类”中的地区维度。</w:t>
      </w:r>
    </w:p>
    <w:p w14:paraId="63C414F4">
      <w:pPr>
        <w:pStyle w:val="57"/>
        <w:keepNext w:val="0"/>
        <w:keepLines w:val="0"/>
        <w:pageBreakBefore w:val="0"/>
        <w:kinsoku/>
        <w:wordWrap/>
        <w:overflowPunct/>
        <w:topLinePunct w:val="0"/>
        <w:bidi w:val="0"/>
        <w:spacing w:after="0" w:line="600" w:lineRule="exact"/>
        <w:ind w:firstLine="640"/>
        <w:jc w:val="both"/>
        <w:textAlignment w:val="auto"/>
        <w:outlineLvl w:val="1"/>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五、商保年金业务重点领域</w:t>
      </w:r>
    </w:p>
    <w:p w14:paraId="2BCDB3AD">
      <w:pPr>
        <w:pStyle w:val="56"/>
        <w:keepNext w:val="0"/>
        <w:keepLines w:val="0"/>
        <w:pageBreakBefore w:val="0"/>
        <w:kinsoku/>
        <w:wordWrap/>
        <w:overflowPunct/>
        <w:topLinePunct w:val="0"/>
        <w:bidi w:val="0"/>
        <w:spacing w:after="0"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根据《关于大力发展商业保险年金有关事项的通知》（金办发〔2024〕110号）发文要求，报送人身险保险公司销售商保年金的相关指标</w:t>
      </w:r>
      <w:r>
        <w:rPr>
          <w:rFonts w:hint="eastAsia" w:ascii="仿宋_GB2312" w:hAnsi="仿宋_GB2312" w:eastAsia="仿宋_GB2312" w:cs="仿宋_GB2312"/>
          <w:color w:val="auto"/>
          <w:sz w:val="32"/>
          <w:szCs w:val="32"/>
          <w:lang w:val="en-US" w:eastAsia="zh-CN"/>
        </w:rPr>
        <w:t>。</w:t>
      </w:r>
    </w:p>
    <w:p w14:paraId="233A2E1F">
      <w:pPr>
        <w:pStyle w:val="56"/>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（一）统计指标及口径</w:t>
      </w:r>
    </w:p>
    <w:p w14:paraId="1C0D8401">
      <w:pPr>
        <w:pStyle w:val="56"/>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商保年金业务重点领域的统计指标包括[</w:t>
      </w:r>
      <w:r>
        <w:rPr>
          <w:rFonts w:hint="eastAsia" w:ascii="仿宋_GB2312" w:hAnsi="仿宋_GB2312" w:eastAsia="仿宋_GB2312" w:cs="仿宋_GB2312"/>
          <w:b/>
          <w:bCs/>
          <w:color w:val="auto"/>
          <w:kern w:val="2"/>
          <w:sz w:val="32"/>
          <w:szCs w:val="32"/>
          <w:highlight w:val="none"/>
          <w:lang w:val="en-US" w:eastAsia="zh-CN" w:bidi="ar-SA"/>
        </w:rPr>
        <w:t>保单数量]</w:t>
      </w:r>
      <w:r>
        <w:rPr>
          <w:rFonts w:hint="default"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US" w:eastAsia="zh-CN" w:bidi="ar-SA"/>
        </w:rPr>
        <w:t>保费</w:t>
      </w: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b/>
          <w:bCs/>
          <w:color w:val="auto"/>
          <w:kern w:val="2"/>
          <w:sz w:val="32"/>
          <w:szCs w:val="32"/>
          <w:highlight w:val="none"/>
          <w:lang w:val="en-US" w:eastAsia="zh-CN" w:bidi="ar-SA"/>
        </w:rPr>
        <w:t>赔付金额</w:t>
      </w:r>
      <w:r>
        <w:rPr>
          <w:rFonts w:hint="eastAsia" w:ascii="仿宋_GB2312" w:hAnsi="仿宋_GB2312" w:eastAsia="仿宋_GB2312" w:cs="仿宋_GB2312"/>
          <w:b/>
          <w:bCs/>
          <w:color w:val="auto"/>
          <w:kern w:val="2"/>
          <w:sz w:val="32"/>
          <w:szCs w:val="32"/>
          <w:highlight w:val="none"/>
          <w:lang w:val="en-US" w:eastAsia="zh-CN" w:bidi="ar-SA"/>
        </w:rPr>
        <w:t>]</w:t>
      </w:r>
      <w:r>
        <w:rPr>
          <w:rFonts w:hint="default"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val="en-US" w:eastAsia="zh-CN"/>
        </w:rPr>
        <w:t>，口径与“第三部分 业务类”有关统计指标口径一致。</w:t>
      </w:r>
    </w:p>
    <w:p w14:paraId="5469253C">
      <w:pPr>
        <w:pStyle w:val="56"/>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outlineLvl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（二）统计维度及分类标准</w:t>
      </w:r>
    </w:p>
    <w:p w14:paraId="5173B9D3">
      <w:pPr>
        <w:pStyle w:val="56"/>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1.商保年金产品维度。</w:t>
      </w:r>
      <w:r>
        <w:rPr>
          <w:rFonts w:hint="eastAsia" w:ascii="仿宋_GB2312" w:hAnsi="仿宋_GB2312" w:eastAsia="仿宋_GB2312" w:cs="仿宋_GB2312"/>
          <w:color w:val="auto"/>
          <w:sz w:val="32"/>
          <w:szCs w:val="32"/>
          <w:lang w:val="en-US" w:eastAsia="zh-CN"/>
        </w:rPr>
        <w:t>保险公司应当区分商保年金的险种，包括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年金保险</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两全保险</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商业养老金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其他</w:t>
      </w:r>
      <w:r>
        <w:rPr>
          <w:rFonts w:hint="eastAsia" w:ascii="仿宋_GB2312" w:hAnsi="仿宋_GB2312" w:eastAsia="仿宋_GB2312" w:cs="仿宋_GB2312"/>
          <w:b/>
          <w:bCs/>
          <w:color w:val="auto"/>
          <w:sz w:val="32"/>
          <w:szCs w:val="32"/>
          <w:lang w:eastAsia="zh-CN"/>
        </w:rPr>
        <w:t>商保年金</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eastAsia="zh-CN"/>
        </w:rPr>
        <w:t>。</w:t>
      </w:r>
    </w:p>
    <w:p w14:paraId="6489BB9F">
      <w:pPr>
        <w:pStyle w:val="56"/>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2.地区维度。</w:t>
      </w:r>
      <w:r>
        <w:rPr>
          <w:rFonts w:hint="eastAsia" w:ascii="仿宋_GB2312" w:hAnsi="仿宋_GB2312" w:eastAsia="仿宋_GB2312" w:cs="仿宋_GB2312"/>
          <w:color w:val="auto"/>
          <w:sz w:val="32"/>
          <w:szCs w:val="32"/>
          <w:highlight w:val="none"/>
          <w:lang w:eastAsia="zh-CN"/>
        </w:rPr>
        <w:t>地区的分类及分类标准详见“</w:t>
      </w:r>
      <w:r>
        <w:rPr>
          <w:rFonts w:hint="eastAsia" w:ascii="仿宋_GB2312" w:hAnsi="仿宋_GB2312" w:eastAsia="仿宋_GB2312" w:cs="仿宋_GB2312"/>
          <w:color w:val="auto"/>
          <w:sz w:val="32"/>
          <w:szCs w:val="32"/>
          <w:lang w:val="en-US" w:eastAsia="zh-CN"/>
        </w:rPr>
        <w:t>第三部分 业务类”中的地区维度。</w:t>
      </w:r>
    </w:p>
    <w:p w14:paraId="05C3F3A6">
      <w:pPr>
        <w:pStyle w:val="57"/>
        <w:keepNext w:val="0"/>
        <w:keepLines w:val="0"/>
        <w:pageBreakBefore w:val="0"/>
        <w:kinsoku/>
        <w:wordWrap/>
        <w:overflowPunct/>
        <w:topLinePunct w:val="0"/>
        <w:bidi w:val="0"/>
        <w:spacing w:after="0" w:line="600" w:lineRule="exact"/>
        <w:ind w:firstLine="640" w:firstLineChars="200"/>
        <w:jc w:val="both"/>
        <w:textAlignment w:val="auto"/>
        <w:outlineLvl w:val="1"/>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六、互联网保险业务重点领域</w:t>
      </w:r>
    </w:p>
    <w:p w14:paraId="05F3BEF6">
      <w:pPr>
        <w:pStyle w:val="57"/>
        <w:keepNext w:val="0"/>
        <w:keepLines w:val="0"/>
        <w:pageBreakBefore w:val="0"/>
        <w:numPr>
          <w:ilvl w:val="0"/>
          <w:numId w:val="0"/>
        </w:numPr>
        <w:kinsoku/>
        <w:wordWrap/>
        <w:overflowPunct/>
        <w:topLinePunct w:val="0"/>
        <w:bidi w:val="0"/>
        <w:spacing w:after="0" w:line="600" w:lineRule="exact"/>
        <w:ind w:leftChars="0" w:firstLine="640"/>
        <w:jc w:val="both"/>
        <w:textAlignment w:val="auto"/>
        <w:outlineLvl w:val="2"/>
        <w:rPr>
          <w:rFonts w:hint="default"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eastAsia="zh-CN"/>
        </w:rPr>
        <w:t>（一）</w:t>
      </w:r>
      <w:r>
        <w:rPr>
          <w:rFonts w:hint="eastAsia" w:ascii="楷体_GB2312" w:hAnsi="楷体_GB2312" w:eastAsia="楷体_GB2312" w:cs="楷体_GB2312"/>
          <w:b w:val="0"/>
          <w:bCs w:val="0"/>
          <w:color w:val="auto"/>
          <w:sz w:val="32"/>
          <w:szCs w:val="32"/>
          <w:highlight w:val="none"/>
          <w:lang w:val="en-US" w:eastAsia="zh-CN"/>
        </w:rPr>
        <w:t>统计指标及口径</w:t>
      </w:r>
    </w:p>
    <w:p w14:paraId="3F7BBC07">
      <w:pPr>
        <w:keepNext w:val="0"/>
        <w:keepLines w:val="0"/>
        <w:pageBreakBefore w:val="0"/>
        <w:widowControl w:val="0"/>
        <w:tabs>
          <w:tab w:val="left" w:pos="1080"/>
          <w:tab w:val="left" w:pos="2747"/>
        </w:tabs>
        <w:kinsoku/>
        <w:wordWrap/>
        <w:overflowPunct/>
        <w:topLinePunct w:val="0"/>
        <w:bidi w:val="0"/>
        <w:snapToGrid/>
        <w:spacing w:after="0" w:line="60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根据《互联网保险业务监管办法》（银保监会令〔2020〕13号）要求，报送保险</w:t>
      </w:r>
      <w:r>
        <w:rPr>
          <w:rFonts w:hint="eastAsia" w:ascii="仿宋_GB2312" w:hAnsi="仿宋_GB2312" w:eastAsia="仿宋_GB2312" w:cs="仿宋_GB2312"/>
          <w:b w:val="0"/>
          <w:bCs w:val="0"/>
          <w:color w:val="auto"/>
          <w:sz w:val="32"/>
          <w:szCs w:val="32"/>
          <w:highlight w:val="none"/>
          <w:lang w:val="en-US" w:eastAsia="zh-CN"/>
        </w:rPr>
        <w:t>公司</w:t>
      </w:r>
      <w:r>
        <w:rPr>
          <w:rFonts w:hint="default" w:ascii="仿宋_GB2312" w:hAnsi="仿宋_GB2312" w:eastAsia="仿宋_GB2312" w:cs="仿宋_GB2312"/>
          <w:b w:val="0"/>
          <w:bCs w:val="0"/>
          <w:color w:val="auto"/>
          <w:sz w:val="32"/>
          <w:szCs w:val="32"/>
          <w:highlight w:val="none"/>
          <w:lang w:val="en-US" w:eastAsia="zh-CN"/>
        </w:rPr>
        <w:t>通过自营平台、第三方平台销售保险产品的相关指标数据，包括</w:t>
      </w:r>
      <w:r>
        <w:rPr>
          <w:rFonts w:hint="eastAsia" w:ascii="仿宋_GB2312" w:hAnsi="仿宋_GB2312" w:eastAsia="仿宋_GB2312" w:cs="仿宋_GB2312"/>
          <w:b/>
          <w:bCs/>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US" w:eastAsia="zh-CN"/>
        </w:rPr>
        <w:t>保费</w:t>
      </w:r>
      <w:r>
        <w:rPr>
          <w:rFonts w:hint="eastAsia" w:ascii="仿宋_GB2312" w:hAnsi="仿宋_GB2312" w:eastAsia="仿宋_GB2312" w:cs="仿宋_GB2312"/>
          <w:b/>
          <w:bCs/>
          <w:color w:val="auto"/>
          <w:sz w:val="32"/>
          <w:szCs w:val="32"/>
          <w:highlight w:val="none"/>
          <w:lang w:val="en-US" w:eastAsia="zh-CN"/>
        </w:rPr>
        <w:t>]、[本年新增保单数量]、[期末有效保单数量]、[本年新增保险金额]、[期末有效保险金额]、[赔付件数]、[赔付金额]</w:t>
      </w:r>
      <w:r>
        <w:rPr>
          <w:rFonts w:hint="eastAsia" w:ascii="仿宋_GB2312" w:hAnsi="仿宋_GB2312" w:eastAsia="仿宋_GB2312" w:cs="仿宋_GB2312"/>
          <w:b w:val="0"/>
          <w:bCs w:val="0"/>
          <w:color w:val="auto"/>
          <w:sz w:val="32"/>
          <w:szCs w:val="32"/>
          <w:highlight w:val="none"/>
          <w:lang w:val="en-US" w:eastAsia="zh-CN"/>
        </w:rPr>
        <w:t>，统计口径与“第三部分 业务类”相关统计指标一致。</w:t>
      </w:r>
    </w:p>
    <w:p w14:paraId="4721BD60">
      <w:pPr>
        <w:keepNext w:val="0"/>
        <w:keepLines w:val="0"/>
        <w:pageBreakBefore w:val="0"/>
        <w:numPr>
          <w:ilvl w:val="0"/>
          <w:numId w:val="0"/>
        </w:numPr>
        <w:tabs>
          <w:tab w:val="left" w:pos="1080"/>
          <w:tab w:val="left" w:pos="2747"/>
        </w:tabs>
        <w:kinsoku/>
        <w:wordWrap/>
        <w:overflowPunct/>
        <w:topLinePunct w:val="0"/>
        <w:bidi w:val="0"/>
        <w:spacing w:after="0" w:line="600" w:lineRule="exact"/>
        <w:ind w:leftChars="0" w:firstLine="640" w:firstLineChars="200"/>
        <w:jc w:val="both"/>
        <w:textAlignment w:val="auto"/>
        <w:outlineLvl w:val="2"/>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（二）统计维度及分类标准</w:t>
      </w:r>
    </w:p>
    <w:p w14:paraId="03052136">
      <w:pPr>
        <w:keepNext w:val="0"/>
        <w:keepLines w:val="0"/>
        <w:pageBreakBefore w:val="0"/>
        <w:numPr>
          <w:ilvl w:val="0"/>
          <w:numId w:val="0"/>
        </w:numPr>
        <w:tabs>
          <w:tab w:val="left" w:pos="1080"/>
          <w:tab w:val="left" w:pos="2747"/>
        </w:tabs>
        <w:kinsoku/>
        <w:wordWrap/>
        <w:overflowPunct/>
        <w:topLinePunct w:val="0"/>
        <w:bidi w:val="0"/>
        <w:spacing w:line="600" w:lineRule="exact"/>
        <w:ind w:firstLine="64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1.互联网平台维度。</w:t>
      </w:r>
      <w:r>
        <w:rPr>
          <w:rFonts w:hint="eastAsia" w:ascii="仿宋_GB2312" w:hAnsi="仿宋_GB2312" w:eastAsia="仿宋_GB2312" w:cs="仿宋_GB2312"/>
          <w:b w:val="0"/>
          <w:bCs w:val="0"/>
          <w:color w:val="auto"/>
          <w:sz w:val="32"/>
          <w:szCs w:val="32"/>
          <w:lang w:val="en-US" w:eastAsia="zh-CN"/>
        </w:rPr>
        <w:t>包括</w:t>
      </w:r>
      <w:r>
        <w:rPr>
          <w:rFonts w:hint="eastAsia" w:ascii="仿宋_GB2312" w:hAnsi="仿宋_GB2312" w:eastAsia="仿宋_GB2312" w:cs="仿宋_GB2312"/>
          <w:b/>
          <w:bCs/>
          <w:color w:val="auto"/>
          <w:sz w:val="32"/>
          <w:szCs w:val="32"/>
          <w:lang w:val="en-US" w:eastAsia="zh-CN"/>
        </w:rPr>
        <w:t>[公司自营]、[第三方平台]</w:t>
      </w:r>
      <w:r>
        <w:rPr>
          <w:rFonts w:hint="eastAsia" w:ascii="仿宋_GB2312" w:hAnsi="仿宋_GB2312" w:eastAsia="仿宋_GB2312" w:cs="仿宋_GB2312"/>
          <w:b w:val="0"/>
          <w:bCs w:val="0"/>
          <w:color w:val="auto"/>
          <w:sz w:val="32"/>
          <w:szCs w:val="32"/>
          <w:lang w:val="en-US" w:eastAsia="zh-CN"/>
        </w:rPr>
        <w:t>。其中，</w:t>
      </w:r>
      <w:r>
        <w:rPr>
          <w:rFonts w:hint="eastAsia" w:ascii="仿宋_GB2312" w:hAnsi="仿宋_GB2312" w:eastAsia="仿宋_GB2312" w:cs="仿宋_GB2312"/>
          <w:b/>
          <w:bCs/>
          <w:color w:val="auto"/>
          <w:sz w:val="32"/>
          <w:szCs w:val="32"/>
          <w:highlight w:val="none"/>
          <w:lang w:val="en-US" w:eastAsia="zh-CN"/>
        </w:rPr>
        <w:t>[公司自营]</w:t>
      </w:r>
      <w:r>
        <w:rPr>
          <w:rFonts w:hint="eastAsia" w:ascii="仿宋_GB2312" w:hAnsi="仿宋_GB2312" w:eastAsia="仿宋_GB2312" w:cs="仿宋_GB2312"/>
          <w:b w:val="0"/>
          <w:bCs w:val="0"/>
          <w:color w:val="auto"/>
          <w:sz w:val="32"/>
          <w:szCs w:val="32"/>
          <w:highlight w:val="none"/>
          <w:lang w:val="en-US" w:eastAsia="zh-CN"/>
        </w:rPr>
        <w:t>指保险机构为经营互联网保险业务，依法设立的独立运营、享有完整数据权限的网络平台，包括</w:t>
      </w:r>
      <w:r>
        <w:rPr>
          <w:rFonts w:hint="eastAsia" w:ascii="仿宋_GB2312" w:hAnsi="仿宋_GB2312" w:eastAsia="仿宋_GB2312" w:cs="仿宋_GB2312"/>
          <w:b/>
          <w:bCs/>
          <w:color w:val="auto"/>
          <w:sz w:val="32"/>
          <w:szCs w:val="32"/>
          <w:highlight w:val="none"/>
          <w:lang w:val="en-US" w:eastAsia="zh-CN"/>
        </w:rPr>
        <w:t>[网站]、[移动应用程序（APP）]、[互联网用户公众号]、[互联网平台小程序]、[其他]</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[第三方平台]</w:t>
      </w:r>
      <w:r>
        <w:rPr>
          <w:rFonts w:hint="eastAsia" w:ascii="仿宋_GB2312" w:hAnsi="仿宋_GB2312" w:eastAsia="仿宋_GB2312" w:cs="仿宋_GB2312"/>
          <w:b w:val="0"/>
          <w:bCs w:val="0"/>
          <w:color w:val="auto"/>
          <w:sz w:val="32"/>
          <w:szCs w:val="32"/>
          <w:highlight w:val="none"/>
          <w:lang w:val="en-US" w:eastAsia="zh-CN"/>
        </w:rPr>
        <w:t>指除自营网络平台外,在互联网保险业务活动中，为保险消费者、保险公司和保险专业中介机构提供网络技术支持辅助服务的网络平台。</w:t>
      </w:r>
    </w:p>
    <w:p w14:paraId="7773526E">
      <w:pPr>
        <w:keepNext w:val="0"/>
        <w:keepLines w:val="0"/>
        <w:pageBreakBefore w:val="0"/>
        <w:numPr>
          <w:ilvl w:val="0"/>
          <w:numId w:val="0"/>
        </w:numPr>
        <w:tabs>
          <w:tab w:val="left" w:pos="1080"/>
          <w:tab w:val="left" w:pos="2747"/>
        </w:tabs>
        <w:kinsoku/>
        <w:wordWrap/>
        <w:overflowPunct/>
        <w:topLinePunct w:val="0"/>
        <w:bidi w:val="0"/>
        <w:spacing w:after="0" w:line="600" w:lineRule="exact"/>
        <w:ind w:firstLine="643"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2.险种维度。</w:t>
      </w:r>
      <w:r>
        <w:rPr>
          <w:rFonts w:hint="eastAsia" w:ascii="仿宋_GB2312" w:hAnsi="仿宋_GB2312" w:eastAsia="仿宋_GB2312" w:cs="仿宋_GB2312"/>
          <w:b w:val="0"/>
          <w:bCs w:val="0"/>
          <w:color w:val="auto"/>
          <w:sz w:val="32"/>
          <w:szCs w:val="32"/>
          <w:highlight w:val="none"/>
          <w:lang w:val="en-US" w:eastAsia="zh-CN"/>
        </w:rPr>
        <w:t>险种维度包括</w:t>
      </w:r>
      <w:r>
        <w:rPr>
          <w:rFonts w:hint="eastAsia" w:ascii="仿宋_GB2312" w:hAnsi="仿宋_GB2312" w:eastAsia="仿宋_GB2312" w:cs="仿宋_GB2312"/>
          <w:b/>
          <w:bCs/>
          <w:color w:val="auto"/>
          <w:sz w:val="32"/>
          <w:szCs w:val="32"/>
        </w:rPr>
        <w:t>[企业财产保险]、[家庭财产保险]、[机动车辆保险]、[工程保险]、[责任保险]、[信用保险]、[保证保险]、[船舶保险]、[货物运输保险]、[特殊风险保险]、[农业保险]、[意外伤害保险]、[健康保险]</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[人寿保险]、[年金保险]</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[其他]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财产保险公司适用于除</w:t>
      </w:r>
      <w:r>
        <w:rPr>
          <w:rFonts w:hint="eastAsia" w:ascii="仿宋_GB2312" w:hAnsi="仿宋_GB2312" w:eastAsia="仿宋_GB2312" w:cs="仿宋_GB2312"/>
          <w:b/>
          <w:bCs/>
          <w:color w:val="auto"/>
          <w:sz w:val="32"/>
          <w:szCs w:val="32"/>
        </w:rPr>
        <w:t>[人寿保险]、[年金保险]</w:t>
      </w:r>
      <w:r>
        <w:rPr>
          <w:rFonts w:hint="eastAsia" w:ascii="仿宋_GB2312" w:hAnsi="仿宋_GB2312" w:eastAsia="仿宋_GB2312" w:cs="仿宋_GB2312"/>
          <w:color w:val="auto"/>
          <w:sz w:val="32"/>
          <w:szCs w:val="32"/>
          <w:lang w:eastAsia="zh-CN"/>
        </w:rPr>
        <w:t>以外的其他所有险种，人身保险公司适用于</w:t>
      </w:r>
      <w:r>
        <w:rPr>
          <w:rFonts w:hint="eastAsia" w:ascii="仿宋_GB2312" w:hAnsi="仿宋_GB2312" w:eastAsia="仿宋_GB2312" w:cs="仿宋_GB2312"/>
          <w:b/>
          <w:bCs/>
          <w:color w:val="auto"/>
          <w:sz w:val="32"/>
          <w:szCs w:val="32"/>
        </w:rPr>
        <w:t>[意外伤害保险]、[健康保险]</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[人寿保险]、[年金保险]。</w:t>
      </w:r>
      <w:r>
        <w:rPr>
          <w:rFonts w:hint="eastAsia" w:ascii="仿宋_GB2312" w:hAnsi="仿宋_GB2312" w:eastAsia="仿宋_GB2312" w:cs="仿宋_GB2312"/>
          <w:b w:val="0"/>
          <w:bCs w:val="0"/>
          <w:color w:val="auto"/>
          <w:sz w:val="32"/>
          <w:szCs w:val="32"/>
          <w:highlight w:val="none"/>
          <w:lang w:val="en-US" w:eastAsia="zh-CN"/>
        </w:rPr>
        <w:t>统计口径与</w:t>
      </w:r>
      <w:r>
        <w:rPr>
          <w:rFonts w:hint="eastAsia" w:ascii="仿宋_GB2312" w:hAnsi="仿宋_GB2312" w:eastAsia="仿宋_GB2312" w:cs="仿宋_GB2312"/>
          <w:color w:val="auto"/>
          <w:sz w:val="32"/>
          <w:szCs w:val="32"/>
          <w:highlight w:val="none"/>
          <w:lang w:val="en-US" w:eastAsia="zh-CN"/>
        </w:rPr>
        <w:t>本制度</w:t>
      </w:r>
      <w:r>
        <w:rPr>
          <w:rFonts w:hint="eastAsia" w:ascii="仿宋_GB2312" w:hAnsi="仿宋_GB2312" w:eastAsia="仿宋_GB2312" w:cs="仿宋_GB2312"/>
          <w:b w:val="0"/>
          <w:bCs w:val="0"/>
          <w:color w:val="auto"/>
          <w:sz w:val="32"/>
          <w:szCs w:val="32"/>
          <w:highlight w:val="none"/>
          <w:lang w:val="en-US" w:eastAsia="zh-CN"/>
        </w:rPr>
        <w:t>保险业务类报送要求保持一致。</w:t>
      </w:r>
    </w:p>
    <w:p w14:paraId="1D1C9E7D">
      <w:pPr>
        <w:pStyle w:val="57"/>
        <w:keepNext w:val="0"/>
        <w:keepLines w:val="0"/>
        <w:pageBreakBefore w:val="0"/>
        <w:numPr>
          <w:ilvl w:val="0"/>
          <w:numId w:val="0"/>
        </w:numPr>
        <w:kinsoku/>
        <w:wordWrap/>
        <w:overflowPunct/>
        <w:topLinePunct w:val="0"/>
        <w:bidi w:val="0"/>
        <w:spacing w:line="60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3.地区维度。</w:t>
      </w:r>
      <w:r>
        <w:rPr>
          <w:rFonts w:hint="eastAsia" w:ascii="仿宋_GB2312" w:hAnsi="仿宋_GB2312" w:eastAsia="仿宋_GB2312" w:cs="仿宋_GB2312"/>
          <w:color w:val="auto"/>
          <w:sz w:val="32"/>
          <w:szCs w:val="32"/>
          <w:highlight w:val="none"/>
          <w:lang w:eastAsia="zh-CN"/>
        </w:rPr>
        <w:t>地区的分类及分类标准详见“</w:t>
      </w:r>
      <w:r>
        <w:rPr>
          <w:rFonts w:hint="eastAsia" w:ascii="仿宋_GB2312" w:hAnsi="仿宋_GB2312" w:eastAsia="仿宋_GB2312" w:cs="仿宋_GB2312"/>
          <w:color w:val="auto"/>
          <w:sz w:val="32"/>
          <w:szCs w:val="32"/>
          <w:lang w:val="en-US" w:eastAsia="zh-CN"/>
        </w:rPr>
        <w:t>第三部分 业务类”中的地区维度，</w:t>
      </w:r>
      <w:r>
        <w:rPr>
          <w:rFonts w:hint="eastAsia" w:ascii="仿宋_GB2312" w:hAnsi="仿宋_GB2312" w:eastAsia="仿宋_GB2312" w:cs="仿宋_GB2312"/>
          <w:color w:val="auto"/>
          <w:sz w:val="32"/>
          <w:szCs w:val="32"/>
          <w:lang w:eastAsia="zh-CN"/>
        </w:rPr>
        <w:t>具体到省级行政区和计划单列市，包括</w:t>
      </w:r>
      <w:r>
        <w:rPr>
          <w:rFonts w:hint="eastAsia" w:ascii="仿宋_GB2312" w:hAnsi="仿宋_GB2312" w:eastAsia="仿宋_GB2312" w:cs="仿宋_GB2312"/>
          <w:b/>
          <w:bCs/>
          <w:color w:val="auto"/>
          <w:sz w:val="32"/>
          <w:szCs w:val="32"/>
          <w:lang w:val="en-US" w:eastAsia="zh-CN"/>
        </w:rPr>
        <w:t>[安徽省]</w:t>
      </w:r>
      <w:r>
        <w:rPr>
          <w:rFonts w:hint="eastAsia" w:ascii="仿宋_GB2312" w:hAnsi="仿宋_GB2312" w:eastAsia="仿宋_GB2312" w:cs="仿宋_GB2312"/>
          <w:b w:val="0"/>
          <w:bCs w:val="0"/>
          <w:color w:val="auto"/>
          <w:sz w:val="32"/>
          <w:szCs w:val="32"/>
          <w:lang w:val="en-US" w:eastAsia="zh-CN"/>
        </w:rPr>
        <w:t>等22个省、</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北京市</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等4个直辖市、</w:t>
      </w:r>
      <w:r>
        <w:rPr>
          <w:rFonts w:hint="eastAsia" w:ascii="仿宋_GB2312" w:hAnsi="仿宋_GB2312" w:eastAsia="仿宋_GB2312" w:cs="仿宋_GB2312"/>
          <w:b/>
          <w:bCs/>
          <w:color w:val="auto"/>
          <w:sz w:val="32"/>
          <w:szCs w:val="32"/>
          <w:lang w:val="en-US" w:eastAsia="zh-CN"/>
        </w:rPr>
        <w:t>[内蒙古自治区]</w:t>
      </w:r>
      <w:r>
        <w:rPr>
          <w:rFonts w:hint="eastAsia" w:ascii="仿宋_GB2312" w:hAnsi="仿宋_GB2312" w:eastAsia="仿宋_GB2312" w:cs="仿宋_GB2312"/>
          <w:b w:val="0"/>
          <w:bCs w:val="0"/>
          <w:color w:val="auto"/>
          <w:sz w:val="32"/>
          <w:szCs w:val="32"/>
          <w:lang w:val="en-US" w:eastAsia="zh-CN"/>
        </w:rPr>
        <w:t>等5个自治区，</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b/>
          <w:bCs/>
          <w:color w:val="auto"/>
          <w:sz w:val="32"/>
          <w:szCs w:val="32"/>
          <w:lang w:val="en-US" w:eastAsia="zh-CN"/>
        </w:rPr>
        <w:t>[辽宁省大连市]、[山东省青岛市]、[广东省深圳市]、[福建省厦门市]、[浙江省宁波市]</w:t>
      </w:r>
      <w:r>
        <w:rPr>
          <w:rFonts w:hint="eastAsia" w:ascii="仿宋_GB2312" w:hAnsi="仿宋_GB2312" w:eastAsia="仿宋_GB2312" w:cs="仿宋_GB2312"/>
          <w:b w:val="0"/>
          <w:bCs w:val="0"/>
          <w:color w:val="auto"/>
          <w:sz w:val="32"/>
          <w:szCs w:val="32"/>
          <w:lang w:val="en-US" w:eastAsia="zh-CN"/>
        </w:rPr>
        <w:t>等5个计划单列市，其中，计入计划单列市的投资，不再重复计入计划单列市所属省级行政区。</w:t>
      </w:r>
    </w:p>
    <w:p w14:paraId="736AA900">
      <w:pPr>
        <w:pStyle w:val="57"/>
        <w:keepNext w:val="0"/>
        <w:keepLines w:val="0"/>
        <w:pageBreakBefore w:val="0"/>
        <w:kinsoku/>
        <w:wordWrap/>
        <w:overflowPunct/>
        <w:topLinePunct w:val="0"/>
        <w:bidi w:val="0"/>
        <w:spacing w:after="0" w:line="600" w:lineRule="exact"/>
        <w:ind w:firstLine="0"/>
        <w:jc w:val="both"/>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农业保险</w:t>
      </w:r>
      <w:r>
        <w:rPr>
          <w:rFonts w:hint="eastAsia" w:ascii="黑体" w:hAnsi="黑体" w:eastAsia="黑体" w:cs="黑体"/>
          <w:b w:val="0"/>
          <w:bCs w:val="0"/>
          <w:color w:val="auto"/>
          <w:sz w:val="32"/>
          <w:szCs w:val="32"/>
          <w:lang w:eastAsia="zh-CN"/>
        </w:rPr>
        <w:t>重点领域（与普惠有重叠，需统一）</w:t>
      </w:r>
    </w:p>
    <w:p w14:paraId="5C2BBEC2">
      <w:pPr>
        <w:keepNext w:val="0"/>
        <w:keepLines w:val="0"/>
        <w:pageBreakBefore w:val="0"/>
        <w:kinsoku/>
        <w:wordWrap/>
        <w:overflowPunct/>
        <w:topLinePunct w:val="0"/>
        <w:bidi w:val="0"/>
        <w:spacing w:after="0" w:line="600" w:lineRule="exact"/>
        <w:ind w:firstLine="640" w:firstLineChars="200"/>
        <w:jc w:val="both"/>
        <w:textAlignment w:val="auto"/>
        <w:outlineLvl w:val="2"/>
        <w:rPr>
          <w:rFonts w:hint="default" w:ascii="黑体" w:hAnsi="黑体" w:eastAsia="楷体_GB2312" w:cs="黑体"/>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一</w:t>
      </w: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统计指标及口径</w:t>
      </w:r>
    </w:p>
    <w:p w14:paraId="0BA2E7DC">
      <w:pPr>
        <w:keepNext w:val="0"/>
        <w:keepLines w:val="0"/>
        <w:pageBreakBefore w:val="0"/>
        <w:tabs>
          <w:tab w:val="left" w:pos="1080"/>
          <w:tab w:val="left" w:pos="2747"/>
        </w:tabs>
        <w:kinsoku/>
        <w:wordWrap/>
        <w:overflowPunct/>
        <w:topLinePunct w:val="0"/>
        <w:bidi w:val="0"/>
        <w:spacing w:line="600" w:lineRule="exact"/>
        <w:ind w:firstLine="641"/>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统计指标包括</w:t>
      </w:r>
      <w:r>
        <w:rPr>
          <w:rFonts w:hint="eastAsia" w:ascii="仿宋_GB2312" w:hAnsi="仿宋_GB2312" w:eastAsia="仿宋_GB2312" w:cs="仿宋_GB2312"/>
          <w:b/>
          <w:bCs/>
          <w:color w:val="auto"/>
          <w:sz w:val="32"/>
          <w:szCs w:val="32"/>
          <w:highlight w:val="none"/>
          <w:lang w:val="en-US" w:eastAsia="zh-CN"/>
        </w:rPr>
        <w:t>[保费]、[本年新增保险金额]、[赔付金额]、[赔付件数]、[参保农户户次]、</w:t>
      </w:r>
      <w:r>
        <w:rPr>
          <w:rFonts w:hint="eastAsia" w:ascii="仿宋_GB2312" w:hAnsi="仿宋_GB2312" w:eastAsia="仿宋_GB2312" w:cs="仿宋_GB2312"/>
          <w:b/>
          <w:bCs/>
          <w:color w:val="auto"/>
          <w:sz w:val="32"/>
          <w:szCs w:val="32"/>
          <w:highlight w:val="none"/>
        </w:rPr>
        <w:t>[受益农户户次]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统计口径与“第三部分 业务类”相关统计指标一致。其中，</w:t>
      </w:r>
      <w:r>
        <w:rPr>
          <w:rFonts w:hint="eastAsia" w:ascii="仿宋_GB2312" w:hAnsi="仿宋_GB2312" w:eastAsia="仿宋_GB2312" w:cs="仿宋_GB2312"/>
          <w:b/>
          <w:bCs/>
          <w:color w:val="auto"/>
          <w:sz w:val="32"/>
          <w:szCs w:val="32"/>
          <w:highlight w:val="none"/>
          <w:lang w:val="en-US" w:eastAsia="zh-CN"/>
        </w:rPr>
        <w:t>[参保农户户次]</w:t>
      </w:r>
      <w:r>
        <w:rPr>
          <w:rFonts w:hint="eastAsia" w:ascii="仿宋_GB2312" w:hAnsi="仿宋_GB2312" w:eastAsia="仿宋_GB2312" w:cs="仿宋_GB2312"/>
          <w:b w:val="0"/>
          <w:bCs w:val="0"/>
          <w:color w:val="auto"/>
          <w:sz w:val="32"/>
          <w:szCs w:val="32"/>
          <w:highlight w:val="none"/>
          <w:lang w:val="en-US" w:eastAsia="zh-CN"/>
        </w:rPr>
        <w:t>指财产险公司在统计期内承保的保险合同中载明的农户户次的总和，无需按客户去重。</w:t>
      </w:r>
      <w:r>
        <w:rPr>
          <w:rFonts w:hint="eastAsia" w:ascii="仿宋_GB2312" w:hAnsi="仿宋_GB2312" w:eastAsia="仿宋_GB2312" w:cs="仿宋_GB2312"/>
          <w:b/>
          <w:bCs/>
          <w:color w:val="auto"/>
          <w:sz w:val="32"/>
          <w:szCs w:val="32"/>
          <w:highlight w:val="none"/>
        </w:rPr>
        <w:t>[受益农户户次]</w:t>
      </w:r>
      <w:r>
        <w:rPr>
          <w:rFonts w:hint="eastAsia" w:ascii="仿宋_GB2312" w:hAnsi="仿宋_GB2312" w:eastAsia="仿宋_GB2312" w:cs="仿宋_GB2312"/>
          <w:color w:val="auto"/>
          <w:sz w:val="32"/>
          <w:szCs w:val="32"/>
          <w:highlight w:val="none"/>
        </w:rPr>
        <w:t>指财产险公司在统计期内已立案且已核赔的赔案中直接受益的农户受益次数的总和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无需按客户去重。</w:t>
      </w:r>
    </w:p>
    <w:p w14:paraId="6B3A64F0">
      <w:pPr>
        <w:keepNext w:val="0"/>
        <w:keepLines w:val="0"/>
        <w:pageBreakBefore w:val="0"/>
        <w:kinsoku/>
        <w:wordWrap/>
        <w:overflowPunct/>
        <w:topLinePunct w:val="0"/>
        <w:bidi w:val="0"/>
        <w:spacing w:after="0" w:line="600" w:lineRule="exact"/>
        <w:ind w:firstLine="640" w:firstLineChars="200"/>
        <w:jc w:val="both"/>
        <w:textAlignment w:val="auto"/>
        <w:outlineLvl w:val="2"/>
        <w:rPr>
          <w:rFonts w:hint="default" w:ascii="黑体" w:hAnsi="黑体" w:eastAsia="楷体_GB2312" w:cs="黑体"/>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二</w:t>
      </w: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统计维度及分类标准</w:t>
      </w:r>
    </w:p>
    <w:p w14:paraId="583C2B96">
      <w:pPr>
        <w:pStyle w:val="57"/>
        <w:keepNext w:val="0"/>
        <w:keepLines w:val="0"/>
        <w:pageBreakBefore w:val="0"/>
        <w:widowControl w:val="0"/>
        <w:kinsoku/>
        <w:wordWrap/>
        <w:overflowPunct/>
        <w:topLinePunct w:val="0"/>
        <w:bidi w:val="0"/>
        <w:snapToGrid/>
        <w:spacing w:after="0" w:line="600" w:lineRule="exact"/>
        <w:ind w:firstLine="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1.保险标的维度。</w:t>
      </w:r>
      <w:r>
        <w:rPr>
          <w:rFonts w:hint="eastAsia" w:ascii="仿宋_GB2312" w:hAnsi="仿宋_GB2312" w:eastAsia="仿宋_GB2312" w:cs="仿宋_GB2312"/>
          <w:b w:val="0"/>
          <w:bCs w:val="0"/>
          <w:color w:val="auto"/>
          <w:sz w:val="32"/>
          <w:szCs w:val="32"/>
          <w:highlight w:val="none"/>
          <w:lang w:val="en-US" w:eastAsia="zh-CN"/>
        </w:rPr>
        <w:t>根据保险标的不同，</w:t>
      </w:r>
      <w:r>
        <w:rPr>
          <w:rFonts w:hint="eastAsia" w:ascii="仿宋_GB2312" w:hAnsi="仿宋_GB2312" w:eastAsia="仿宋_GB2312" w:cs="仿宋_GB2312"/>
          <w:b/>
          <w:bCs/>
          <w:color w:val="auto"/>
          <w:sz w:val="32"/>
          <w:szCs w:val="32"/>
          <w:highlight w:val="none"/>
          <w:lang w:val="en-US" w:eastAsia="zh-CN"/>
        </w:rPr>
        <w:t>[农业保险]</w:t>
      </w:r>
      <w:r>
        <w:rPr>
          <w:rFonts w:hint="eastAsia" w:ascii="仿宋_GB2312" w:hAnsi="仿宋_GB2312" w:eastAsia="仿宋_GB2312" w:cs="仿宋_GB2312"/>
          <w:b w:val="0"/>
          <w:bCs w:val="0"/>
          <w:color w:val="auto"/>
          <w:sz w:val="32"/>
          <w:szCs w:val="32"/>
          <w:highlight w:val="none"/>
          <w:lang w:val="en-US" w:eastAsia="zh-CN"/>
        </w:rPr>
        <w:t>可进一步细分为</w:t>
      </w:r>
      <w:r>
        <w:rPr>
          <w:rFonts w:hint="eastAsia" w:ascii="仿宋_GB2312" w:hAnsi="仿宋_GB2312" w:eastAsia="仿宋_GB2312" w:cs="仿宋_GB2312"/>
          <w:b/>
          <w:bCs/>
          <w:color w:val="auto"/>
          <w:sz w:val="32"/>
          <w:szCs w:val="32"/>
          <w:highlight w:val="none"/>
          <w:lang w:val="en-US" w:eastAsia="zh-CN"/>
        </w:rPr>
        <w:t>[种植业保险]、[养殖业保险]、[林木保险]。</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[种植业保险]</w:t>
      </w:r>
      <w:r>
        <w:rPr>
          <w:rFonts w:hint="eastAsia" w:ascii="仿宋_GB2312" w:hAnsi="仿宋_GB2312" w:eastAsia="仿宋_GB2312" w:cs="仿宋_GB2312"/>
          <w:b w:val="0"/>
          <w:bCs w:val="0"/>
          <w:color w:val="auto"/>
          <w:sz w:val="32"/>
          <w:szCs w:val="32"/>
          <w:highlight w:val="none"/>
          <w:lang w:val="en-US" w:eastAsia="zh-CN"/>
        </w:rPr>
        <w:t>的保险标的包括</w:t>
      </w:r>
      <w:r>
        <w:rPr>
          <w:rFonts w:hint="eastAsia" w:ascii="仿宋_GB2312" w:hAnsi="仿宋_GB2312" w:eastAsia="仿宋_GB2312" w:cs="仿宋_GB2312"/>
          <w:b/>
          <w:bCs/>
          <w:color w:val="auto"/>
          <w:sz w:val="32"/>
          <w:szCs w:val="32"/>
          <w:highlight w:val="none"/>
          <w:lang w:val="en-US" w:eastAsia="zh-CN"/>
        </w:rPr>
        <w:t>[水稻]、[小麦]、[玉米]、[大豆]、[其他种植业]；[养殖业保险]</w:t>
      </w:r>
      <w:r>
        <w:rPr>
          <w:rFonts w:hint="eastAsia" w:ascii="仿宋_GB2312" w:hAnsi="仿宋_GB2312" w:eastAsia="仿宋_GB2312" w:cs="仿宋_GB2312"/>
          <w:b w:val="0"/>
          <w:bCs w:val="0"/>
          <w:color w:val="auto"/>
          <w:sz w:val="32"/>
          <w:szCs w:val="32"/>
          <w:highlight w:val="none"/>
          <w:lang w:val="en-US" w:eastAsia="zh-CN"/>
        </w:rPr>
        <w:t>的保险标的包括为</w:t>
      </w:r>
      <w:r>
        <w:rPr>
          <w:rFonts w:hint="eastAsia" w:ascii="仿宋_GB2312" w:hAnsi="仿宋_GB2312" w:eastAsia="仿宋_GB2312" w:cs="仿宋_GB2312"/>
          <w:b/>
          <w:bCs/>
          <w:color w:val="auto"/>
          <w:sz w:val="32"/>
          <w:szCs w:val="32"/>
          <w:highlight w:val="none"/>
          <w:lang w:val="en-US" w:eastAsia="zh-CN"/>
        </w:rPr>
        <w:t>[猪]、[牛]、[羊]、[其他养殖业]</w:t>
      </w:r>
      <w:r>
        <w:rPr>
          <w:rFonts w:hint="eastAsia" w:ascii="仿宋_GB2312" w:hAnsi="仿宋_GB2312" w:eastAsia="仿宋_GB2312" w:cs="仿宋_GB2312"/>
          <w:b w:val="0"/>
          <w:bCs w:val="0"/>
          <w:color w:val="auto"/>
          <w:sz w:val="32"/>
          <w:szCs w:val="32"/>
          <w:highlight w:val="none"/>
          <w:lang w:val="en-US" w:eastAsia="zh-CN"/>
        </w:rPr>
        <w:t>。</w:t>
      </w:r>
    </w:p>
    <w:p w14:paraId="7BB2E78C">
      <w:pPr>
        <w:pStyle w:val="57"/>
        <w:keepNext w:val="0"/>
        <w:keepLines w:val="0"/>
        <w:pageBreakBefore w:val="0"/>
        <w:widowControl w:val="0"/>
        <w:kinsoku/>
        <w:wordWrap/>
        <w:overflowPunct/>
        <w:topLinePunct w:val="0"/>
        <w:bidi w:val="0"/>
        <w:snapToGrid/>
        <w:spacing w:after="0" w:line="600" w:lineRule="exact"/>
        <w:ind w:firstLine="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2.业务属性维度。</w:t>
      </w:r>
      <w:r>
        <w:rPr>
          <w:rFonts w:hint="eastAsia" w:ascii="仿宋_GB2312" w:hAnsi="仿宋_GB2312" w:eastAsia="仿宋_GB2312" w:cs="仿宋_GB2312"/>
          <w:b w:val="0"/>
          <w:bCs w:val="0"/>
          <w:color w:val="auto"/>
          <w:sz w:val="32"/>
          <w:szCs w:val="32"/>
          <w:highlight w:val="none"/>
          <w:lang w:val="en-US" w:eastAsia="zh-CN"/>
        </w:rPr>
        <w:t>按照保费是否接受政府补贴，分为</w:t>
      </w:r>
      <w:r>
        <w:rPr>
          <w:rFonts w:hint="eastAsia" w:ascii="仿宋_GB2312" w:hAnsi="仿宋_GB2312" w:eastAsia="仿宋_GB2312" w:cs="仿宋_GB2312"/>
          <w:b/>
          <w:bCs/>
          <w:color w:val="auto"/>
          <w:sz w:val="32"/>
          <w:szCs w:val="32"/>
          <w:highlight w:val="none"/>
          <w:lang w:val="en-US" w:eastAsia="zh-CN"/>
        </w:rPr>
        <w:t>[政策性农业保险]、[商业性农业保险]。</w:t>
      </w:r>
    </w:p>
    <w:p w14:paraId="41130B47">
      <w:pPr>
        <w:pStyle w:val="57"/>
        <w:keepNext w:val="0"/>
        <w:keepLines w:val="0"/>
        <w:pageBreakBefore w:val="0"/>
        <w:kinsoku/>
        <w:wordWrap/>
        <w:overflowPunct/>
        <w:topLinePunct w:val="0"/>
        <w:bidi w:val="0"/>
        <w:spacing w:after="0" w:line="600" w:lineRule="exact"/>
        <w:ind w:firstLine="0"/>
        <w:jc w:val="both"/>
        <w:textAlignment w:val="auto"/>
        <w:outlineLvl w:val="1"/>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八</w:t>
      </w:r>
      <w:r>
        <w:rPr>
          <w:rFonts w:hint="eastAsia" w:ascii="黑体" w:hAnsi="黑体" w:eastAsia="黑体" w:cs="黑体"/>
          <w:b w:val="0"/>
          <w:bCs w:val="0"/>
          <w:color w:val="auto"/>
          <w:sz w:val="32"/>
          <w:szCs w:val="32"/>
          <w:highlight w:val="none"/>
          <w:lang w:eastAsia="zh-CN"/>
        </w:rPr>
        <w:t>、涉农保险重点领域（与普惠有重叠，需统一）</w:t>
      </w:r>
    </w:p>
    <w:p w14:paraId="77B5EC93">
      <w:pPr>
        <w:keepNext w:val="0"/>
        <w:keepLines w:val="0"/>
        <w:pageBreakBefore w:val="0"/>
        <w:widowControl w:val="0"/>
        <w:numPr>
          <w:ilvl w:val="0"/>
          <w:numId w:val="0"/>
        </w:numPr>
        <w:tabs>
          <w:tab w:val="left" w:pos="1080"/>
          <w:tab w:val="left" w:pos="2747"/>
        </w:tabs>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涉农保险</w:t>
      </w:r>
      <w:r>
        <w:rPr>
          <w:rFonts w:hint="eastAsia" w:ascii="仿宋_GB2312" w:hAnsi="仿宋_GB2312" w:eastAsia="仿宋_GB2312" w:cs="仿宋_GB2312"/>
          <w:color w:val="auto"/>
          <w:sz w:val="32"/>
          <w:szCs w:val="32"/>
          <w:highlight w:val="none"/>
        </w:rPr>
        <w:t>指除</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农业保险</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以外，其他为农业服务业、农村、农民直接提供保险保障的保险，包括涉及农用机械、农用设备、农用设施、农房等农业生产生活资料，以及农产品储藏和运输、农产品初级加工、农业信贷、农产品销售等活动的财产保险；涉及农民的寿命和身体等方面的人身保险。</w:t>
      </w:r>
    </w:p>
    <w:p w14:paraId="6424F50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2"/>
        <w:rPr>
          <w:rFonts w:hint="default" w:ascii="黑体" w:hAnsi="黑体" w:eastAsia="楷体_GB2312" w:cs="黑体"/>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一</w:t>
      </w: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统计指标及口径</w:t>
      </w:r>
    </w:p>
    <w:p w14:paraId="286C508F">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统计指标包括</w:t>
      </w:r>
      <w:r>
        <w:rPr>
          <w:rFonts w:hint="eastAsia" w:ascii="仿宋_GB2312" w:hAnsi="仿宋_GB2312" w:eastAsia="仿宋_GB2312" w:cs="仿宋_GB2312"/>
          <w:b/>
          <w:bCs/>
          <w:color w:val="auto"/>
          <w:sz w:val="32"/>
          <w:szCs w:val="32"/>
          <w:highlight w:val="none"/>
          <w:lang w:val="en-US" w:eastAsia="zh-CN"/>
        </w:rPr>
        <w:t>[保费]、[本年新增保险金额]、[赔付金额]、[赔付件数]、</w:t>
      </w:r>
      <w:r>
        <w:rPr>
          <w:rFonts w:hint="eastAsia" w:ascii="仿宋_GB2312" w:hAnsi="仿宋_GB2312" w:eastAsia="仿宋_GB2312" w:cs="仿宋_GB2312"/>
          <w:b/>
          <w:bCs/>
          <w:color w:val="auto"/>
          <w:sz w:val="32"/>
          <w:szCs w:val="32"/>
          <w:highlight w:val="none"/>
        </w:rPr>
        <w:t>[承保数量]</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口径与“第三部分</w:t>
      </w:r>
      <w:r>
        <w:rPr>
          <w:rFonts w:hint="eastAsia" w:ascii="仿宋_GB2312" w:hAnsi="仿宋_GB2312" w:eastAsia="仿宋_GB2312" w:cs="仿宋_GB2312"/>
          <w:b w:val="0"/>
          <w:bCs w:val="0"/>
          <w:color w:val="auto"/>
          <w:sz w:val="32"/>
          <w:szCs w:val="32"/>
          <w:highlight w:val="none"/>
          <w:lang w:val="en-US" w:eastAsia="zh-CN"/>
        </w:rPr>
        <w:t xml:space="preserve"> 业务类”相关统计指标口径一致。</w:t>
      </w:r>
      <w:r>
        <w:rPr>
          <w:rFonts w:hint="eastAsia" w:ascii="仿宋_GB2312" w:hAnsi="仿宋_GB2312" w:eastAsia="仿宋_GB2312" w:cs="仿宋_GB2312"/>
          <w:b/>
          <w:bCs/>
          <w:color w:val="auto"/>
          <w:sz w:val="32"/>
          <w:szCs w:val="32"/>
          <w:highlight w:val="none"/>
        </w:rPr>
        <w:t>[承保数量]</w:t>
      </w:r>
      <w:r>
        <w:rPr>
          <w:rFonts w:hint="eastAsia" w:ascii="仿宋_GB2312" w:hAnsi="仿宋_GB2312" w:eastAsia="仿宋_GB2312" w:cs="仿宋_GB2312"/>
          <w:b w:val="0"/>
          <w:bCs w:val="0"/>
          <w:color w:val="auto"/>
          <w:sz w:val="32"/>
          <w:szCs w:val="32"/>
          <w:highlight w:val="none"/>
        </w:rPr>
        <w:t>指保险公司在统计期内承保的保险</w:t>
      </w:r>
      <w:r>
        <w:rPr>
          <w:rFonts w:hint="eastAsia" w:ascii="仿宋_GB2312" w:hAnsi="仿宋_GB2312" w:eastAsia="仿宋_GB2312" w:cs="仿宋_GB2312"/>
          <w:b w:val="0"/>
          <w:bCs w:val="0"/>
          <w:color w:val="auto"/>
          <w:sz w:val="32"/>
          <w:szCs w:val="32"/>
          <w:highlight w:val="none"/>
          <w:lang w:eastAsia="zh-CN"/>
        </w:rPr>
        <w:t>合同</w:t>
      </w:r>
      <w:r>
        <w:rPr>
          <w:rFonts w:hint="eastAsia" w:ascii="仿宋_GB2312" w:hAnsi="仿宋_GB2312" w:eastAsia="仿宋_GB2312" w:cs="仿宋_GB2312"/>
          <w:b w:val="0"/>
          <w:bCs w:val="0"/>
          <w:color w:val="auto"/>
          <w:sz w:val="32"/>
          <w:szCs w:val="32"/>
          <w:highlight w:val="none"/>
        </w:rPr>
        <w:t>中载明</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color w:val="auto"/>
          <w:sz w:val="32"/>
          <w:szCs w:val="32"/>
          <w:highlight w:val="none"/>
        </w:rPr>
        <w:t>保险标的数量的总和。承保数量的计量单位</w:t>
      </w:r>
      <w:r>
        <w:rPr>
          <w:rFonts w:hint="eastAsia" w:ascii="仿宋_GB2312" w:hAnsi="仿宋_GB2312" w:eastAsia="仿宋_GB2312" w:cs="仿宋_GB2312"/>
          <w:b w:val="0"/>
          <w:bCs w:val="0"/>
          <w:color w:val="auto"/>
          <w:sz w:val="32"/>
          <w:szCs w:val="32"/>
          <w:highlight w:val="none"/>
          <w:lang w:eastAsia="zh-CN"/>
        </w:rPr>
        <w:t>根据</w:t>
      </w:r>
      <w:r>
        <w:rPr>
          <w:rFonts w:hint="eastAsia" w:ascii="仿宋_GB2312" w:hAnsi="仿宋_GB2312" w:eastAsia="仿宋_GB2312" w:cs="仿宋_GB2312"/>
          <w:b w:val="0"/>
          <w:bCs w:val="0"/>
          <w:color w:val="auto"/>
          <w:sz w:val="32"/>
          <w:szCs w:val="32"/>
          <w:highlight w:val="none"/>
        </w:rPr>
        <w:t>保险标的</w:t>
      </w:r>
      <w:r>
        <w:rPr>
          <w:rFonts w:hint="eastAsia" w:ascii="仿宋_GB2312" w:hAnsi="仿宋_GB2312" w:eastAsia="仿宋_GB2312" w:cs="仿宋_GB2312"/>
          <w:b w:val="0"/>
          <w:bCs w:val="0"/>
          <w:color w:val="auto"/>
          <w:sz w:val="32"/>
          <w:szCs w:val="32"/>
          <w:highlight w:val="none"/>
          <w:lang w:eastAsia="zh-CN"/>
        </w:rPr>
        <w:t>的属性</w:t>
      </w:r>
      <w:r>
        <w:rPr>
          <w:rFonts w:hint="eastAsia" w:ascii="仿宋_GB2312" w:hAnsi="仿宋_GB2312" w:eastAsia="仿宋_GB2312" w:cs="仿宋_GB2312"/>
          <w:b w:val="0"/>
          <w:bCs w:val="0"/>
          <w:color w:val="auto"/>
          <w:sz w:val="32"/>
          <w:szCs w:val="32"/>
          <w:highlight w:val="none"/>
        </w:rPr>
        <w:t>确定，不同计量单位保险标的的承保数量一般不进行相加。</w:t>
      </w:r>
    </w:p>
    <w:p w14:paraId="5E6F85F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2"/>
        <w:rPr>
          <w:rFonts w:hint="default" w:ascii="黑体" w:hAnsi="黑体" w:eastAsia="楷体_GB2312" w:cs="黑体"/>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二</w:t>
      </w:r>
      <w:r>
        <w:rPr>
          <w:rFonts w:hint="eastAsia" w:ascii="楷体_GB2312" w:hAnsi="楷体_GB2312" w:eastAsia="楷体_GB2312" w:cs="楷体_GB2312"/>
          <w:b w:val="0"/>
          <w:bCs/>
          <w:color w:val="auto"/>
          <w:sz w:val="32"/>
          <w:szCs w:val="32"/>
          <w:highlight w:val="none"/>
        </w:rPr>
        <w:t>）</w:t>
      </w:r>
      <w:r>
        <w:rPr>
          <w:rFonts w:hint="eastAsia" w:ascii="楷体_GB2312" w:hAnsi="楷体_GB2312" w:eastAsia="楷体_GB2312" w:cs="楷体_GB2312"/>
          <w:b w:val="0"/>
          <w:bCs/>
          <w:color w:val="auto"/>
          <w:sz w:val="32"/>
          <w:szCs w:val="32"/>
          <w:highlight w:val="none"/>
          <w:lang w:val="en-US" w:eastAsia="zh-CN"/>
        </w:rPr>
        <w:t>统计维度及分类标准</w:t>
      </w:r>
    </w:p>
    <w:p w14:paraId="1A4AE0CF">
      <w:pPr>
        <w:keepNext w:val="0"/>
        <w:keepLines w:val="0"/>
        <w:pageBreakBefore w:val="0"/>
        <w:widowControl w:val="0"/>
        <w:tabs>
          <w:tab w:val="left" w:pos="1080"/>
          <w:tab w:val="left" w:pos="2747"/>
        </w:tabs>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val="0"/>
          <w:bCs/>
          <w:color w:val="auto"/>
          <w:kern w:val="0"/>
          <w:sz w:val="32"/>
          <w:szCs w:val="20"/>
          <w:highlight w:val="none"/>
        </w:rPr>
        <w:t>涉农保险按照险种进行分类</w:t>
      </w:r>
      <w:r>
        <w:rPr>
          <w:rFonts w:hint="eastAsia" w:ascii="仿宋_GB2312" w:hAnsi="仿宋_GB2312" w:eastAsia="仿宋_GB2312" w:cs="仿宋_GB2312"/>
          <w:b w:val="0"/>
          <w:bCs/>
          <w:color w:val="auto"/>
          <w:kern w:val="0"/>
          <w:sz w:val="32"/>
          <w:szCs w:val="20"/>
        </w:rPr>
        <w:t>，</w:t>
      </w:r>
      <w:r>
        <w:rPr>
          <w:rFonts w:hint="eastAsia" w:ascii="仿宋_GB2312" w:hAnsi="仿宋_GB2312" w:eastAsia="仿宋_GB2312" w:cs="仿宋_GB2312"/>
          <w:color w:val="auto"/>
          <w:sz w:val="32"/>
          <w:szCs w:val="32"/>
        </w:rPr>
        <w:t>分为</w:t>
      </w:r>
      <w:r>
        <w:rPr>
          <w:rFonts w:hint="eastAsia" w:ascii="仿宋_GB2312" w:hAnsi="仿宋_GB2312" w:eastAsia="仿宋_GB2312" w:cs="仿宋_GB2312"/>
          <w:b/>
          <w:bCs/>
          <w:color w:val="auto"/>
          <w:sz w:val="32"/>
          <w:szCs w:val="32"/>
        </w:rPr>
        <w:t>[涉农企业财产保险]、[涉农家庭财产保险]、[涉农机动车辆保险]、[涉农工程险]、[涉农责任保险]、[涉农信用保险]、[涉农保证保险]、[涉农船舶保险]、[涉农货运险]、[涉农意外伤害险]、[涉农健康险]、[涉农特殊风险保险]、[涉农其他保险]</w:t>
      </w:r>
      <w:r>
        <w:rPr>
          <w:rFonts w:hint="eastAsia" w:ascii="仿宋_GB2312" w:hAnsi="仿宋_GB2312" w:eastAsia="仿宋_GB2312" w:cs="仿宋_GB2312"/>
          <w:color w:val="auto"/>
          <w:sz w:val="32"/>
          <w:szCs w:val="32"/>
        </w:rPr>
        <w:t>。二级</w:t>
      </w:r>
      <w:r>
        <w:rPr>
          <w:rFonts w:hint="eastAsia" w:ascii="仿宋_GB2312" w:hAnsi="仿宋_GB2312" w:eastAsia="仿宋_GB2312" w:cs="仿宋_GB2312"/>
          <w:color w:val="auto"/>
          <w:sz w:val="32"/>
          <w:szCs w:val="32"/>
          <w:lang w:val="en-US" w:eastAsia="zh-CN"/>
        </w:rPr>
        <w:t>分类</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b/>
          <w:bCs/>
          <w:color w:val="auto"/>
          <w:sz w:val="32"/>
          <w:szCs w:val="32"/>
        </w:rPr>
        <w:t>[农机保险]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[农房保险]</w:t>
      </w:r>
      <w:r>
        <w:rPr>
          <w:rFonts w:hint="eastAsia" w:ascii="仿宋_GB2312" w:hAnsi="仿宋_GB2312" w:eastAsia="仿宋_GB2312" w:cs="仿宋_GB2312"/>
          <w:b/>
          <w:bCs/>
          <w:color w:val="auto"/>
          <w:sz w:val="32"/>
          <w:szCs w:val="32"/>
          <w:lang w:eastAsia="zh-CN"/>
        </w:rPr>
        <w:t>。</w:t>
      </w:r>
    </w:p>
    <w:p w14:paraId="01CE7C4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[农机保险]</w:t>
      </w:r>
      <w:r>
        <w:rPr>
          <w:rFonts w:hint="eastAsia" w:ascii="仿宋_GB2312" w:hAnsi="仿宋_GB2312" w:eastAsia="仿宋_GB2312" w:cs="仿宋_GB2312"/>
          <w:b w:val="0"/>
          <w:bCs w:val="0"/>
          <w:color w:val="auto"/>
          <w:sz w:val="32"/>
          <w:szCs w:val="32"/>
        </w:rPr>
        <w:t>指以农用机械为保险标的的保险。其中，农用机械如拖拉机、农具、农用生产设备等。</w:t>
      </w:r>
    </w:p>
    <w:p w14:paraId="7C86208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[农房保险]</w:t>
      </w:r>
      <w:r>
        <w:rPr>
          <w:rFonts w:hint="eastAsia" w:ascii="仿宋_GB2312" w:hAnsi="仿宋_GB2312" w:eastAsia="仿宋_GB2312" w:cs="仿宋_GB2312"/>
          <w:b w:val="0"/>
          <w:bCs w:val="0"/>
          <w:color w:val="auto"/>
          <w:sz w:val="32"/>
          <w:szCs w:val="32"/>
        </w:rPr>
        <w:t>以农民生活住房及农业生产用房为保险标的的保险。其中，农民生活住房是指农民拥有的、位于农村的、用于居住生活的房屋；农业生产用房指直接用于农业生产、放置农业生产工具和其它生产资料、存放成品和半成品、从事农林牧渔服务业的房屋。如库房、农产品初加工的生产用房和畜禽圈舍、水产养殖的房屋等。</w:t>
      </w:r>
    </w:p>
    <w:p w14:paraId="13DAD3AF">
      <w:pPr>
        <w:pStyle w:val="57"/>
        <w:keepNext w:val="0"/>
        <w:keepLines w:val="0"/>
        <w:pageBreakBefore w:val="0"/>
        <w:kinsoku/>
        <w:wordWrap/>
        <w:overflowPunct/>
        <w:topLinePunct w:val="0"/>
        <w:bidi w:val="0"/>
        <w:spacing w:after="0" w:line="600" w:lineRule="exact"/>
        <w:ind w:left="0" w:leftChars="0" w:firstLine="640" w:firstLineChars="200"/>
        <w:jc w:val="both"/>
        <w:textAlignment w:val="auto"/>
        <w:outlineLvl w:val="1"/>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新能源车险</w:t>
      </w:r>
      <w:r>
        <w:rPr>
          <w:rFonts w:hint="eastAsia" w:ascii="黑体" w:hAnsi="黑体" w:eastAsia="黑体" w:cs="黑体"/>
          <w:b w:val="0"/>
          <w:bCs w:val="0"/>
          <w:color w:val="auto"/>
          <w:sz w:val="32"/>
          <w:szCs w:val="32"/>
          <w:highlight w:val="none"/>
          <w:lang w:eastAsia="zh-CN"/>
        </w:rPr>
        <w:t>重点领域</w:t>
      </w:r>
    </w:p>
    <w:p w14:paraId="7B5BD0E9">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经营</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机动车辆保险</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的财产险公司，应当根据所承保机动车辆的能源属性，统计以新能源机动车为保险标的的机动车辆保险有关数据。新能源机动车是</w:t>
      </w:r>
      <w:r>
        <w:rPr>
          <w:rFonts w:hint="eastAsia" w:ascii="仿宋_GB2312" w:hAnsi="仿宋_GB2312" w:eastAsia="仿宋_GB2312" w:cs="仿宋_GB2312"/>
          <w:b w:val="0"/>
          <w:bCs w:val="0"/>
          <w:color w:val="auto"/>
          <w:sz w:val="32"/>
          <w:szCs w:val="32"/>
        </w:rPr>
        <w:t>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采用新型动力系统，完全或者主要依靠新型能源驱动的机动车，上道路行使的供人员乘用或者用于运送物品以及进行专项作业的轮式车辆、履带式车辆和其他运载工具，包括汽车、摩托车、拖拉机、特种车等。</w:t>
      </w:r>
    </w:p>
    <w:p w14:paraId="6DE9C908">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outlineLvl w:val="2"/>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（一）统计指标及口径</w:t>
      </w:r>
    </w:p>
    <w:p w14:paraId="6437C09B">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val="0"/>
          <w:bCs w:val="0"/>
          <w:color w:val="auto"/>
          <w:sz w:val="32"/>
          <w:szCs w:val="32"/>
          <w:lang w:eastAsia="zh-CN"/>
        </w:rPr>
        <w:t>统计指标包括</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保费</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本年新增保单数量</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承保辆数</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本年新增保险金额</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赔付金额</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赔付件数</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具体指标口径与“第三部分 业务类”相关指标口径一致。</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承保辆数</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是指：</w:t>
      </w:r>
    </w:p>
    <w:p w14:paraId="70731EC2">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outlineLvl w:val="2"/>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（二）统计维度及分类标准</w:t>
      </w:r>
    </w:p>
    <w:p w14:paraId="2DCB0842">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保险机构应当区分新能源机动车辆保险的商业属性，包括</w:t>
      </w:r>
      <w:r>
        <w:rPr>
          <w:rFonts w:hint="eastAsia" w:ascii="仿宋_GB2312" w:hAnsi="仿宋_GB2312" w:eastAsia="仿宋_GB2312" w:cs="仿宋_GB2312"/>
          <w:b/>
          <w:bCs/>
          <w:color w:val="auto"/>
          <w:sz w:val="32"/>
          <w:szCs w:val="32"/>
          <w:lang w:val="en-US" w:eastAsia="zh-CN"/>
        </w:rPr>
        <w:t>[交强险]、[商业险]。</w:t>
      </w:r>
    </w:p>
    <w:p w14:paraId="0C924DC8">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1"/>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highlight w:val="none"/>
          <w:lang w:val="en-US" w:eastAsia="zh-CN"/>
        </w:rPr>
        <w:t>十</w:t>
      </w:r>
      <w:r>
        <w:rPr>
          <w:rFonts w:hint="eastAsia" w:ascii="黑体" w:hAnsi="黑体" w:eastAsia="黑体" w:cs="黑体"/>
          <w:b w:val="0"/>
          <w:bCs w:val="0"/>
          <w:color w:val="auto"/>
          <w:sz w:val="32"/>
          <w:szCs w:val="32"/>
          <w:lang w:val="en-US" w:eastAsia="zh-CN"/>
        </w:rPr>
        <w:t>、首台（套）保险重点领域</w:t>
      </w:r>
    </w:p>
    <w:p w14:paraId="39255DFD">
      <w:pPr>
        <w:pStyle w:val="56"/>
        <w:keepNext w:val="0"/>
        <w:keepLines w:val="0"/>
        <w:pageBreakBefore w:val="0"/>
        <w:kinsoku/>
        <w:wordWrap/>
        <w:overflowPunct/>
        <w:topLinePunct w:val="0"/>
        <w:bidi w:val="0"/>
        <w:spacing w:after="0" w:line="600" w:lineRule="exact"/>
        <w:ind w:firstLine="0"/>
        <w:jc w:val="both"/>
        <w:textAlignment w:val="auto"/>
        <w:outlineLvl w:val="2"/>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lang w:val="en-US" w:eastAsia="zh-CN"/>
        </w:rPr>
        <w:t>统计指标及口径</w:t>
      </w:r>
    </w:p>
    <w:p w14:paraId="3ED9771F">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关于规范首台（套）重大技术装备保险、重点新材料首批次应用保险产品备案和信息报送工作的通知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（财险部函〔2019〕255号）</w:t>
      </w:r>
      <w:r>
        <w:rPr>
          <w:rFonts w:hint="eastAsia" w:ascii="仿宋_GB2312" w:hAnsi="仿宋_GB2312" w:eastAsia="仿宋_GB2312" w:cs="仿宋_GB2312"/>
          <w:color w:val="auto"/>
          <w:sz w:val="32"/>
          <w:szCs w:val="32"/>
          <w:lang w:val="en-US" w:eastAsia="zh-CN"/>
        </w:rPr>
        <w:t>、《关于进一步规范首台（套）重大技术装备保险、重点新材料首批次应用保险产品备案和信息报送工作的通知》（财险部函〔2023〕37号）</w:t>
      </w:r>
      <w:r>
        <w:rPr>
          <w:rFonts w:hint="default" w:ascii="仿宋_GB2312" w:hAnsi="仿宋_GB2312" w:eastAsia="仿宋_GB2312" w:cs="仿宋_GB2312"/>
          <w:color w:val="auto"/>
          <w:sz w:val="32"/>
          <w:szCs w:val="32"/>
          <w:lang w:val="en-US" w:eastAsia="zh-CN"/>
        </w:rPr>
        <w:t>发文要求，报送</w:t>
      </w:r>
      <w:r>
        <w:rPr>
          <w:rFonts w:hint="eastAsia" w:ascii="仿宋_GB2312" w:hAnsi="仿宋_GB2312" w:eastAsia="仿宋_GB2312" w:cs="仿宋_GB2312"/>
          <w:color w:val="auto"/>
          <w:sz w:val="32"/>
          <w:szCs w:val="32"/>
          <w:lang w:val="en-US" w:eastAsia="zh-CN"/>
        </w:rPr>
        <w:t>财产</w:t>
      </w:r>
      <w:r>
        <w:rPr>
          <w:rFonts w:hint="default" w:ascii="仿宋_GB2312" w:hAnsi="仿宋_GB2312" w:eastAsia="仿宋_GB2312" w:cs="仿宋_GB2312"/>
          <w:color w:val="auto"/>
          <w:sz w:val="32"/>
          <w:szCs w:val="32"/>
          <w:lang w:val="en-US" w:eastAsia="zh-CN"/>
        </w:rPr>
        <w:t>保险公司首台（套）</w:t>
      </w:r>
      <w:r>
        <w:rPr>
          <w:rFonts w:hint="eastAsia" w:ascii="仿宋_GB2312" w:hAnsi="仿宋_GB2312" w:eastAsia="仿宋_GB2312" w:cs="仿宋_GB2312"/>
          <w:color w:val="auto"/>
          <w:sz w:val="32"/>
          <w:szCs w:val="32"/>
          <w:lang w:val="en-US" w:eastAsia="zh-CN"/>
        </w:rPr>
        <w:t>业务</w:t>
      </w:r>
      <w:r>
        <w:rPr>
          <w:rFonts w:hint="default" w:ascii="仿宋_GB2312" w:hAnsi="仿宋_GB2312" w:eastAsia="仿宋_GB2312" w:cs="仿宋_GB2312"/>
          <w:color w:val="auto"/>
          <w:sz w:val="32"/>
          <w:szCs w:val="32"/>
          <w:lang w:val="en-US" w:eastAsia="zh-CN"/>
        </w:rPr>
        <w:t>的相关指标数据，包括</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保</w:t>
      </w:r>
      <w:r>
        <w:rPr>
          <w:rFonts w:hint="eastAsia" w:ascii="仿宋_GB2312" w:hAnsi="仿宋_GB2312" w:eastAsia="仿宋_GB2312" w:cs="仿宋_GB2312"/>
          <w:b/>
          <w:bCs/>
          <w:color w:val="auto"/>
          <w:sz w:val="32"/>
          <w:szCs w:val="32"/>
          <w:lang w:val="en-US" w:eastAsia="zh-CN"/>
        </w:rPr>
        <w:t>费]、[本年新增</w:t>
      </w:r>
      <w:r>
        <w:rPr>
          <w:rFonts w:hint="default" w:ascii="仿宋_GB2312" w:hAnsi="仿宋_GB2312" w:eastAsia="仿宋_GB2312" w:cs="仿宋_GB2312"/>
          <w:b/>
          <w:bCs/>
          <w:color w:val="auto"/>
          <w:sz w:val="32"/>
          <w:szCs w:val="32"/>
          <w:lang w:val="en-US" w:eastAsia="zh-CN"/>
        </w:rPr>
        <w:t>保费金额</w:t>
      </w:r>
      <w:r>
        <w:rPr>
          <w:rFonts w:hint="eastAsia" w:ascii="仿宋_GB2312" w:hAnsi="仿宋_GB2312" w:eastAsia="仿宋_GB2312" w:cs="仿宋_GB2312"/>
          <w:b/>
          <w:bCs/>
          <w:color w:val="auto"/>
          <w:sz w:val="32"/>
          <w:szCs w:val="32"/>
          <w:lang w:val="en-US" w:eastAsia="zh-CN"/>
        </w:rPr>
        <w:t>]、[手续费率]、[已决赔款]、[未决赔款]、[</w:t>
      </w:r>
      <w:r>
        <w:rPr>
          <w:rFonts w:hint="default" w:ascii="仿宋_GB2312" w:hAnsi="仿宋_GB2312" w:eastAsia="仿宋_GB2312" w:cs="仿宋_GB2312"/>
          <w:b/>
          <w:bCs/>
          <w:color w:val="auto"/>
          <w:sz w:val="32"/>
          <w:szCs w:val="32"/>
          <w:lang w:val="en-US" w:eastAsia="zh-CN"/>
        </w:rPr>
        <w:t>分出保费</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已赚保费</w:t>
      </w:r>
      <w:r>
        <w:rPr>
          <w:rFonts w:hint="eastAsia" w:ascii="仿宋_GB2312" w:hAnsi="仿宋_GB2312" w:eastAsia="仿宋_GB2312" w:cs="仿宋_GB2312"/>
          <w:b/>
          <w:bCs/>
          <w:color w:val="auto"/>
          <w:sz w:val="32"/>
          <w:szCs w:val="32"/>
          <w:lang w:val="en-US" w:eastAsia="zh-CN"/>
        </w:rPr>
        <w:t>]、[赔付金额]、[</w:t>
      </w:r>
      <w:r>
        <w:rPr>
          <w:rFonts w:hint="default" w:ascii="仿宋_GB2312" w:hAnsi="仿宋_GB2312" w:eastAsia="仿宋_GB2312" w:cs="仿宋_GB2312"/>
          <w:b/>
          <w:bCs/>
          <w:color w:val="auto"/>
          <w:sz w:val="32"/>
          <w:szCs w:val="32"/>
          <w:lang w:val="en-US" w:eastAsia="zh-CN"/>
        </w:rPr>
        <w:t>综合赔付率</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综合费用率</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综合成本率</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承保利润</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，具体口径定义按照“第三部分 业务类”有关统计指标口径确定。</w:t>
      </w:r>
    </w:p>
    <w:p w14:paraId="4D968C2B">
      <w:pPr>
        <w:pStyle w:val="56"/>
        <w:keepNext w:val="0"/>
        <w:keepLines w:val="0"/>
        <w:pageBreakBefore w:val="0"/>
        <w:numPr>
          <w:ilvl w:val="0"/>
          <w:numId w:val="0"/>
        </w:numPr>
        <w:kinsoku/>
        <w:wordWrap/>
        <w:overflowPunct/>
        <w:topLinePunct w:val="0"/>
        <w:bidi w:val="0"/>
        <w:spacing w:after="0" w:line="600" w:lineRule="exact"/>
        <w:ind w:leftChars="0" w:firstLine="640"/>
        <w:jc w:val="both"/>
        <w:textAlignment w:val="auto"/>
        <w:outlineLvl w:val="2"/>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（二）统计维度及分类标准</w:t>
      </w:r>
    </w:p>
    <w:p w14:paraId="1D158E57">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首台套保险按照保险补偿类型，包括</w:t>
      </w:r>
      <w:r>
        <w:rPr>
          <w:rFonts w:hint="eastAsia" w:ascii="仿宋_GB2312" w:hAnsi="仿宋_GB2312" w:eastAsia="仿宋_GB2312" w:cs="仿宋_GB2312"/>
          <w:b/>
          <w:bCs/>
          <w:color w:val="auto"/>
          <w:sz w:val="32"/>
          <w:szCs w:val="32"/>
          <w:highlight w:val="none"/>
          <w:lang w:val="en-US" w:eastAsia="zh-CN"/>
        </w:rPr>
        <w:t>[中央型]、[地方型]、[无补偿]</w:t>
      </w:r>
      <w:r>
        <w:rPr>
          <w:rFonts w:hint="eastAsia" w:ascii="仿宋_GB2312" w:hAnsi="仿宋_GB2312" w:eastAsia="仿宋_GB2312" w:cs="仿宋_GB2312"/>
          <w:b w:val="0"/>
          <w:bCs w:val="0"/>
          <w:color w:val="auto"/>
          <w:sz w:val="32"/>
          <w:szCs w:val="32"/>
          <w:highlight w:val="none"/>
          <w:lang w:val="en-US" w:eastAsia="zh-CN"/>
        </w:rPr>
        <w:t>。</w:t>
      </w:r>
    </w:p>
    <w:p w14:paraId="2F7E8ACB">
      <w:pPr>
        <w:pStyle w:val="57"/>
        <w:keepNext w:val="0"/>
        <w:keepLines w:val="0"/>
        <w:pageBreakBefore w:val="0"/>
        <w:kinsoku/>
        <w:wordWrap/>
        <w:overflowPunct/>
        <w:topLinePunct w:val="0"/>
        <w:bidi w:val="0"/>
        <w:spacing w:after="0" w:line="600" w:lineRule="exact"/>
        <w:ind w:firstLine="640"/>
        <w:jc w:val="both"/>
        <w:textAlignment w:val="auto"/>
        <w:outlineLvl w:val="1"/>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十一、重点新材料首批次应用保险重点领域</w:t>
      </w:r>
    </w:p>
    <w:p w14:paraId="2A24EB8C">
      <w:pPr>
        <w:pStyle w:val="56"/>
        <w:keepNext w:val="0"/>
        <w:keepLines w:val="0"/>
        <w:pageBreakBefore w:val="0"/>
        <w:kinsoku/>
        <w:wordWrap/>
        <w:overflowPunct/>
        <w:topLinePunct w:val="0"/>
        <w:bidi w:val="0"/>
        <w:spacing w:after="0" w:line="600" w:lineRule="exact"/>
        <w:ind w:firstLine="0"/>
        <w:jc w:val="both"/>
        <w:textAlignment w:val="auto"/>
        <w:outlineLvl w:val="2"/>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lang w:val="en-US" w:eastAsia="zh-CN"/>
        </w:rPr>
        <w:t>统计指标及口径</w:t>
      </w:r>
    </w:p>
    <w:p w14:paraId="652F69ED">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关于规范首台（套）重大技术装备保险、重点新材料首批次应用保险产品备案和信息报送工作的通知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（财险部函〔2019〕255号）</w:t>
      </w:r>
      <w:r>
        <w:rPr>
          <w:rFonts w:hint="eastAsia" w:ascii="仿宋_GB2312" w:hAnsi="仿宋_GB2312" w:eastAsia="仿宋_GB2312" w:cs="仿宋_GB2312"/>
          <w:color w:val="auto"/>
          <w:sz w:val="32"/>
          <w:szCs w:val="32"/>
          <w:lang w:val="en-US" w:eastAsia="zh-CN"/>
        </w:rPr>
        <w:t>、《关于进一步规范首台（套）重大技术装备保险、重点新材料首批次应用保险产品备案和信息报送工作的通知》（财险部函〔2023〕37号）</w:t>
      </w:r>
      <w:r>
        <w:rPr>
          <w:rFonts w:hint="default" w:ascii="仿宋_GB2312" w:hAnsi="仿宋_GB2312" w:eastAsia="仿宋_GB2312" w:cs="仿宋_GB2312"/>
          <w:color w:val="auto"/>
          <w:sz w:val="32"/>
          <w:szCs w:val="32"/>
          <w:lang w:val="en-US" w:eastAsia="zh-CN"/>
        </w:rPr>
        <w:t>发文要求，报送</w:t>
      </w:r>
      <w:r>
        <w:rPr>
          <w:rFonts w:hint="eastAsia" w:ascii="仿宋_GB2312" w:hAnsi="仿宋_GB2312" w:eastAsia="仿宋_GB2312" w:cs="仿宋_GB2312"/>
          <w:color w:val="auto"/>
          <w:sz w:val="32"/>
          <w:szCs w:val="32"/>
          <w:lang w:val="en-US" w:eastAsia="zh-CN"/>
        </w:rPr>
        <w:t>财产</w:t>
      </w:r>
      <w:r>
        <w:rPr>
          <w:rFonts w:hint="default" w:ascii="仿宋_GB2312" w:hAnsi="仿宋_GB2312" w:eastAsia="仿宋_GB2312" w:cs="仿宋_GB2312"/>
          <w:color w:val="auto"/>
          <w:sz w:val="32"/>
          <w:szCs w:val="32"/>
          <w:lang w:val="en-US" w:eastAsia="zh-CN"/>
        </w:rPr>
        <w:t>保险公司</w:t>
      </w:r>
      <w:r>
        <w:rPr>
          <w:rFonts w:hint="eastAsia" w:ascii="仿宋_GB2312" w:hAnsi="仿宋_GB2312" w:eastAsia="仿宋_GB2312" w:cs="仿宋_GB2312"/>
          <w:color w:val="auto"/>
          <w:sz w:val="32"/>
          <w:szCs w:val="32"/>
          <w:lang w:val="en-US" w:eastAsia="zh-CN"/>
        </w:rPr>
        <w:t>新材料保险业务</w:t>
      </w:r>
      <w:r>
        <w:rPr>
          <w:rFonts w:hint="default" w:ascii="仿宋_GB2312" w:hAnsi="仿宋_GB2312" w:eastAsia="仿宋_GB2312" w:cs="仿宋_GB2312"/>
          <w:color w:val="auto"/>
          <w:sz w:val="32"/>
          <w:szCs w:val="32"/>
          <w:lang w:val="en-US" w:eastAsia="zh-CN"/>
        </w:rPr>
        <w:t>的相关指标数据，包括</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保费</w:t>
      </w:r>
      <w:r>
        <w:rPr>
          <w:rFonts w:hint="eastAsia" w:ascii="仿宋_GB2312" w:hAnsi="仿宋_GB2312" w:eastAsia="仿宋_GB2312" w:cs="仿宋_GB2312"/>
          <w:b/>
          <w:bCs/>
          <w:color w:val="auto"/>
          <w:sz w:val="32"/>
          <w:szCs w:val="32"/>
          <w:lang w:val="en-US" w:eastAsia="zh-CN"/>
        </w:rPr>
        <w:t>]、[本年新增</w:t>
      </w:r>
      <w:r>
        <w:rPr>
          <w:rFonts w:hint="default" w:ascii="仿宋_GB2312" w:hAnsi="仿宋_GB2312" w:eastAsia="仿宋_GB2312" w:cs="仿宋_GB2312"/>
          <w:b/>
          <w:bCs/>
          <w:color w:val="auto"/>
          <w:sz w:val="32"/>
          <w:szCs w:val="32"/>
          <w:lang w:val="en-US" w:eastAsia="zh-CN"/>
        </w:rPr>
        <w:t>保险金额</w:t>
      </w:r>
      <w:r>
        <w:rPr>
          <w:rFonts w:hint="eastAsia" w:ascii="仿宋_GB2312" w:hAnsi="仿宋_GB2312" w:eastAsia="仿宋_GB2312" w:cs="仿宋_GB2312"/>
          <w:b/>
          <w:bCs/>
          <w:color w:val="auto"/>
          <w:sz w:val="32"/>
          <w:szCs w:val="32"/>
          <w:lang w:val="en-US" w:eastAsia="zh-CN"/>
        </w:rPr>
        <w:t>]、[财政给予的保险补偿金额]、[手续费率]、[已决赔款]、[未决赔款]、[</w:t>
      </w:r>
      <w:r>
        <w:rPr>
          <w:rFonts w:hint="default" w:ascii="仿宋_GB2312" w:hAnsi="仿宋_GB2312" w:eastAsia="仿宋_GB2312" w:cs="仿宋_GB2312"/>
          <w:b/>
          <w:bCs/>
          <w:color w:val="auto"/>
          <w:sz w:val="32"/>
          <w:szCs w:val="32"/>
          <w:lang w:val="en-US" w:eastAsia="zh-CN"/>
        </w:rPr>
        <w:t>分出保费</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已赚保费</w:t>
      </w:r>
      <w:r>
        <w:rPr>
          <w:rFonts w:hint="eastAsia" w:ascii="仿宋_GB2312" w:hAnsi="仿宋_GB2312" w:eastAsia="仿宋_GB2312" w:cs="仿宋_GB2312"/>
          <w:b/>
          <w:bCs/>
          <w:color w:val="auto"/>
          <w:sz w:val="32"/>
          <w:szCs w:val="32"/>
          <w:lang w:val="en-US" w:eastAsia="zh-CN"/>
        </w:rPr>
        <w:t>]、[赔付金额]、[</w:t>
      </w:r>
      <w:r>
        <w:rPr>
          <w:rFonts w:hint="default" w:ascii="仿宋_GB2312" w:hAnsi="仿宋_GB2312" w:eastAsia="仿宋_GB2312" w:cs="仿宋_GB2312"/>
          <w:b/>
          <w:bCs/>
          <w:color w:val="auto"/>
          <w:sz w:val="32"/>
          <w:szCs w:val="32"/>
          <w:lang w:val="en-US" w:eastAsia="zh-CN"/>
        </w:rPr>
        <w:t>综合赔付率</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综合费用率</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综合成本率</w:t>
      </w:r>
      <w:r>
        <w:rPr>
          <w:rFonts w:hint="eastAsia"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b/>
          <w:bCs/>
          <w:color w:val="auto"/>
          <w:sz w:val="32"/>
          <w:szCs w:val="32"/>
          <w:lang w:val="en-US" w:eastAsia="zh-CN"/>
        </w:rPr>
        <w:t>承保利润</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w:t>
      </w:r>
    </w:p>
    <w:p w14:paraId="33943CDE">
      <w:pPr>
        <w:pStyle w:val="56"/>
        <w:keepNext w:val="0"/>
        <w:keepLines w:val="0"/>
        <w:pageBreakBefore w:val="0"/>
        <w:numPr>
          <w:ilvl w:val="0"/>
          <w:numId w:val="0"/>
        </w:numPr>
        <w:kinsoku/>
        <w:wordWrap/>
        <w:overflowPunct/>
        <w:topLinePunct w:val="0"/>
        <w:bidi w:val="0"/>
        <w:spacing w:after="0" w:line="600" w:lineRule="exact"/>
        <w:ind w:leftChars="0" w:firstLine="640"/>
        <w:jc w:val="both"/>
        <w:textAlignment w:val="auto"/>
        <w:outlineLvl w:val="2"/>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（二）统计维度及分类标准</w:t>
      </w:r>
    </w:p>
    <w:p w14:paraId="08F5C3A0">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按照保险补偿类型，包括</w:t>
      </w:r>
      <w:r>
        <w:rPr>
          <w:rFonts w:hint="eastAsia" w:ascii="仿宋_GB2312" w:hAnsi="仿宋_GB2312" w:eastAsia="仿宋_GB2312" w:cs="仿宋_GB2312"/>
          <w:b/>
          <w:bCs/>
          <w:color w:val="auto"/>
          <w:sz w:val="32"/>
          <w:szCs w:val="32"/>
          <w:highlight w:val="none"/>
          <w:lang w:val="en-US" w:eastAsia="zh-CN"/>
        </w:rPr>
        <w:t>[中央型]、[地方型]、[无补偿]</w:t>
      </w:r>
      <w:r>
        <w:rPr>
          <w:rFonts w:hint="eastAsia" w:ascii="仿宋_GB2312" w:hAnsi="仿宋_GB2312" w:eastAsia="仿宋_GB2312" w:cs="仿宋_GB2312"/>
          <w:b w:val="0"/>
          <w:bCs w:val="0"/>
          <w:color w:val="auto"/>
          <w:sz w:val="32"/>
          <w:szCs w:val="32"/>
          <w:highlight w:val="none"/>
          <w:lang w:val="en-US" w:eastAsia="zh-CN"/>
        </w:rPr>
        <w:t>。</w:t>
      </w:r>
    </w:p>
    <w:p w14:paraId="7AA002D7">
      <w:pPr>
        <w:pStyle w:val="57"/>
        <w:keepNext w:val="0"/>
        <w:keepLines w:val="0"/>
        <w:pageBreakBefore w:val="0"/>
        <w:kinsoku/>
        <w:wordWrap/>
        <w:overflowPunct/>
        <w:topLinePunct w:val="0"/>
        <w:bidi w:val="0"/>
        <w:spacing w:after="0" w:line="600" w:lineRule="exact"/>
        <w:ind w:firstLine="640"/>
        <w:jc w:val="both"/>
        <w:textAlignment w:val="auto"/>
        <w:outlineLvl w:val="1"/>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十二、信用保险和保证保险重点领域</w:t>
      </w:r>
    </w:p>
    <w:p w14:paraId="2E1706B4">
      <w:pPr>
        <w:pStyle w:val="56"/>
        <w:keepNext w:val="0"/>
        <w:keepLines w:val="0"/>
        <w:pageBreakBefore w:val="0"/>
        <w:kinsoku/>
        <w:wordWrap/>
        <w:overflowPunct/>
        <w:topLinePunct w:val="0"/>
        <w:bidi w:val="0"/>
        <w:spacing w:after="0" w:line="600" w:lineRule="exact"/>
        <w:ind w:firstLine="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（一）统计指标及口径</w:t>
      </w:r>
    </w:p>
    <w:p w14:paraId="052CF87F">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（二）统计维度</w:t>
      </w:r>
    </w:p>
    <w:p w14:paraId="4B72ECE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[融资性信用保险]</w:t>
      </w:r>
      <w:r>
        <w:rPr>
          <w:rFonts w:hint="eastAsia" w:ascii="仿宋_GB2312" w:hAnsi="仿宋_GB2312" w:eastAsia="仿宋_GB2312" w:cs="仿宋_GB2312"/>
          <w:b w:val="0"/>
          <w:bCs w:val="0"/>
          <w:color w:val="auto"/>
          <w:sz w:val="32"/>
          <w:szCs w:val="32"/>
          <w:highlight w:val="none"/>
          <w:lang w:val="en-US" w:eastAsia="zh-CN"/>
        </w:rPr>
        <w:t>指保险公司为被保险人与履约义务人的信贷、融资租赁等具有融资性质的合同履约风险提供信用保险的业务。</w:t>
      </w:r>
    </w:p>
    <w:p w14:paraId="4D15BB5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[融资性保证保险]</w:t>
      </w:r>
      <w:r>
        <w:rPr>
          <w:rFonts w:hint="eastAsia" w:ascii="仿宋_GB2312" w:hAnsi="仿宋_GB2312" w:eastAsia="仿宋_GB2312" w:cs="仿宋_GB2312"/>
          <w:b w:val="0"/>
          <w:bCs w:val="0"/>
          <w:color w:val="auto"/>
          <w:sz w:val="32"/>
          <w:szCs w:val="32"/>
          <w:highlight w:val="none"/>
          <w:lang w:val="en-US" w:eastAsia="zh-CN"/>
        </w:rPr>
        <w:t>指保险公司为被保险人与投保人的信贷、融资租赁等具有融资性质的合同履约风险提供保证保险的业务。</w:t>
      </w:r>
    </w:p>
    <w:p w14:paraId="7F87F2E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[银行机构贷款损失类信用保险]</w:t>
      </w:r>
      <w:r>
        <w:rPr>
          <w:rFonts w:hint="eastAsia" w:ascii="仿宋_GB2312" w:hAnsi="仿宋_GB2312" w:eastAsia="仿宋_GB2312" w:cs="仿宋_GB2312"/>
          <w:b w:val="0"/>
          <w:bCs w:val="0"/>
          <w:color w:val="auto"/>
          <w:sz w:val="32"/>
          <w:szCs w:val="32"/>
          <w:highlight w:val="none"/>
          <w:lang w:val="en-US" w:eastAsia="zh-CN"/>
        </w:rPr>
        <w:t>指经银保监会或其派出机构批准设立的银行机构作为被保险人的信用保险业务。</w:t>
      </w:r>
    </w:p>
    <w:p w14:paraId="72DDDA8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[非银行金融机构资金损失类信用保险]</w:t>
      </w:r>
      <w:r>
        <w:rPr>
          <w:rFonts w:hint="eastAsia" w:ascii="仿宋_GB2312" w:hAnsi="仿宋_GB2312" w:eastAsia="仿宋_GB2312" w:cs="仿宋_GB2312"/>
          <w:b w:val="0"/>
          <w:bCs w:val="0"/>
          <w:color w:val="auto"/>
          <w:sz w:val="32"/>
          <w:szCs w:val="32"/>
          <w:highlight w:val="none"/>
          <w:lang w:val="en-US" w:eastAsia="zh-CN"/>
        </w:rPr>
        <w:t>指经银保监会或其派出机构批准设立的非银行金融机构作为保险人的信用保险业务，如信托公司、金融租赁公司、消费金融公司。</w:t>
      </w:r>
    </w:p>
    <w:p w14:paraId="7FE1582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[融资性信用保险项下的“其他”栏]</w:t>
      </w:r>
      <w:r>
        <w:rPr>
          <w:rFonts w:hint="eastAsia" w:ascii="仿宋_GB2312" w:hAnsi="仿宋_GB2312" w:eastAsia="仿宋_GB2312" w:cs="仿宋_GB2312"/>
          <w:b w:val="0"/>
          <w:bCs w:val="0"/>
          <w:color w:val="auto"/>
          <w:sz w:val="32"/>
          <w:szCs w:val="32"/>
          <w:highlight w:val="none"/>
          <w:lang w:val="en-US" w:eastAsia="zh-CN"/>
        </w:rPr>
        <w:t>指经各省市地方金融监督管理部门依法批设或监管的融资服务机构作为被保险人的信用保险业务，如小额贷款公司、融资租赁公司、商业保理公司。</w:t>
      </w:r>
    </w:p>
    <w:p w14:paraId="524CF517">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[债权转让类信用保险/保证保险]</w:t>
      </w:r>
      <w:r>
        <w:rPr>
          <w:rFonts w:hint="eastAsia" w:ascii="仿宋_GB2312" w:hAnsi="仿宋_GB2312" w:eastAsia="仿宋_GB2312" w:cs="仿宋_GB2312"/>
          <w:b w:val="0"/>
          <w:bCs w:val="0"/>
          <w:color w:val="auto"/>
          <w:sz w:val="32"/>
          <w:szCs w:val="32"/>
          <w:highlight w:val="none"/>
          <w:lang w:val="en-US" w:eastAsia="zh-CN"/>
        </w:rPr>
        <w:t>指保险公司为保单对应的底层履约义务人的债权转让业务提供的信用保险或保证保险业务。</w:t>
      </w:r>
    </w:p>
    <w:p w14:paraId="3FA941B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[资产证券化信用保险/保证保险]</w:t>
      </w:r>
      <w:r>
        <w:rPr>
          <w:rFonts w:hint="eastAsia" w:ascii="仿宋_GB2312" w:hAnsi="仿宋_GB2312" w:eastAsia="仿宋_GB2312" w:cs="仿宋_GB2312"/>
          <w:b w:val="0"/>
          <w:bCs w:val="0"/>
          <w:color w:val="auto"/>
          <w:sz w:val="32"/>
          <w:szCs w:val="32"/>
          <w:highlight w:val="none"/>
          <w:lang w:val="en-US" w:eastAsia="zh-CN"/>
        </w:rPr>
        <w:t>指保险公司为基础资产属于银行发起的资产证券化业务提供的信用保险或保证保险业务。</w:t>
      </w:r>
    </w:p>
    <w:p w14:paraId="6FEC2DE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[“出口信用保险”中“短期”]</w:t>
      </w:r>
      <w:r>
        <w:rPr>
          <w:rFonts w:hint="eastAsia" w:ascii="仿宋_GB2312" w:hAnsi="仿宋_GB2312" w:eastAsia="仿宋_GB2312" w:cs="仿宋_GB2312"/>
          <w:b w:val="0"/>
          <w:bCs w:val="0"/>
          <w:color w:val="auto"/>
          <w:sz w:val="32"/>
          <w:szCs w:val="32"/>
          <w:highlight w:val="none"/>
          <w:lang w:val="en-US" w:eastAsia="zh-CN"/>
        </w:rPr>
        <w:t>指信用期限一般在1年以内，最长不超过2年。“中长期”是指信用期限在2年以上。</w:t>
      </w:r>
    </w:p>
    <w:p w14:paraId="7373BFD0">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[个人纯信用消费类贷款保证保险]</w:t>
      </w:r>
      <w:r>
        <w:rPr>
          <w:rFonts w:hint="eastAsia" w:ascii="仿宋_GB2312" w:hAnsi="仿宋_GB2312" w:eastAsia="仿宋_GB2312" w:cs="仿宋_GB2312"/>
          <w:b w:val="0"/>
          <w:bCs w:val="0"/>
          <w:color w:val="auto"/>
          <w:sz w:val="32"/>
          <w:szCs w:val="32"/>
          <w:highlight w:val="none"/>
          <w:lang w:val="en-US" w:eastAsia="zh-CN"/>
        </w:rPr>
        <w:t>指承保个人贷款用于日常消费的无抵(质)押纯信用的保证保险业务(个人购房、购车抵押贷款除外)。其中，承保个人贷款用于装修、教育等用途的，也属于消费类贷款保证保险业务。</w:t>
      </w:r>
    </w:p>
    <w:p w14:paraId="1D1C2B4C">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[互联网贷款信用保险/保证保险]</w:t>
      </w:r>
      <w:r>
        <w:rPr>
          <w:rFonts w:hint="eastAsia" w:ascii="仿宋_GB2312" w:hAnsi="仿宋_GB2312" w:eastAsia="仿宋_GB2312" w:cs="仿宋_GB2312"/>
          <w:b w:val="0"/>
          <w:bCs w:val="0"/>
          <w:color w:val="auto"/>
          <w:sz w:val="32"/>
          <w:szCs w:val="32"/>
          <w:highlight w:val="none"/>
          <w:lang w:val="en-US" w:eastAsia="zh-CN"/>
        </w:rPr>
        <w:t>指保险公司通过互联网销售或通过全线上化核保、承保的信用保险/保证保险业务。</w:t>
      </w:r>
    </w:p>
    <w:p w14:paraId="3B535878">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[小额类贷款保证保险]</w:t>
      </w:r>
      <w:r>
        <w:rPr>
          <w:rFonts w:hint="eastAsia" w:ascii="仿宋_GB2312" w:hAnsi="仿宋_GB2312" w:eastAsia="仿宋_GB2312" w:cs="仿宋_GB2312"/>
          <w:b w:val="0"/>
          <w:bCs w:val="0"/>
          <w:color w:val="auto"/>
          <w:sz w:val="32"/>
          <w:szCs w:val="32"/>
          <w:highlight w:val="none"/>
          <w:lang w:val="en-US" w:eastAsia="zh-CN"/>
        </w:rPr>
        <w:t>指承保投保人(含自然人和法人)用于生产经营的贷款金额在300万元(含)以下的保证保险业务。“政府+银行+保险”项目或地方政府出台的与该业务有关的文件中，与本制度的最高承保金额标准不一致的，统计时以“政府+银行+保险”项目或地方政府出台的文件要求为准。</w:t>
      </w:r>
    </w:p>
    <w:p w14:paraId="20B157C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[知识产权类质押贷款保证保险]</w:t>
      </w:r>
      <w:r>
        <w:rPr>
          <w:rFonts w:hint="eastAsia" w:ascii="仿宋_GB2312" w:hAnsi="仿宋_GB2312" w:eastAsia="仿宋_GB2312" w:cs="仿宋_GB2312"/>
          <w:b w:val="0"/>
          <w:bCs w:val="0"/>
          <w:color w:val="auto"/>
          <w:sz w:val="32"/>
          <w:szCs w:val="32"/>
          <w:highlight w:val="none"/>
          <w:lang w:val="en-US" w:eastAsia="zh-CN"/>
        </w:rPr>
        <w:t>指承保投保人以可转让的著作权、专利权、商标权等财产权利进行质押贷款的保证保险业务。数据统计既包括产品名称含“著作权”“专利权”“商标权”等文字的贷款保证保险业务，也包括以知识产权质押为反制措施的贷款保证保险业务。</w:t>
      </w:r>
    </w:p>
    <w:p w14:paraId="3177286B">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[应收账款质押类贷款保证保险]</w:t>
      </w:r>
      <w:r>
        <w:rPr>
          <w:rFonts w:hint="eastAsia" w:ascii="仿宋_GB2312" w:hAnsi="仿宋_GB2312" w:eastAsia="仿宋_GB2312" w:cs="仿宋_GB2312"/>
          <w:b w:val="0"/>
          <w:bCs w:val="0"/>
          <w:color w:val="auto"/>
          <w:sz w:val="32"/>
          <w:szCs w:val="32"/>
          <w:highlight w:val="none"/>
          <w:lang w:val="en-US" w:eastAsia="zh-CN"/>
        </w:rPr>
        <w:t>指承保投保人以应收账款为质押物进行融资的保证保险业务。数据统计既包括产品名称含“应收账款质押”的贷款保证保险业务，也包括以应收账款质押为反制措施的贷款保证保险业务。</w:t>
      </w:r>
    </w:p>
    <w:p w14:paraId="3C32D7D1">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[科技型企业贷款保证保险]</w:t>
      </w:r>
      <w:r>
        <w:rPr>
          <w:rFonts w:hint="eastAsia" w:ascii="仿宋_GB2312" w:hAnsi="仿宋_GB2312" w:eastAsia="仿宋_GB2312" w:cs="仿宋_GB2312"/>
          <w:b w:val="0"/>
          <w:bCs w:val="0"/>
          <w:color w:val="auto"/>
          <w:sz w:val="32"/>
          <w:szCs w:val="32"/>
          <w:highlight w:val="none"/>
          <w:lang w:val="en-US" w:eastAsia="zh-CN"/>
        </w:rPr>
        <w:t>指承保投保人为科技型企业的贷款保证保险业务。</w:t>
      </w:r>
    </w:p>
    <w:p w14:paraId="09CB5F19">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[雇员忠诚保证保险]</w:t>
      </w:r>
      <w:r>
        <w:rPr>
          <w:rFonts w:hint="eastAsia" w:ascii="仿宋_GB2312" w:hAnsi="仿宋_GB2312" w:eastAsia="仿宋_GB2312" w:cs="仿宋_GB2312"/>
          <w:b w:val="0"/>
          <w:bCs w:val="0"/>
          <w:color w:val="auto"/>
          <w:sz w:val="32"/>
          <w:szCs w:val="32"/>
          <w:highlight w:val="none"/>
          <w:lang w:val="en-US" w:eastAsia="zh-CN"/>
        </w:rPr>
        <w:t>指承保因雇员的不忠诚行为导致雇主遭受经济损失的保证保险业务。</w:t>
      </w:r>
    </w:p>
    <w:p w14:paraId="3B5BC4DF">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[其他企业贷款保证保险]</w:t>
      </w:r>
      <w:r>
        <w:rPr>
          <w:rFonts w:hint="eastAsia" w:ascii="仿宋_GB2312" w:hAnsi="仿宋_GB2312" w:eastAsia="仿宋_GB2312" w:cs="仿宋_GB2312"/>
          <w:b w:val="0"/>
          <w:bCs w:val="0"/>
          <w:color w:val="auto"/>
          <w:sz w:val="32"/>
          <w:szCs w:val="32"/>
          <w:highlight w:val="none"/>
          <w:lang w:val="en-US" w:eastAsia="zh-CN"/>
        </w:rPr>
        <w:t>指承保投保人为大中型企业的贷款保证保险业务。</w:t>
      </w:r>
    </w:p>
    <w:p w14:paraId="347CBA05">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[工程类保证保险]</w:t>
      </w:r>
      <w:r>
        <w:rPr>
          <w:rFonts w:hint="eastAsia" w:ascii="仿宋_GB2312" w:hAnsi="仿宋_GB2312" w:eastAsia="仿宋_GB2312" w:cs="仿宋_GB2312"/>
          <w:b w:val="0"/>
          <w:bCs w:val="0"/>
          <w:color w:val="auto"/>
          <w:sz w:val="32"/>
          <w:szCs w:val="32"/>
          <w:highlight w:val="none"/>
          <w:lang w:val="en-US" w:eastAsia="zh-CN"/>
        </w:rPr>
        <w:t>指承保工程项目中涉及的建设、装修、安装、招投标、支付、预付款、尾付款等各个环节具有履约性质的保证保险业务，如建筑工程履约保证保险、安装工程履约保证保险等。</w:t>
      </w:r>
    </w:p>
    <w:p w14:paraId="4255E50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[诉讼保全类保证保险]</w:t>
      </w:r>
      <w:r>
        <w:rPr>
          <w:rFonts w:hint="eastAsia" w:ascii="仿宋_GB2312" w:hAnsi="仿宋_GB2312" w:eastAsia="仿宋_GB2312" w:cs="仿宋_GB2312"/>
          <w:b w:val="0"/>
          <w:bCs w:val="0"/>
          <w:color w:val="auto"/>
          <w:sz w:val="32"/>
          <w:szCs w:val="32"/>
          <w:highlight w:val="none"/>
          <w:lang w:val="en-US" w:eastAsia="zh-CN"/>
        </w:rPr>
        <w:t>指承保诉讼过程中财产保全方面的保证保险业务，如诉讼保全保证保险、解除保全保证保险等。</w:t>
      </w:r>
    </w:p>
    <w:p w14:paraId="0E81A433">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[小微企业]</w:t>
      </w:r>
      <w:r>
        <w:rPr>
          <w:rFonts w:hint="eastAsia" w:ascii="仿宋_GB2312" w:hAnsi="仿宋_GB2312" w:eastAsia="仿宋_GB2312" w:cs="仿宋_GB2312"/>
          <w:b w:val="0"/>
          <w:bCs w:val="0"/>
          <w:color w:val="auto"/>
          <w:sz w:val="32"/>
          <w:szCs w:val="32"/>
          <w:highlight w:val="none"/>
          <w:lang w:val="en-US" w:eastAsia="zh-CN"/>
        </w:rPr>
        <w:t>指符合《中小企业划型标准规定》(工信部联企业〔2011〕300号)划型标准的小型、微型企业以及贷款用于生产经营的小微企业主和个体工商户。小微企业主包括小微企业的法定代表人及其配偶、主要股东及其实际控制人。</w:t>
      </w:r>
    </w:p>
    <w:p w14:paraId="0802B904">
      <w:pPr>
        <w:pStyle w:val="57"/>
        <w:keepNext w:val="0"/>
        <w:keepLines w:val="0"/>
        <w:pageBreakBefore w:val="0"/>
        <w:numPr>
          <w:ilvl w:val="0"/>
          <w:numId w:val="0"/>
        </w:numPr>
        <w:kinsoku/>
        <w:wordWrap/>
        <w:overflowPunct/>
        <w:topLinePunct w:val="0"/>
        <w:bidi w:val="0"/>
        <w:spacing w:after="0" w:line="600" w:lineRule="exact"/>
        <w:ind w:left="0" w:lef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[普惠型小微企业]</w:t>
      </w:r>
      <w:r>
        <w:rPr>
          <w:rFonts w:hint="eastAsia" w:ascii="仿宋_GB2312" w:hAnsi="仿宋_GB2312" w:eastAsia="仿宋_GB2312" w:cs="仿宋_GB2312"/>
          <w:b w:val="0"/>
          <w:bCs w:val="0"/>
          <w:color w:val="auto"/>
          <w:sz w:val="32"/>
          <w:szCs w:val="32"/>
          <w:highlight w:val="none"/>
          <w:lang w:val="en-US" w:eastAsia="zh-CN"/>
        </w:rPr>
        <w:t>指承保单户贷款金额在1000万元(含)以下的小微企业。</w:t>
      </w:r>
    </w:p>
    <w:p w14:paraId="414151CB">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1"/>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十三、人身险“报行合一”重点领域</w:t>
      </w:r>
    </w:p>
    <w:p w14:paraId="15B50488">
      <w:pPr>
        <w:pStyle w:val="56"/>
        <w:keepNext w:val="0"/>
        <w:keepLines w:val="0"/>
        <w:pageBreakBefore w:val="0"/>
        <w:kinsoku/>
        <w:wordWrap/>
        <w:overflowPunct/>
        <w:topLinePunct w:val="0"/>
        <w:bidi w:val="0"/>
        <w:spacing w:after="0" w:line="600" w:lineRule="exact"/>
        <w:ind w:firstLine="0"/>
        <w:jc w:val="both"/>
        <w:textAlignment w:val="auto"/>
        <w:outlineLvl w:val="2"/>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lang w:val="en-US" w:eastAsia="zh-CN"/>
        </w:rPr>
        <w:t>专属统计指标及口径</w:t>
      </w:r>
    </w:p>
    <w:p w14:paraId="161871CC">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[应付手续费]</w:t>
      </w:r>
    </w:p>
    <w:p w14:paraId="1601C5EE">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[应付手续费]</w:t>
      </w:r>
    </w:p>
    <w:p w14:paraId="740F11C0">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[银保专管员薪酬]</w:t>
      </w:r>
    </w:p>
    <w:p w14:paraId="2FBB28F4">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[培训及客户服务费]</w:t>
      </w:r>
    </w:p>
    <w:p w14:paraId="550C75FD">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rPr>
        <w:t>培训及会议费</w:t>
      </w:r>
      <w:r>
        <w:rPr>
          <w:rFonts w:hint="eastAsia" w:ascii="仿宋_GB2312" w:hAnsi="仿宋_GB2312" w:eastAsia="仿宋_GB2312" w:cs="仿宋_GB2312"/>
          <w:color w:val="auto"/>
          <w:sz w:val="32"/>
          <w:szCs w:val="32"/>
          <w:highlight w:val="none"/>
          <w:lang w:val="en-US" w:eastAsia="zh-CN"/>
        </w:rPr>
        <w:t>]</w:t>
      </w:r>
    </w:p>
    <w:p w14:paraId="1F815A26">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rPr>
        <w:t>业务激励费用</w:t>
      </w:r>
      <w:r>
        <w:rPr>
          <w:rFonts w:hint="eastAsia" w:ascii="仿宋_GB2312" w:hAnsi="仿宋_GB2312" w:eastAsia="仿宋_GB2312" w:cs="仿宋_GB2312"/>
          <w:color w:val="auto"/>
          <w:sz w:val="32"/>
          <w:szCs w:val="32"/>
          <w:highlight w:val="none"/>
          <w:lang w:val="en-US" w:eastAsia="zh-CN"/>
        </w:rPr>
        <w:t>]</w:t>
      </w:r>
    </w:p>
    <w:p w14:paraId="6329CCC6">
      <w:pPr>
        <w:pStyle w:val="56"/>
        <w:keepNext w:val="0"/>
        <w:keepLines w:val="0"/>
        <w:pageBreakBefore w:val="0"/>
        <w:kinsoku/>
        <w:wordWrap/>
        <w:overflowPunct/>
        <w:topLinePunct w:val="0"/>
        <w:bidi w:val="0"/>
        <w:spacing w:after="0" w:line="600" w:lineRule="exact"/>
        <w:ind w:firstLine="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rPr>
        <w:t>宣传费等其他费用</w:t>
      </w:r>
      <w:r>
        <w:rPr>
          <w:rFonts w:hint="eastAsia" w:ascii="仿宋_GB2312" w:hAnsi="仿宋_GB2312" w:eastAsia="仿宋_GB2312" w:cs="仿宋_GB2312"/>
          <w:color w:val="auto"/>
          <w:sz w:val="32"/>
          <w:szCs w:val="32"/>
          <w:highlight w:val="none"/>
          <w:lang w:val="en-US" w:eastAsia="zh-CN"/>
        </w:rPr>
        <w:t>]</w:t>
      </w:r>
    </w:p>
    <w:p w14:paraId="460AC6F4">
      <w:pPr>
        <w:pStyle w:val="56"/>
        <w:keepNext w:val="0"/>
        <w:keepLines w:val="0"/>
        <w:pageBreakBefore w:val="0"/>
        <w:numPr>
          <w:ilvl w:val="0"/>
          <w:numId w:val="0"/>
        </w:numPr>
        <w:kinsoku/>
        <w:wordWrap/>
        <w:overflowPunct/>
        <w:topLinePunct w:val="0"/>
        <w:bidi w:val="0"/>
        <w:spacing w:after="0" w:line="600" w:lineRule="exact"/>
        <w:ind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固定费用</w:t>
      </w:r>
      <w:r>
        <w:rPr>
          <w:rFonts w:hint="eastAsia" w:ascii="仿宋_GB2312" w:hAnsi="仿宋_GB2312" w:eastAsia="仿宋_GB2312" w:cs="仿宋_GB2312"/>
          <w:color w:val="auto"/>
          <w:sz w:val="32"/>
          <w:szCs w:val="32"/>
          <w:highlight w:val="none"/>
          <w:lang w:val="en-US" w:eastAsia="zh-CN"/>
        </w:rPr>
        <w:t>]</w:t>
      </w:r>
    </w:p>
    <w:p w14:paraId="28121F89">
      <w:pPr>
        <w:pStyle w:val="56"/>
        <w:keepNext w:val="0"/>
        <w:keepLines w:val="0"/>
        <w:pageBreakBefore w:val="0"/>
        <w:numPr>
          <w:ilvl w:val="0"/>
          <w:numId w:val="0"/>
        </w:numPr>
        <w:kinsoku/>
        <w:wordWrap/>
        <w:overflowPunct/>
        <w:topLinePunct w:val="0"/>
        <w:bidi w:val="0"/>
        <w:spacing w:after="0" w:line="600" w:lineRule="exact"/>
        <w:ind w:leftChars="0" w:firstLine="640"/>
        <w:jc w:val="both"/>
        <w:textAlignment w:val="auto"/>
        <w:outlineLvl w:val="2"/>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（二）统计维度及分类标准</w:t>
      </w:r>
    </w:p>
    <w:p w14:paraId="29A533D8">
      <w:pPr>
        <w:pStyle w:val="56"/>
        <w:keepNext w:val="0"/>
        <w:keepLines w:val="0"/>
        <w:pageBreakBefore w:val="0"/>
        <w:numPr>
          <w:ilvl w:val="0"/>
          <w:numId w:val="0"/>
        </w:numPr>
        <w:kinsoku/>
        <w:wordWrap/>
        <w:overflowPunct/>
        <w:topLinePunct w:val="0"/>
        <w:bidi w:val="0"/>
        <w:spacing w:after="0" w:line="600" w:lineRule="exact"/>
        <w:ind w:leftChars="0" w:firstLine="640"/>
        <w:jc w:val="both"/>
        <w:textAlignment w:val="auto"/>
        <w:outlineLvl w:val="2"/>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1.地区维度。</w:t>
      </w:r>
    </w:p>
    <w:p w14:paraId="1171F6AC">
      <w:pPr>
        <w:pStyle w:val="56"/>
        <w:keepNext w:val="0"/>
        <w:keepLines w:val="0"/>
        <w:pageBreakBefore w:val="0"/>
        <w:numPr>
          <w:ilvl w:val="0"/>
          <w:numId w:val="0"/>
        </w:numPr>
        <w:kinsoku/>
        <w:wordWrap/>
        <w:overflowPunct/>
        <w:topLinePunct w:val="0"/>
        <w:bidi w:val="0"/>
        <w:spacing w:after="0" w:line="600" w:lineRule="exact"/>
        <w:ind w:leftChars="0" w:firstLine="640"/>
        <w:jc w:val="both"/>
        <w:textAlignment w:val="auto"/>
        <w:outlineLvl w:val="1"/>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十四、健康保险重点领域</w:t>
      </w:r>
    </w:p>
    <w:p w14:paraId="42482A4E">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（一）统计指标及口径</w:t>
      </w:r>
    </w:p>
    <w:p w14:paraId="5E1E70D0">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rPr>
          <w:rFonts w:hint="default"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经营健康保险的保险公司，应当统计健康保险部分险种</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保费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lang w:val="en-US" w:eastAsia="zh-CN"/>
        </w:rPr>
        <w:t>[新单保费]、[续期保费]、</w:t>
      </w:r>
      <w:r>
        <w:rPr>
          <w:rFonts w:hint="eastAsia" w:ascii="仿宋_GB2312" w:hAnsi="仿宋_GB2312" w:eastAsia="仿宋_GB2312" w:cs="仿宋_GB2312"/>
          <w:b/>
          <w:bCs/>
          <w:color w:val="auto"/>
          <w:sz w:val="32"/>
          <w:szCs w:val="32"/>
          <w:highlight w:val="none"/>
          <w:lang w:val="en-US" w:eastAsia="zh-CN"/>
        </w:rPr>
        <w:t>[本年新增</w:t>
      </w:r>
      <w:r>
        <w:rPr>
          <w:rFonts w:hint="eastAsia" w:ascii="仿宋_GB2312" w:hAnsi="仿宋_GB2312" w:eastAsia="仿宋_GB2312" w:cs="仿宋_GB2312"/>
          <w:b/>
          <w:bCs/>
          <w:color w:val="auto"/>
          <w:sz w:val="32"/>
          <w:szCs w:val="32"/>
          <w:highlight w:val="none"/>
        </w:rPr>
        <w:t>保单数量</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[期末有效</w:t>
      </w:r>
      <w:r>
        <w:rPr>
          <w:rFonts w:hint="eastAsia" w:ascii="仿宋_GB2312" w:hAnsi="仿宋_GB2312" w:eastAsia="仿宋_GB2312" w:cs="仿宋_GB2312"/>
          <w:b/>
          <w:bCs/>
          <w:color w:val="auto"/>
          <w:sz w:val="32"/>
          <w:szCs w:val="32"/>
          <w:highlight w:val="none"/>
        </w:rPr>
        <w:t>保单数量</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[本年新增</w:t>
      </w:r>
      <w:r>
        <w:rPr>
          <w:rFonts w:hint="eastAsia" w:ascii="仿宋_GB2312" w:hAnsi="仿宋_GB2312" w:eastAsia="仿宋_GB2312" w:cs="仿宋_GB2312"/>
          <w:b/>
          <w:bCs/>
          <w:color w:val="auto"/>
          <w:sz w:val="32"/>
          <w:szCs w:val="32"/>
          <w:highlight w:val="none"/>
        </w:rPr>
        <w:t>承保人次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[期末有效承保人次]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[本年新增</w:t>
      </w:r>
      <w:r>
        <w:rPr>
          <w:rFonts w:hint="eastAsia" w:ascii="仿宋_GB2312" w:hAnsi="仿宋_GB2312" w:eastAsia="仿宋_GB2312" w:cs="仿宋_GB2312"/>
          <w:b/>
          <w:bCs/>
          <w:color w:val="auto"/>
          <w:sz w:val="32"/>
          <w:szCs w:val="32"/>
          <w:highlight w:val="none"/>
        </w:rPr>
        <w:t>保险金额</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[期末有效</w:t>
      </w:r>
      <w:r>
        <w:rPr>
          <w:rFonts w:hint="eastAsia" w:ascii="仿宋_GB2312" w:hAnsi="仿宋_GB2312" w:eastAsia="仿宋_GB2312" w:cs="仿宋_GB2312"/>
          <w:b/>
          <w:bCs/>
          <w:color w:val="auto"/>
          <w:sz w:val="32"/>
          <w:szCs w:val="32"/>
          <w:highlight w:val="none"/>
        </w:rPr>
        <w:t>保险金额</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赔付金额</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赔付件数</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赔付人次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保单红利支出]、</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个人账户部分领取]、</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退保金]、</w:t>
      </w:r>
      <w:r>
        <w:rPr>
          <w:rFonts w:hint="eastAsia" w:ascii="仿宋_GB2312" w:hAnsi="仿宋_GB2312" w:eastAsia="仿宋_GB2312" w:cs="仿宋_GB2312"/>
          <w:b/>
          <w:bCs/>
          <w:color w:val="auto"/>
          <w:sz w:val="32"/>
          <w:szCs w:val="32"/>
          <w:highlight w:val="none"/>
          <w:lang w:val="en-US" w:eastAsia="zh-CN"/>
        </w:rPr>
        <w:t>[准备金]</w:t>
      </w:r>
      <w:r>
        <w:rPr>
          <w:rFonts w:hint="eastAsia" w:ascii="仿宋_GB2312" w:hAnsi="仿宋_GB2312" w:eastAsia="仿宋_GB2312" w:cs="仿宋_GB2312"/>
          <w:b/>
          <w:bCs/>
          <w:color w:val="auto"/>
          <w:sz w:val="32"/>
          <w:szCs w:val="32"/>
          <w:highlight w:val="none"/>
          <w:lang w:eastAsia="zh-CN"/>
        </w:rPr>
        <w:t>，具体口径与“第三部分 业务类”相关统计指标一致。</w:t>
      </w:r>
      <w:r>
        <w:rPr>
          <w:rFonts w:hint="eastAsia" w:ascii="仿宋_GB2312" w:hAnsi="仿宋_GB2312" w:eastAsia="仿宋_GB2312" w:cs="仿宋_GB2312"/>
          <w:b w:val="0"/>
          <w:bCs w:val="0"/>
          <w:color w:val="auto"/>
          <w:sz w:val="32"/>
          <w:szCs w:val="32"/>
          <w:highlight w:val="none"/>
          <w:lang w:eastAsia="zh-CN"/>
        </w:rPr>
        <w:t>其中，</w:t>
      </w:r>
      <w:r>
        <w:rPr>
          <w:rFonts w:hint="eastAsia" w:ascii="仿宋_GB2312" w:hAnsi="仿宋_GB2312" w:eastAsia="仿宋_GB2312" w:cs="仿宋_GB2312"/>
          <w:b/>
          <w:bCs/>
          <w:color w:val="auto"/>
          <w:sz w:val="32"/>
          <w:szCs w:val="32"/>
          <w:highlight w:val="none"/>
          <w:lang w:val="en-US" w:eastAsia="zh-CN"/>
        </w:rPr>
        <w:t>[本年新增</w:t>
      </w:r>
      <w:r>
        <w:rPr>
          <w:rFonts w:hint="eastAsia" w:ascii="仿宋_GB2312" w:hAnsi="仿宋_GB2312" w:eastAsia="仿宋_GB2312" w:cs="仿宋_GB2312"/>
          <w:b/>
          <w:bCs/>
          <w:color w:val="auto"/>
          <w:sz w:val="32"/>
          <w:szCs w:val="32"/>
          <w:highlight w:val="none"/>
        </w:rPr>
        <w:t>承保人次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[期末有效承保人次]</w:t>
      </w:r>
    </w:p>
    <w:p w14:paraId="61033A49">
      <w:pPr>
        <w:pStyle w:val="57"/>
        <w:keepNext w:val="0"/>
        <w:keepLines w:val="0"/>
        <w:pageBreakBefore w:val="0"/>
        <w:numPr>
          <w:ilvl w:val="0"/>
          <w:numId w:val="0"/>
        </w:numPr>
        <w:kinsoku/>
        <w:wordWrap/>
        <w:overflowPunct/>
        <w:topLinePunct w:val="0"/>
        <w:bidi w:val="0"/>
        <w:spacing w:after="0" w:line="600" w:lineRule="exact"/>
        <w:ind w:left="0" w:leftChars="0"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（二）统计维度及分类标准</w:t>
      </w:r>
    </w:p>
    <w:p w14:paraId="1AF84654">
      <w:pPr>
        <w:pStyle w:val="57"/>
        <w:keepNext w:val="0"/>
        <w:keepLines w:val="0"/>
        <w:pageBreakBefore w:val="0"/>
        <w:numPr>
          <w:ilvl w:val="0"/>
          <w:numId w:val="0"/>
        </w:numPr>
        <w:kinsoku/>
        <w:wordWrap/>
        <w:overflowPunct/>
        <w:topLinePunct w:val="0"/>
        <w:bidi w:val="0"/>
        <w:spacing w:after="0" w:line="600"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1.保险公司应当区分重点健康保险产品，包括</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大湾区专属重疾险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税优重疾险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城市商业医疗险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费率可调长期医疗险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跨境医疗险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城乡居民大病保险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税优医疗险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企事业补充医疗保险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寿险与护理责任转换保险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税优护理险</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。其中：</w:t>
      </w:r>
      <w:r>
        <w:rPr>
          <w:rFonts w:hint="eastAsia" w:ascii="黑体" w:hAnsi="黑体" w:eastAsia="黑体" w:cs="黑体"/>
          <w:b/>
          <w:bCs/>
          <w:color w:val="auto"/>
          <w:sz w:val="32"/>
          <w:szCs w:val="32"/>
          <w:lang w:val="en-US" w:eastAsia="zh-CN"/>
        </w:rPr>
        <w:t>[</w:t>
      </w:r>
      <w:r>
        <w:rPr>
          <w:rFonts w:hint="eastAsia" w:ascii="仿宋_GB2312" w:hAnsi="仿宋_GB2312" w:eastAsia="仿宋_GB2312" w:cs="仿宋_GB2312"/>
          <w:b/>
          <w:bCs/>
          <w:color w:val="auto"/>
          <w:sz w:val="32"/>
          <w:szCs w:val="32"/>
          <w:highlight w:val="none"/>
        </w:rPr>
        <w:t>费率可调长期医疗险</w:t>
      </w:r>
      <w:r>
        <w:rPr>
          <w:rFonts w:hint="eastAsia" w:ascii="黑体" w:hAnsi="黑体" w:eastAsia="黑体" w:cs="黑体"/>
          <w:b/>
          <w:bCs/>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根据《中国银保监会办公厅关于开展人寿保险与长期护理保险责任转换业务试点的通知》（银保监办发〔2023〕33号），转换业务是指人身保险公司根据投保人自愿提出的申请，将处于有效状态的人寿保险保单中的身故或满期给付等责任，通过科学合理的责任转换方法转换为护理给付责任，支持被保险人因特定疾病或意外伤残等原因进入护理状态时提前获得保险金给付。</w:t>
      </w:r>
      <w:r>
        <w:rPr>
          <w:rFonts w:hint="eastAsia" w:ascii="仿宋_GB2312" w:hAnsi="仿宋_GB2312" w:eastAsia="仿宋_GB2312" w:cs="仿宋_GB2312"/>
          <w:b/>
          <w:bCs/>
          <w:color w:val="auto"/>
          <w:sz w:val="32"/>
          <w:szCs w:val="32"/>
          <w:highlight w:val="none"/>
          <w:lang w:val="en-US" w:eastAsia="zh-CN"/>
        </w:rPr>
        <w:t>[企事业团体补充医疗保险]</w:t>
      </w:r>
      <w:r>
        <w:rPr>
          <w:rFonts w:hint="eastAsia" w:ascii="仿宋_GB2312" w:hAnsi="仿宋_GB2312" w:eastAsia="仿宋_GB2312" w:cs="仿宋_GB2312"/>
          <w:b w:val="0"/>
          <w:bCs w:val="0"/>
          <w:color w:val="auto"/>
          <w:sz w:val="32"/>
          <w:szCs w:val="32"/>
          <w:highlight w:val="none"/>
          <w:lang w:val="en-US" w:eastAsia="zh-CN"/>
        </w:rPr>
        <w:t>是指企事业团体投保的与城镇职工基本医疗保障责任相衔接的费用补偿型补充医疗业务。</w:t>
      </w:r>
    </w:p>
    <w:p w14:paraId="2831C51D">
      <w:pPr>
        <w:pStyle w:val="57"/>
        <w:keepNext w:val="0"/>
        <w:keepLines w:val="0"/>
        <w:pageBreakBefore w:val="0"/>
        <w:kinsoku/>
        <w:wordWrap/>
        <w:overflowPunct/>
        <w:topLinePunct w:val="0"/>
        <w:bidi w:val="0"/>
        <w:spacing w:after="0" w:line="600" w:lineRule="exact"/>
        <w:ind w:firstLine="640" w:firstLineChars="200"/>
        <w:jc w:val="both"/>
        <w:textAlignment w:val="auto"/>
        <w:outlineLvl w:val="1"/>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十五、城乡居民大病保险业务重点领域</w:t>
      </w:r>
    </w:p>
    <w:p w14:paraId="2BB460DB">
      <w:pPr>
        <w:pStyle w:val="57"/>
        <w:keepNext w:val="0"/>
        <w:keepLines w:val="0"/>
        <w:pageBreakBefore w:val="0"/>
        <w:numPr>
          <w:ilvl w:val="0"/>
          <w:numId w:val="0"/>
        </w:numPr>
        <w:kinsoku/>
        <w:wordWrap/>
        <w:overflowPunct/>
        <w:topLinePunct w:val="0"/>
        <w:bidi w:val="0"/>
        <w:spacing w:after="0" w:line="600" w:lineRule="exact"/>
        <w:ind w:leftChars="0" w:firstLine="640"/>
        <w:jc w:val="both"/>
        <w:textAlignment w:val="auto"/>
        <w:outlineLvl w:val="2"/>
        <w:rPr>
          <w:rFonts w:hint="default"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eastAsia="zh-CN"/>
        </w:rPr>
        <w:t>（一）</w:t>
      </w:r>
      <w:r>
        <w:rPr>
          <w:rFonts w:hint="eastAsia" w:ascii="楷体_GB2312" w:hAnsi="楷体_GB2312" w:eastAsia="楷体_GB2312" w:cs="楷体_GB2312"/>
          <w:b w:val="0"/>
          <w:bCs w:val="0"/>
          <w:color w:val="auto"/>
          <w:sz w:val="32"/>
          <w:szCs w:val="32"/>
          <w:highlight w:val="none"/>
          <w:lang w:val="en-US" w:eastAsia="zh-CN"/>
        </w:rPr>
        <w:t>统计指标及口径</w:t>
      </w:r>
    </w:p>
    <w:p w14:paraId="4AFDCBDC">
      <w:pPr>
        <w:pStyle w:val="56"/>
        <w:keepNext w:val="0"/>
        <w:keepLines w:val="0"/>
        <w:pageBreakBefore w:val="0"/>
        <w:kinsoku/>
        <w:wordWrap/>
        <w:overflowPunct/>
        <w:topLinePunct w:val="0"/>
        <w:bidi w:val="0"/>
        <w:spacing w:after="0" w:line="600" w:lineRule="exact"/>
        <w:ind w:firstLine="56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根据《关于印发</w:t>
      </w:r>
      <w:r>
        <w:rPr>
          <w:rFonts w:hint="eastAsia" w:ascii="仿宋_GB2312" w:hAnsi="仿宋_GB2312" w:eastAsia="仿宋_GB2312" w:cs="仿宋_GB2312"/>
          <w:color w:val="auto"/>
          <w:sz w:val="32"/>
          <w:szCs w:val="32"/>
          <w:highlight w:val="none"/>
          <w:lang w:val="en-US" w:eastAsia="zh-CN"/>
        </w:rPr>
        <w:t>&lt;</w:t>
      </w:r>
      <w:r>
        <w:rPr>
          <w:rFonts w:hint="default" w:ascii="仿宋_GB2312" w:hAnsi="仿宋_GB2312" w:eastAsia="仿宋_GB2312" w:cs="仿宋_GB2312"/>
          <w:color w:val="auto"/>
          <w:sz w:val="32"/>
          <w:szCs w:val="32"/>
          <w:highlight w:val="none"/>
          <w:lang w:val="en-US" w:eastAsia="zh-CN"/>
        </w:rPr>
        <w:t>大病保险统计制度</w:t>
      </w:r>
      <w:r>
        <w:rPr>
          <w:rFonts w:hint="eastAsia" w:ascii="仿宋_GB2312" w:hAnsi="仿宋_GB2312" w:eastAsia="仿宋_GB2312" w:cs="仿宋_GB2312"/>
          <w:color w:val="auto"/>
          <w:sz w:val="32"/>
          <w:szCs w:val="32"/>
          <w:highlight w:val="none"/>
          <w:lang w:val="en-US" w:eastAsia="zh-CN"/>
        </w:rPr>
        <w:t>&gt;</w:t>
      </w:r>
      <w:r>
        <w:rPr>
          <w:rFonts w:hint="default" w:ascii="仿宋_GB2312" w:hAnsi="仿宋_GB2312" w:eastAsia="仿宋_GB2312" w:cs="仿宋_GB2312"/>
          <w:color w:val="auto"/>
          <w:sz w:val="32"/>
          <w:szCs w:val="32"/>
          <w:highlight w:val="none"/>
          <w:lang w:val="en-US" w:eastAsia="zh-CN"/>
        </w:rPr>
        <w:t>的通知》（保监发〔2015〕105号）发文要求，</w:t>
      </w:r>
      <w:r>
        <w:rPr>
          <w:rFonts w:hint="eastAsia" w:ascii="仿宋_GB2312" w:hAnsi="仿宋_GB2312" w:eastAsia="仿宋_GB2312" w:cs="仿宋_GB2312"/>
          <w:color w:val="auto"/>
          <w:sz w:val="32"/>
          <w:szCs w:val="32"/>
          <w:highlight w:val="none"/>
          <w:lang w:val="en-US" w:eastAsia="zh-CN"/>
        </w:rPr>
        <w:t>报送保险公司大病保险业务的相关指标数据，包括</w:t>
      </w:r>
      <w:r>
        <w:rPr>
          <w:rFonts w:hint="eastAsia" w:ascii="仿宋_GB2312" w:hAnsi="仿宋_GB2312" w:eastAsia="仿宋_GB2312" w:cs="仿宋_GB2312"/>
          <w:b/>
          <w:bCs/>
          <w:color w:val="auto"/>
          <w:sz w:val="32"/>
          <w:szCs w:val="32"/>
          <w:highlight w:val="none"/>
          <w:lang w:val="en-US" w:eastAsia="zh-CN"/>
        </w:rPr>
        <w:t>[保费]、[期末有效承保人数]、[赔付金额]、[赔付人次]、[承保利润]，</w:t>
      </w:r>
      <w:r>
        <w:rPr>
          <w:rFonts w:hint="eastAsia" w:ascii="仿宋_GB2312" w:hAnsi="仿宋_GB2312" w:eastAsia="仿宋_GB2312" w:cs="仿宋_GB2312"/>
          <w:color w:val="auto"/>
          <w:sz w:val="32"/>
          <w:szCs w:val="32"/>
          <w:highlight w:val="none"/>
          <w:lang w:val="en-US" w:eastAsia="zh-CN"/>
        </w:rPr>
        <w:t>统计口径与保险业务类报送要求保持一致。</w:t>
      </w:r>
      <w:r>
        <w:rPr>
          <w:rFonts w:hint="eastAsia" w:ascii="仿宋_GB2312" w:hAnsi="仿宋_GB2312" w:eastAsia="仿宋_GB2312" w:cs="仿宋_GB2312"/>
          <w:b w:val="0"/>
          <w:bCs w:val="0"/>
          <w:color w:val="auto"/>
          <w:sz w:val="32"/>
          <w:szCs w:val="32"/>
          <w:highlight w:val="none"/>
          <w:lang w:val="en-US" w:eastAsia="zh-CN"/>
        </w:rPr>
        <w:t>大病保险指为提高城乡居民医疗保障水平，在基本医疗保障的基础上，对城乡居民患大病发生的高额医疗费用给予进一步保障的一项制度性安排。</w:t>
      </w:r>
    </w:p>
    <w:p w14:paraId="6E1C7A31">
      <w:pPr>
        <w:pStyle w:val="56"/>
        <w:keepNext w:val="0"/>
        <w:keepLines w:val="0"/>
        <w:pageBreakBefore w:val="0"/>
        <w:kinsoku/>
        <w:wordWrap/>
        <w:overflowPunct/>
        <w:topLinePunct w:val="0"/>
        <w:bidi w:val="0"/>
        <w:spacing w:after="0" w:line="600" w:lineRule="exact"/>
        <w:ind w:firstLine="56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[期末有效承保人数]</w:t>
      </w:r>
      <w:r>
        <w:rPr>
          <w:rFonts w:hint="eastAsia" w:ascii="仿宋_GB2312" w:hAnsi="仿宋_GB2312" w:eastAsia="仿宋_GB2312" w:cs="仿宋_GB2312"/>
          <w:b w:val="0"/>
          <w:bCs w:val="0"/>
          <w:color w:val="auto"/>
          <w:sz w:val="32"/>
          <w:szCs w:val="32"/>
          <w:highlight w:val="none"/>
          <w:lang w:val="en-US" w:eastAsia="zh-CN"/>
        </w:rPr>
        <w:t>是</w:t>
      </w:r>
      <w:r>
        <w:rPr>
          <w:rFonts w:hint="eastAsia" w:ascii="仿宋_GB2312" w:hAnsi="仿宋_GB2312" w:eastAsia="仿宋_GB2312" w:cs="仿宋_GB2312"/>
          <w:b w:val="0"/>
          <w:bCs w:val="0"/>
          <w:color w:val="auto"/>
          <w:sz w:val="32"/>
          <w:szCs w:val="32"/>
          <w:lang w:val="en-US" w:eastAsia="zh-CN"/>
        </w:rPr>
        <w:t>指在统计期末保险公司承担的全部有效的保险合同对应的被保险人数量。被保险人存在重复投保的，需按照身份证号进行去重。</w:t>
      </w:r>
    </w:p>
    <w:p w14:paraId="31EA663F">
      <w:pPr>
        <w:keepNext w:val="0"/>
        <w:keepLines w:val="0"/>
        <w:pageBreakBefore w:val="0"/>
        <w:numPr>
          <w:ilvl w:val="0"/>
          <w:numId w:val="0"/>
        </w:numPr>
        <w:kinsoku/>
        <w:wordWrap/>
        <w:overflowPunct/>
        <w:topLinePunct w:val="0"/>
        <w:bidi w:val="0"/>
        <w:spacing w:after="0" w:line="600" w:lineRule="exact"/>
        <w:ind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highlight w:val="none"/>
          <w:lang w:val="en-US" w:eastAsia="zh-CN"/>
        </w:rPr>
        <w:t>[赔付人次]</w:t>
      </w:r>
      <w:r>
        <w:rPr>
          <w:rFonts w:hint="eastAsia" w:ascii="仿宋_GB2312" w:hAnsi="仿宋_GB2312" w:eastAsia="仿宋_GB2312" w:cs="仿宋_GB2312"/>
          <w:b w:val="0"/>
          <w:bCs w:val="0"/>
          <w:color w:val="auto"/>
          <w:sz w:val="32"/>
          <w:szCs w:val="32"/>
          <w:highlight w:val="none"/>
          <w:lang w:eastAsia="zh-CN"/>
        </w:rPr>
        <w:t>是</w:t>
      </w:r>
      <w:r>
        <w:rPr>
          <w:rFonts w:hint="eastAsia" w:ascii="仿宋_GB2312" w:hAnsi="仿宋_GB2312" w:eastAsia="仿宋_GB2312" w:cs="仿宋_GB2312"/>
          <w:b w:val="0"/>
          <w:bCs/>
          <w:color w:val="auto"/>
          <w:sz w:val="32"/>
          <w:szCs w:val="32"/>
          <w:highlight w:val="none"/>
          <w:lang w:val="en-US" w:eastAsia="zh-CN"/>
        </w:rPr>
        <w:t>指保险公司</w:t>
      </w:r>
      <w:r>
        <w:rPr>
          <w:rFonts w:hint="eastAsia" w:ascii="仿宋_GB2312" w:hAnsi="仿宋_GB2312" w:eastAsia="仿宋_GB2312" w:cs="仿宋_GB2312"/>
          <w:b w:val="0"/>
          <w:bCs/>
          <w:color w:val="auto"/>
          <w:sz w:val="32"/>
          <w:szCs w:val="32"/>
          <w:highlight w:val="none"/>
        </w:rPr>
        <w:t>在统计期内按照</w:t>
      </w:r>
      <w:r>
        <w:rPr>
          <w:rFonts w:hint="eastAsia" w:ascii="仿宋_GB2312" w:hAnsi="仿宋_GB2312" w:eastAsia="仿宋_GB2312" w:cs="仿宋_GB2312"/>
          <w:b w:val="0"/>
          <w:bCs/>
          <w:color w:val="auto"/>
          <w:sz w:val="32"/>
          <w:szCs w:val="32"/>
          <w:highlight w:val="none"/>
          <w:lang w:val="en-US" w:eastAsia="zh-CN"/>
        </w:rPr>
        <w:t>保险合同</w:t>
      </w:r>
      <w:r>
        <w:rPr>
          <w:rFonts w:hint="eastAsia" w:ascii="仿宋_GB2312" w:hAnsi="仿宋_GB2312" w:eastAsia="仿宋_GB2312" w:cs="仿宋_GB2312"/>
          <w:b w:val="0"/>
          <w:bCs/>
          <w:color w:val="auto"/>
          <w:sz w:val="32"/>
          <w:szCs w:val="32"/>
          <w:highlight w:val="none"/>
        </w:rPr>
        <w:t>约定</w:t>
      </w:r>
      <w:r>
        <w:rPr>
          <w:rFonts w:hint="eastAsia" w:ascii="仿宋_GB2312" w:hAnsi="仿宋_GB2312" w:eastAsia="仿宋_GB2312" w:cs="仿宋_GB2312"/>
          <w:b w:val="0"/>
          <w:bCs/>
          <w:color w:val="auto"/>
          <w:sz w:val="32"/>
          <w:szCs w:val="32"/>
          <w:highlight w:val="none"/>
          <w:lang w:eastAsia="zh-CN"/>
        </w:rPr>
        <w:t>对保险事故进行赔付的被保险人</w:t>
      </w:r>
      <w:r>
        <w:rPr>
          <w:rFonts w:hint="eastAsia" w:ascii="仿宋_GB2312" w:hAnsi="仿宋_GB2312" w:eastAsia="仿宋_GB2312" w:cs="仿宋_GB2312"/>
          <w:b w:val="0"/>
          <w:bCs/>
          <w:color w:val="auto"/>
          <w:sz w:val="32"/>
          <w:szCs w:val="32"/>
          <w:highlight w:val="none"/>
          <w:lang w:val="en-US" w:eastAsia="zh-CN"/>
        </w:rPr>
        <w:t>人次数量。若同一被保险人在统计期内多次发生符合条件的赔付，按实际赔付次数乘以人数进行人次统计；若同一保单下多个被保险人人分别获赔，则分别计1人次</w:t>
      </w:r>
      <w:r>
        <w:rPr>
          <w:rFonts w:hint="eastAsia" w:ascii="仿宋_GB2312" w:hAnsi="仿宋_GB2312" w:eastAsia="仿宋_GB2312" w:cs="仿宋_GB2312"/>
          <w:b w:val="0"/>
          <w:bCs w:val="0"/>
          <w:color w:val="auto"/>
          <w:sz w:val="32"/>
          <w:szCs w:val="32"/>
        </w:rPr>
        <w:t>。</w:t>
      </w:r>
    </w:p>
    <w:p w14:paraId="368445A5">
      <w:pPr>
        <w:keepNext w:val="0"/>
        <w:keepLines w:val="0"/>
        <w:pageBreakBefore w:val="0"/>
        <w:numPr>
          <w:ilvl w:val="0"/>
          <w:numId w:val="0"/>
        </w:numPr>
        <w:kinsoku/>
        <w:wordWrap/>
        <w:overflowPunct/>
        <w:topLinePunct w:val="0"/>
        <w:bidi w:val="0"/>
        <w:spacing w:after="0" w:line="600" w:lineRule="exact"/>
        <w:ind w:firstLine="642"/>
        <w:jc w:val="both"/>
        <w:textAlignment w:val="auto"/>
        <w:outlineLvl w:val="2"/>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（二）统计维度及分类标准</w:t>
      </w:r>
    </w:p>
    <w:p w14:paraId="49E290E4">
      <w:pPr>
        <w:keepNext w:val="0"/>
        <w:keepLines w:val="0"/>
        <w:pageBreakBefore w:val="0"/>
        <w:kinsoku/>
        <w:wordWrap/>
        <w:overflowPunct/>
        <w:topLinePunct w:val="0"/>
        <w:bidi w:val="0"/>
        <w:spacing w:after="0" w:line="600" w:lineRule="exact"/>
        <w:ind w:firstLine="640"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经营大病保险的保险公司，应当按照项目统筹层级，区分大病业务项目开办的地区。</w:t>
      </w:r>
      <w:r>
        <w:rPr>
          <w:rFonts w:hint="eastAsia" w:ascii="仿宋_GB2312" w:hAnsi="仿宋_GB2312" w:eastAsia="仿宋_GB2312" w:cs="仿宋_GB2312"/>
          <w:color w:val="auto"/>
          <w:sz w:val="32"/>
          <w:szCs w:val="32"/>
          <w:highlight w:val="none"/>
          <w:lang w:eastAsia="zh-CN"/>
        </w:rPr>
        <w:t>地区的分类及分类标准详见“</w:t>
      </w:r>
      <w:r>
        <w:rPr>
          <w:rFonts w:hint="eastAsia" w:ascii="仿宋_GB2312" w:hAnsi="仿宋_GB2312" w:eastAsia="仿宋_GB2312" w:cs="仿宋_GB2312"/>
          <w:color w:val="auto"/>
          <w:sz w:val="32"/>
          <w:szCs w:val="32"/>
          <w:highlight w:val="none"/>
          <w:lang w:val="en-US" w:eastAsia="zh-CN"/>
        </w:rPr>
        <w:t>第三部分 业务类”中的地区维度，</w:t>
      </w:r>
      <w:r>
        <w:rPr>
          <w:rFonts w:hint="eastAsia" w:ascii="仿宋_GB2312" w:hAnsi="仿宋_GB2312" w:eastAsia="仿宋_GB2312" w:cs="仿宋_GB2312"/>
          <w:color w:val="auto"/>
          <w:sz w:val="32"/>
          <w:szCs w:val="32"/>
          <w:highlight w:val="none"/>
        </w:rPr>
        <w:t>具体到省级行政区和计划单列市，包括</w:t>
      </w:r>
      <w:r>
        <w:rPr>
          <w:rFonts w:hint="eastAsia" w:ascii="仿宋_GB2312" w:hAnsi="仿宋_GB2312" w:eastAsia="仿宋_GB2312" w:cs="仿宋_GB2312"/>
          <w:b/>
          <w:bCs/>
          <w:color w:val="auto"/>
          <w:sz w:val="32"/>
          <w:szCs w:val="32"/>
          <w:highlight w:val="none"/>
        </w:rPr>
        <w:t>[安徽省]</w:t>
      </w:r>
      <w:r>
        <w:rPr>
          <w:rFonts w:hint="eastAsia" w:ascii="仿宋_GB2312" w:hAnsi="仿宋_GB2312" w:eastAsia="仿宋_GB2312" w:cs="仿宋_GB2312"/>
          <w:color w:val="auto"/>
          <w:sz w:val="32"/>
          <w:szCs w:val="32"/>
          <w:highlight w:val="none"/>
        </w:rPr>
        <w:t>等22个省、</w:t>
      </w:r>
      <w:r>
        <w:rPr>
          <w:rFonts w:hint="eastAsia" w:ascii="仿宋_GB2312" w:hAnsi="仿宋_GB2312" w:eastAsia="仿宋_GB2312" w:cs="仿宋_GB2312"/>
          <w:b/>
          <w:bCs/>
          <w:color w:val="auto"/>
          <w:sz w:val="32"/>
          <w:szCs w:val="32"/>
          <w:highlight w:val="none"/>
        </w:rPr>
        <w:t>[北京市]</w:t>
      </w:r>
      <w:r>
        <w:rPr>
          <w:rFonts w:hint="eastAsia" w:ascii="仿宋_GB2312" w:hAnsi="仿宋_GB2312" w:eastAsia="仿宋_GB2312" w:cs="仿宋_GB2312"/>
          <w:color w:val="auto"/>
          <w:sz w:val="32"/>
          <w:szCs w:val="32"/>
          <w:highlight w:val="none"/>
        </w:rPr>
        <w:t>等4个直辖市、</w:t>
      </w:r>
      <w:r>
        <w:rPr>
          <w:rFonts w:hint="eastAsia" w:ascii="仿宋_GB2312" w:hAnsi="仿宋_GB2312" w:eastAsia="仿宋_GB2312" w:cs="仿宋_GB2312"/>
          <w:b/>
          <w:bCs/>
          <w:color w:val="auto"/>
          <w:sz w:val="32"/>
          <w:szCs w:val="32"/>
          <w:highlight w:val="none"/>
        </w:rPr>
        <w:t>[内蒙古自治区]</w:t>
      </w:r>
      <w:r>
        <w:rPr>
          <w:rFonts w:hint="eastAsia" w:ascii="仿宋_GB2312" w:hAnsi="仿宋_GB2312" w:eastAsia="仿宋_GB2312" w:cs="仿宋_GB2312"/>
          <w:color w:val="auto"/>
          <w:sz w:val="32"/>
          <w:szCs w:val="32"/>
          <w:highlight w:val="none"/>
        </w:rPr>
        <w:t>等5个自治区，以及</w:t>
      </w:r>
      <w:r>
        <w:rPr>
          <w:rFonts w:hint="eastAsia" w:ascii="仿宋_GB2312" w:hAnsi="仿宋_GB2312" w:eastAsia="仿宋_GB2312" w:cs="仿宋_GB2312"/>
          <w:b/>
          <w:bCs/>
          <w:color w:val="auto"/>
          <w:sz w:val="32"/>
          <w:szCs w:val="32"/>
          <w:highlight w:val="none"/>
        </w:rPr>
        <w:t>[辽宁省大连市]、[山东省青岛市]、[广东省深圳市]、[福建省厦门市]、[浙江省宁波市]</w:t>
      </w:r>
      <w:r>
        <w:rPr>
          <w:rFonts w:hint="eastAsia" w:ascii="仿宋_GB2312" w:hAnsi="仿宋_GB2312" w:eastAsia="仿宋_GB2312" w:cs="仿宋_GB2312"/>
          <w:color w:val="auto"/>
          <w:sz w:val="32"/>
          <w:szCs w:val="32"/>
          <w:highlight w:val="none"/>
        </w:rPr>
        <w:t>等5个计划单列市，其中，计入计划单列市的</w:t>
      </w:r>
      <w:r>
        <w:rPr>
          <w:rFonts w:hint="eastAsia" w:ascii="仿宋_GB2312" w:hAnsi="仿宋_GB2312" w:eastAsia="仿宋_GB2312" w:cs="仿宋_GB2312"/>
          <w:color w:val="auto"/>
          <w:sz w:val="32"/>
          <w:szCs w:val="32"/>
          <w:highlight w:val="none"/>
          <w:lang w:eastAsia="zh-CN"/>
        </w:rPr>
        <w:t>业务</w:t>
      </w:r>
      <w:r>
        <w:rPr>
          <w:rFonts w:hint="eastAsia" w:ascii="仿宋_GB2312" w:hAnsi="仿宋_GB2312" w:eastAsia="仿宋_GB2312" w:cs="仿宋_GB2312"/>
          <w:color w:val="auto"/>
          <w:sz w:val="32"/>
          <w:szCs w:val="32"/>
          <w:highlight w:val="none"/>
        </w:rPr>
        <w:t>，不再重复计入计划单列市所属省级行政区。</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
    <w:altName w:val="汉仪中黑KW"/>
    <w:panose1 w:val="02010609060101010101"/>
    <w:charset w:val="00"/>
    <w:family w:val="auto"/>
    <w:pitch w:val="default"/>
    <w:sig w:usb0="800002BF" w:usb1="38CF7CFA" w:usb2="00000016" w:usb3="00000000" w:csb0="00040001" w:csb1="00000000"/>
  </w:font>
  <w:font w:name="Calibri Light">
    <w:altName w:val="Helvetica Neue"/>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汉仪书宋二KW"/>
    <w:panose1 w:val="02000000000000000000"/>
    <w:charset w:val="00"/>
    <w:family w:val="auto"/>
    <w:pitch w:val="default"/>
    <w:sig w:usb0="A00002BF" w:usb1="184F6CFA" w:usb2="00000012" w:usb3="00000000" w:csb0="00040001" w:csb1="00000000"/>
  </w:font>
  <w:font w:name="楷体_GB2312">
    <w:altName w:val="汉仪楷体简"/>
    <w:panose1 w:val="02010609030101010101"/>
    <w:charset w:val="00"/>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3E1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A26939">
                          <w:pPr>
                            <w:pStyle w:val="1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38A26939">
                    <w:pPr>
                      <w:pStyle w:val="1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98778"/>
    <w:multiLevelType w:val="singleLevel"/>
    <w:tmpl w:val="D43987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5CE7"/>
    <w:rsid w:val="0209541B"/>
    <w:rsid w:val="039D0F18"/>
    <w:rsid w:val="043168DA"/>
    <w:rsid w:val="045F6B9B"/>
    <w:rsid w:val="058B39C0"/>
    <w:rsid w:val="05EA0626"/>
    <w:rsid w:val="067C5DEA"/>
    <w:rsid w:val="06B74E06"/>
    <w:rsid w:val="06D80E87"/>
    <w:rsid w:val="07966D78"/>
    <w:rsid w:val="080F0E96"/>
    <w:rsid w:val="082A5712"/>
    <w:rsid w:val="08AF1573"/>
    <w:rsid w:val="09085C6F"/>
    <w:rsid w:val="09322AD0"/>
    <w:rsid w:val="09EE183E"/>
    <w:rsid w:val="0B8205BE"/>
    <w:rsid w:val="0B9F01C5"/>
    <w:rsid w:val="0C4F6838"/>
    <w:rsid w:val="0CB12D07"/>
    <w:rsid w:val="0D0D38A1"/>
    <w:rsid w:val="0D6B4803"/>
    <w:rsid w:val="0DB30BA6"/>
    <w:rsid w:val="0DBF68EC"/>
    <w:rsid w:val="0E0B155E"/>
    <w:rsid w:val="0E1053AA"/>
    <w:rsid w:val="0F1B1FB7"/>
    <w:rsid w:val="103A7974"/>
    <w:rsid w:val="10FD39C4"/>
    <w:rsid w:val="117619C8"/>
    <w:rsid w:val="134835DB"/>
    <w:rsid w:val="13AB3BAB"/>
    <w:rsid w:val="13E14232"/>
    <w:rsid w:val="15344595"/>
    <w:rsid w:val="15D849FF"/>
    <w:rsid w:val="166242C9"/>
    <w:rsid w:val="16B20644"/>
    <w:rsid w:val="17A80E5D"/>
    <w:rsid w:val="17D411F6"/>
    <w:rsid w:val="197B401F"/>
    <w:rsid w:val="19D762CE"/>
    <w:rsid w:val="1C1D316C"/>
    <w:rsid w:val="1C454471"/>
    <w:rsid w:val="1E60458D"/>
    <w:rsid w:val="1F0C5B44"/>
    <w:rsid w:val="1FFFCDB7"/>
    <w:rsid w:val="200B50B2"/>
    <w:rsid w:val="203B62B7"/>
    <w:rsid w:val="209D7833"/>
    <w:rsid w:val="21F94C38"/>
    <w:rsid w:val="22281780"/>
    <w:rsid w:val="226F7FD5"/>
    <w:rsid w:val="2336553D"/>
    <w:rsid w:val="235F12F5"/>
    <w:rsid w:val="23906919"/>
    <w:rsid w:val="23B4085A"/>
    <w:rsid w:val="23D74548"/>
    <w:rsid w:val="24257E71"/>
    <w:rsid w:val="24B30B11"/>
    <w:rsid w:val="24B91523"/>
    <w:rsid w:val="25494E0C"/>
    <w:rsid w:val="25820442"/>
    <w:rsid w:val="25956469"/>
    <w:rsid w:val="25A30093"/>
    <w:rsid w:val="25CE54D7"/>
    <w:rsid w:val="26103D41"/>
    <w:rsid w:val="2661580E"/>
    <w:rsid w:val="272C4BAB"/>
    <w:rsid w:val="281875F6"/>
    <w:rsid w:val="290B020C"/>
    <w:rsid w:val="29EC23D0"/>
    <w:rsid w:val="2A84085A"/>
    <w:rsid w:val="2A9E2A8D"/>
    <w:rsid w:val="2B2500DD"/>
    <w:rsid w:val="2BDB094E"/>
    <w:rsid w:val="2C2C655E"/>
    <w:rsid w:val="2C760724"/>
    <w:rsid w:val="2CBF38E8"/>
    <w:rsid w:val="2D00265A"/>
    <w:rsid w:val="2E7B7AAC"/>
    <w:rsid w:val="2E985683"/>
    <w:rsid w:val="2EA3CFC3"/>
    <w:rsid w:val="2EA72D69"/>
    <w:rsid w:val="2EE2135F"/>
    <w:rsid w:val="2EFC75B4"/>
    <w:rsid w:val="2F012479"/>
    <w:rsid w:val="2FB31E3B"/>
    <w:rsid w:val="2FC7552A"/>
    <w:rsid w:val="30943905"/>
    <w:rsid w:val="32AC6BA0"/>
    <w:rsid w:val="32C91500"/>
    <w:rsid w:val="32EF6CFE"/>
    <w:rsid w:val="33E7EBBD"/>
    <w:rsid w:val="33FDCE7D"/>
    <w:rsid w:val="3434509F"/>
    <w:rsid w:val="357946B1"/>
    <w:rsid w:val="357B81D8"/>
    <w:rsid w:val="35D64DD8"/>
    <w:rsid w:val="35EA1EB9"/>
    <w:rsid w:val="35EC0342"/>
    <w:rsid w:val="35F5421D"/>
    <w:rsid w:val="36316E09"/>
    <w:rsid w:val="374650C0"/>
    <w:rsid w:val="37FF2518"/>
    <w:rsid w:val="38526692"/>
    <w:rsid w:val="39C4975E"/>
    <w:rsid w:val="3A7B57D6"/>
    <w:rsid w:val="3AAD1707"/>
    <w:rsid w:val="3B343BD6"/>
    <w:rsid w:val="3B8339BE"/>
    <w:rsid w:val="3BA743A8"/>
    <w:rsid w:val="3C011090"/>
    <w:rsid w:val="3C243C4B"/>
    <w:rsid w:val="3C2D0D52"/>
    <w:rsid w:val="3C9E33A1"/>
    <w:rsid w:val="3CF535A1"/>
    <w:rsid w:val="3D0E228D"/>
    <w:rsid w:val="3D3872AB"/>
    <w:rsid w:val="3DFE43BF"/>
    <w:rsid w:val="3DFF7FCD"/>
    <w:rsid w:val="3DFFB899"/>
    <w:rsid w:val="3EAA5D9D"/>
    <w:rsid w:val="3EFDA1FF"/>
    <w:rsid w:val="3F17F098"/>
    <w:rsid w:val="3F7E3732"/>
    <w:rsid w:val="3FAD54E8"/>
    <w:rsid w:val="3FC16F7F"/>
    <w:rsid w:val="3FCD72DF"/>
    <w:rsid w:val="3FDB8DB9"/>
    <w:rsid w:val="3FDFC649"/>
    <w:rsid w:val="3FEF91F4"/>
    <w:rsid w:val="3FF4D16F"/>
    <w:rsid w:val="40A460C0"/>
    <w:rsid w:val="410B2F0A"/>
    <w:rsid w:val="416B2CA7"/>
    <w:rsid w:val="41CC2DBB"/>
    <w:rsid w:val="41FD2A42"/>
    <w:rsid w:val="43AA13EE"/>
    <w:rsid w:val="444C1F91"/>
    <w:rsid w:val="449F283B"/>
    <w:rsid w:val="44F248E6"/>
    <w:rsid w:val="46146ADE"/>
    <w:rsid w:val="469C2F73"/>
    <w:rsid w:val="46B42EB6"/>
    <w:rsid w:val="479F76E0"/>
    <w:rsid w:val="48276F9D"/>
    <w:rsid w:val="48531B40"/>
    <w:rsid w:val="493279A7"/>
    <w:rsid w:val="495D2036"/>
    <w:rsid w:val="49D95ED1"/>
    <w:rsid w:val="49DC3DB7"/>
    <w:rsid w:val="49F5AAF4"/>
    <w:rsid w:val="4B991F60"/>
    <w:rsid w:val="4CE54D31"/>
    <w:rsid w:val="4CF23687"/>
    <w:rsid w:val="4D1B7BB7"/>
    <w:rsid w:val="4D86094F"/>
    <w:rsid w:val="4E0062C6"/>
    <w:rsid w:val="4E10402F"/>
    <w:rsid w:val="4E4D3B05"/>
    <w:rsid w:val="4E775E5C"/>
    <w:rsid w:val="4E97C26A"/>
    <w:rsid w:val="4F652159"/>
    <w:rsid w:val="4F9F5845"/>
    <w:rsid w:val="4F9FA7E4"/>
    <w:rsid w:val="501B5578"/>
    <w:rsid w:val="5060304C"/>
    <w:rsid w:val="506C6293"/>
    <w:rsid w:val="50FB7F9C"/>
    <w:rsid w:val="52DFCC28"/>
    <w:rsid w:val="53B10062"/>
    <w:rsid w:val="53E77FDD"/>
    <w:rsid w:val="54624EB9"/>
    <w:rsid w:val="55BF472A"/>
    <w:rsid w:val="56EE3364"/>
    <w:rsid w:val="5737555F"/>
    <w:rsid w:val="575F48C6"/>
    <w:rsid w:val="57DE6F4C"/>
    <w:rsid w:val="597E09E7"/>
    <w:rsid w:val="59CA3908"/>
    <w:rsid w:val="59FFA212"/>
    <w:rsid w:val="5A45AEAE"/>
    <w:rsid w:val="5ABF8892"/>
    <w:rsid w:val="5AD80FAE"/>
    <w:rsid w:val="5B7EFC01"/>
    <w:rsid w:val="5B7F4017"/>
    <w:rsid w:val="5BB7B40B"/>
    <w:rsid w:val="5BC76675"/>
    <w:rsid w:val="5BE47A0E"/>
    <w:rsid w:val="5BFB793E"/>
    <w:rsid w:val="5C2A2760"/>
    <w:rsid w:val="5CFC67A2"/>
    <w:rsid w:val="5CFF599B"/>
    <w:rsid w:val="5DD7ECF1"/>
    <w:rsid w:val="5DDF67FB"/>
    <w:rsid w:val="5E6A32E8"/>
    <w:rsid w:val="5F2F6824"/>
    <w:rsid w:val="5F4E7027"/>
    <w:rsid w:val="5FCE4C3B"/>
    <w:rsid w:val="5FDEDA63"/>
    <w:rsid w:val="5FDFFA7F"/>
    <w:rsid w:val="5FF75ACB"/>
    <w:rsid w:val="5FF94600"/>
    <w:rsid w:val="5FFB5E38"/>
    <w:rsid w:val="5FFC0AB3"/>
    <w:rsid w:val="5FFF9499"/>
    <w:rsid w:val="602557CF"/>
    <w:rsid w:val="60854409"/>
    <w:rsid w:val="60E6759D"/>
    <w:rsid w:val="62AF8BC7"/>
    <w:rsid w:val="62CBEFDC"/>
    <w:rsid w:val="62D55A30"/>
    <w:rsid w:val="634B7B8C"/>
    <w:rsid w:val="63B64DDE"/>
    <w:rsid w:val="63EE1004"/>
    <w:rsid w:val="643B19AE"/>
    <w:rsid w:val="64896B2F"/>
    <w:rsid w:val="64CD21AB"/>
    <w:rsid w:val="656120AC"/>
    <w:rsid w:val="66C42A75"/>
    <w:rsid w:val="67253E33"/>
    <w:rsid w:val="674943E2"/>
    <w:rsid w:val="679D25BC"/>
    <w:rsid w:val="67DDBCE0"/>
    <w:rsid w:val="6A332490"/>
    <w:rsid w:val="6A627569"/>
    <w:rsid w:val="6A7B68A7"/>
    <w:rsid w:val="6ACCDBBC"/>
    <w:rsid w:val="6B4B624F"/>
    <w:rsid w:val="6B850EAA"/>
    <w:rsid w:val="6B981494"/>
    <w:rsid w:val="6B9E76E8"/>
    <w:rsid w:val="6BFF3670"/>
    <w:rsid w:val="6C272726"/>
    <w:rsid w:val="6C9E6F7E"/>
    <w:rsid w:val="6CD6EB8C"/>
    <w:rsid w:val="6CFD5440"/>
    <w:rsid w:val="6D9E9651"/>
    <w:rsid w:val="6DBBFF95"/>
    <w:rsid w:val="6DFFB307"/>
    <w:rsid w:val="6E78F6DE"/>
    <w:rsid w:val="6F7DD9D7"/>
    <w:rsid w:val="6FBF713B"/>
    <w:rsid w:val="6FCF3D7F"/>
    <w:rsid w:val="6FF706B0"/>
    <w:rsid w:val="6FFB850E"/>
    <w:rsid w:val="6FFF2038"/>
    <w:rsid w:val="6FFF38D0"/>
    <w:rsid w:val="704059EF"/>
    <w:rsid w:val="70A1703D"/>
    <w:rsid w:val="70C25205"/>
    <w:rsid w:val="71333A0D"/>
    <w:rsid w:val="71D4056A"/>
    <w:rsid w:val="721F51EF"/>
    <w:rsid w:val="72864686"/>
    <w:rsid w:val="728C1627"/>
    <w:rsid w:val="72D4138D"/>
    <w:rsid w:val="73131D48"/>
    <w:rsid w:val="736ECBE6"/>
    <w:rsid w:val="748B63A7"/>
    <w:rsid w:val="759EDF4E"/>
    <w:rsid w:val="75FDB8D5"/>
    <w:rsid w:val="76477A21"/>
    <w:rsid w:val="767D37EB"/>
    <w:rsid w:val="76966797"/>
    <w:rsid w:val="76AFF695"/>
    <w:rsid w:val="76B734E6"/>
    <w:rsid w:val="76ED0134"/>
    <w:rsid w:val="76F854DD"/>
    <w:rsid w:val="76FB4F34"/>
    <w:rsid w:val="77BA4E88"/>
    <w:rsid w:val="77BEB262"/>
    <w:rsid w:val="77F7B53C"/>
    <w:rsid w:val="77F8D80F"/>
    <w:rsid w:val="77FD6FED"/>
    <w:rsid w:val="77FF8D0E"/>
    <w:rsid w:val="787F5B69"/>
    <w:rsid w:val="78DA9EF1"/>
    <w:rsid w:val="78ECA1D4"/>
    <w:rsid w:val="78F77D43"/>
    <w:rsid w:val="797EBCD4"/>
    <w:rsid w:val="79A6C07F"/>
    <w:rsid w:val="7A146AD1"/>
    <w:rsid w:val="7A2F7467"/>
    <w:rsid w:val="7A347C45"/>
    <w:rsid w:val="7A431165"/>
    <w:rsid w:val="7AADDEA8"/>
    <w:rsid w:val="7ABBC83D"/>
    <w:rsid w:val="7AF95CC7"/>
    <w:rsid w:val="7AFE3C4B"/>
    <w:rsid w:val="7B1E7004"/>
    <w:rsid w:val="7BBEBCD8"/>
    <w:rsid w:val="7BCA2F22"/>
    <w:rsid w:val="7C1B3255"/>
    <w:rsid w:val="7C496874"/>
    <w:rsid w:val="7C611D76"/>
    <w:rsid w:val="7C625C82"/>
    <w:rsid w:val="7C6F35ED"/>
    <w:rsid w:val="7C8E3BCC"/>
    <w:rsid w:val="7CBE1D6F"/>
    <w:rsid w:val="7CD6D516"/>
    <w:rsid w:val="7CDD4B5B"/>
    <w:rsid w:val="7CF59161"/>
    <w:rsid w:val="7D0270B5"/>
    <w:rsid w:val="7D4A280A"/>
    <w:rsid w:val="7DBE8A05"/>
    <w:rsid w:val="7DBF0056"/>
    <w:rsid w:val="7DDF0B1E"/>
    <w:rsid w:val="7DF675ED"/>
    <w:rsid w:val="7DFA63C9"/>
    <w:rsid w:val="7DFF324B"/>
    <w:rsid w:val="7DFF9EE0"/>
    <w:rsid w:val="7E0D3F64"/>
    <w:rsid w:val="7E3D32BA"/>
    <w:rsid w:val="7E68FCCE"/>
    <w:rsid w:val="7E6F969F"/>
    <w:rsid w:val="7E99E8AF"/>
    <w:rsid w:val="7EFB8989"/>
    <w:rsid w:val="7EFF203B"/>
    <w:rsid w:val="7F675E44"/>
    <w:rsid w:val="7F7E3827"/>
    <w:rsid w:val="7F7E780F"/>
    <w:rsid w:val="7FAB60E6"/>
    <w:rsid w:val="7FADBEDD"/>
    <w:rsid w:val="7FBA0521"/>
    <w:rsid w:val="7FBAEB0A"/>
    <w:rsid w:val="7FC9F555"/>
    <w:rsid w:val="7FDB2629"/>
    <w:rsid w:val="7FDB9F44"/>
    <w:rsid w:val="7FDFF94C"/>
    <w:rsid w:val="7FE86462"/>
    <w:rsid w:val="7FE9D9B6"/>
    <w:rsid w:val="7FEBABF4"/>
    <w:rsid w:val="7FEF9169"/>
    <w:rsid w:val="7FF7FBB3"/>
    <w:rsid w:val="7FFD84D1"/>
    <w:rsid w:val="7FFE004C"/>
    <w:rsid w:val="7FFF7984"/>
    <w:rsid w:val="935FED37"/>
    <w:rsid w:val="93FFE80E"/>
    <w:rsid w:val="971C9D60"/>
    <w:rsid w:val="973FA00D"/>
    <w:rsid w:val="97793E06"/>
    <w:rsid w:val="9F3B22E9"/>
    <w:rsid w:val="9FFDEC56"/>
    <w:rsid w:val="A3FE7382"/>
    <w:rsid w:val="A7FE93E4"/>
    <w:rsid w:val="AFD73DD6"/>
    <w:rsid w:val="AFDD9434"/>
    <w:rsid w:val="B4BAD9C2"/>
    <w:rsid w:val="B6B5EEF8"/>
    <w:rsid w:val="B74F8325"/>
    <w:rsid w:val="B77BC0CD"/>
    <w:rsid w:val="B7B5CCF7"/>
    <w:rsid w:val="B7DDB05E"/>
    <w:rsid w:val="B7F79679"/>
    <w:rsid w:val="BBBF93AE"/>
    <w:rsid w:val="BBF7D7E9"/>
    <w:rsid w:val="BCFF02BA"/>
    <w:rsid w:val="BD631644"/>
    <w:rsid w:val="BEAEBB7C"/>
    <w:rsid w:val="BFAE76B5"/>
    <w:rsid w:val="BFC53761"/>
    <w:rsid w:val="BFDE8788"/>
    <w:rsid w:val="BFE5E36B"/>
    <w:rsid w:val="BFED88E3"/>
    <w:rsid w:val="BFEFBBAC"/>
    <w:rsid w:val="BFF5B1CA"/>
    <w:rsid w:val="C76F7B0F"/>
    <w:rsid w:val="CDEE83D2"/>
    <w:rsid w:val="CE61C1D8"/>
    <w:rsid w:val="CEDA0700"/>
    <w:rsid w:val="CFFFC4A4"/>
    <w:rsid w:val="D1FFFB56"/>
    <w:rsid w:val="D779D01A"/>
    <w:rsid w:val="D7BFD653"/>
    <w:rsid w:val="D7FA3833"/>
    <w:rsid w:val="DAE729E3"/>
    <w:rsid w:val="DB73A468"/>
    <w:rsid w:val="DBDE14BC"/>
    <w:rsid w:val="DBEF8315"/>
    <w:rsid w:val="DCE5C4B5"/>
    <w:rsid w:val="DE369B2E"/>
    <w:rsid w:val="DEDD5186"/>
    <w:rsid w:val="DF7F3103"/>
    <w:rsid w:val="DFAD9CDE"/>
    <w:rsid w:val="DFBE28ED"/>
    <w:rsid w:val="DFBE4ADD"/>
    <w:rsid w:val="DFF7C052"/>
    <w:rsid w:val="DFFCECB6"/>
    <w:rsid w:val="E3E7B4AA"/>
    <w:rsid w:val="E5FF1181"/>
    <w:rsid w:val="E6E73335"/>
    <w:rsid w:val="E7D67990"/>
    <w:rsid w:val="E7FF1082"/>
    <w:rsid w:val="E7FF5294"/>
    <w:rsid w:val="EABB461B"/>
    <w:rsid w:val="EAEE5467"/>
    <w:rsid w:val="EBFBB066"/>
    <w:rsid w:val="EBFE5EED"/>
    <w:rsid w:val="ECFC6E6E"/>
    <w:rsid w:val="EDDFB173"/>
    <w:rsid w:val="EE9A37AB"/>
    <w:rsid w:val="EEB7731B"/>
    <w:rsid w:val="EFCE46BE"/>
    <w:rsid w:val="EFEF980F"/>
    <w:rsid w:val="F1AC0DF4"/>
    <w:rsid w:val="F27F78EA"/>
    <w:rsid w:val="F2BF41BA"/>
    <w:rsid w:val="F32D7BFE"/>
    <w:rsid w:val="F3BE599A"/>
    <w:rsid w:val="F3F79540"/>
    <w:rsid w:val="F3FF9E2C"/>
    <w:rsid w:val="F56E0DF5"/>
    <w:rsid w:val="F5BBACB4"/>
    <w:rsid w:val="F5BFBEE1"/>
    <w:rsid w:val="F5DD4C4F"/>
    <w:rsid w:val="F5FD2739"/>
    <w:rsid w:val="F6DF08F1"/>
    <w:rsid w:val="F7772C9C"/>
    <w:rsid w:val="F7772FA3"/>
    <w:rsid w:val="F7DF6FCF"/>
    <w:rsid w:val="F7F73F3F"/>
    <w:rsid w:val="F7FB8657"/>
    <w:rsid w:val="F7FBBE58"/>
    <w:rsid w:val="F7FF540E"/>
    <w:rsid w:val="F8D51DFA"/>
    <w:rsid w:val="FACB2081"/>
    <w:rsid w:val="FB5F0F68"/>
    <w:rsid w:val="FB77DADE"/>
    <w:rsid w:val="FBAF39AF"/>
    <w:rsid w:val="FBEFBC05"/>
    <w:rsid w:val="FC7FF594"/>
    <w:rsid w:val="FC9D7F46"/>
    <w:rsid w:val="FCDF945C"/>
    <w:rsid w:val="FDAE80EA"/>
    <w:rsid w:val="FDCB867A"/>
    <w:rsid w:val="FDE54BF8"/>
    <w:rsid w:val="FDE62902"/>
    <w:rsid w:val="FDEC85A7"/>
    <w:rsid w:val="FDF785B4"/>
    <w:rsid w:val="FEDA6ABD"/>
    <w:rsid w:val="FEF6FB10"/>
    <w:rsid w:val="FF63770E"/>
    <w:rsid w:val="FF8D2186"/>
    <w:rsid w:val="FFA6E6B0"/>
    <w:rsid w:val="FFBC620B"/>
    <w:rsid w:val="FFBF01D7"/>
    <w:rsid w:val="FFDBDEC6"/>
    <w:rsid w:val="FFF80D99"/>
    <w:rsid w:val="FFFE39BD"/>
    <w:rsid w:val="FFFED7EC"/>
    <w:rsid w:val="FFFEDEE2"/>
    <w:rsid w:val="FFFFA6DB"/>
    <w:rsid w:val="FFFFEA29"/>
    <w:rsid w:val="FFFFEE6F"/>
    <w:rsid w:val="FFFFEF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Calibri" w:hAnsi="Calibri" w:eastAsia="宋体" w:cs="Times New Roman"/>
      <w:kern w:val="2"/>
      <w:sz w:val="22"/>
      <w:szCs w:val="24"/>
      <w:lang w:val="en-US" w:eastAsia="zh-CN" w:bidi="ar-SA"/>
    </w:rPr>
  </w:style>
  <w:style w:type="paragraph" w:styleId="3">
    <w:name w:val="heading 1"/>
    <w:basedOn w:val="4"/>
    <w:next w:val="1"/>
    <w:link w:val="29"/>
    <w:qFormat/>
    <w:uiPriority w:val="0"/>
    <w:pPr>
      <w:keepNext/>
      <w:keepLines/>
      <w:spacing w:before="0" w:after="0" w:line="600" w:lineRule="exact"/>
      <w:outlineLvl w:val="0"/>
    </w:pPr>
    <w:rPr>
      <w:rFonts w:eastAsia="黑体"/>
      <w:color w:val="000000"/>
      <w:spacing w:val="-11"/>
      <w:sz w:val="32"/>
      <w:szCs w:val="48"/>
    </w:rPr>
  </w:style>
  <w:style w:type="paragraph" w:styleId="5">
    <w:name w:val="heading 2"/>
    <w:basedOn w:val="1"/>
    <w:next w:val="1"/>
    <w:link w:val="30"/>
    <w:unhideWhenUsed/>
    <w:qFormat/>
    <w:uiPriority w:val="0"/>
    <w:pPr>
      <w:keepNext/>
      <w:keepLines/>
      <w:spacing w:before="160" w:after="80"/>
      <w:outlineLvl w:val="1"/>
    </w:pPr>
    <w:rPr>
      <w:rFonts w:ascii="Calibri Light" w:hAnsi="Calibri Light" w:eastAsia="宋体" w:cs="Times New Roman"/>
      <w:color w:val="2D54A0"/>
      <w:sz w:val="40"/>
      <w:szCs w:val="40"/>
    </w:rPr>
  </w:style>
  <w:style w:type="paragraph" w:styleId="6">
    <w:name w:val="heading 3"/>
    <w:basedOn w:val="1"/>
    <w:next w:val="1"/>
    <w:link w:val="44"/>
    <w:unhideWhenUsed/>
    <w:qFormat/>
    <w:uiPriority w:val="0"/>
    <w:pPr>
      <w:keepNext/>
      <w:keepLines/>
      <w:spacing w:before="160" w:after="80"/>
      <w:outlineLvl w:val="2"/>
    </w:pPr>
    <w:rPr>
      <w:rFonts w:ascii="Calibri Light" w:hAnsi="Calibri Light" w:eastAsia="宋体" w:cs="Times New Roman"/>
      <w:color w:val="2D54A0"/>
      <w:sz w:val="32"/>
      <w:szCs w:val="32"/>
    </w:rPr>
  </w:style>
  <w:style w:type="paragraph" w:styleId="7">
    <w:name w:val="heading 4"/>
    <w:basedOn w:val="1"/>
    <w:next w:val="1"/>
    <w:link w:val="32"/>
    <w:unhideWhenUsed/>
    <w:qFormat/>
    <w:uiPriority w:val="0"/>
    <w:pPr>
      <w:keepNext/>
      <w:keepLines/>
      <w:spacing w:before="80" w:after="40"/>
      <w:outlineLvl w:val="3"/>
    </w:pPr>
    <w:rPr>
      <w:rFonts w:cs="Times New Roman"/>
      <w:color w:val="2D54A0"/>
      <w:sz w:val="28"/>
      <w:szCs w:val="28"/>
    </w:rPr>
  </w:style>
  <w:style w:type="paragraph" w:styleId="8">
    <w:name w:val="heading 5"/>
    <w:basedOn w:val="1"/>
    <w:next w:val="1"/>
    <w:link w:val="33"/>
    <w:unhideWhenUsed/>
    <w:qFormat/>
    <w:uiPriority w:val="0"/>
    <w:pPr>
      <w:keepNext/>
      <w:keepLines/>
      <w:spacing w:before="80" w:after="40"/>
      <w:outlineLvl w:val="4"/>
    </w:pPr>
    <w:rPr>
      <w:rFonts w:cs="Times New Roman"/>
      <w:color w:val="2D54A0"/>
      <w:sz w:val="24"/>
    </w:rPr>
  </w:style>
  <w:style w:type="paragraph" w:styleId="9">
    <w:name w:val="heading 6"/>
    <w:basedOn w:val="1"/>
    <w:next w:val="1"/>
    <w:link w:val="45"/>
    <w:unhideWhenUsed/>
    <w:qFormat/>
    <w:uiPriority w:val="0"/>
    <w:pPr>
      <w:keepNext/>
      <w:keepLines/>
      <w:spacing w:before="40" w:after="0"/>
      <w:outlineLvl w:val="5"/>
    </w:pPr>
    <w:rPr>
      <w:rFonts w:cs="Times New Roman"/>
      <w:b/>
      <w:bCs/>
      <w:color w:val="2D54A0"/>
    </w:rPr>
  </w:style>
  <w:style w:type="paragraph" w:styleId="10">
    <w:name w:val="heading 7"/>
    <w:basedOn w:val="1"/>
    <w:next w:val="1"/>
    <w:link w:val="35"/>
    <w:unhideWhenUsed/>
    <w:qFormat/>
    <w:uiPriority w:val="0"/>
    <w:pPr>
      <w:keepNext/>
      <w:keepLines/>
      <w:spacing w:before="40" w:after="0"/>
      <w:outlineLvl w:val="6"/>
    </w:pPr>
    <w:rPr>
      <w:rFonts w:cs="Times New Roman"/>
      <w:b/>
      <w:bCs/>
      <w:color w:val="595959"/>
    </w:rPr>
  </w:style>
  <w:style w:type="paragraph" w:styleId="11">
    <w:name w:val="heading 8"/>
    <w:basedOn w:val="1"/>
    <w:next w:val="1"/>
    <w:link w:val="36"/>
    <w:unhideWhenUsed/>
    <w:qFormat/>
    <w:uiPriority w:val="0"/>
    <w:pPr>
      <w:keepNext/>
      <w:keepLines/>
      <w:spacing w:after="0"/>
      <w:outlineLvl w:val="7"/>
    </w:pPr>
    <w:rPr>
      <w:rFonts w:cs="Times New Roman"/>
      <w:color w:val="595959"/>
    </w:rPr>
  </w:style>
  <w:style w:type="paragraph" w:styleId="12">
    <w:name w:val="heading 9"/>
    <w:basedOn w:val="1"/>
    <w:next w:val="1"/>
    <w:link w:val="37"/>
    <w:unhideWhenUsed/>
    <w:qFormat/>
    <w:uiPriority w:val="0"/>
    <w:pPr>
      <w:keepNext/>
      <w:keepLines/>
      <w:spacing w:after="0"/>
      <w:outlineLvl w:val="8"/>
    </w:pPr>
    <w:rPr>
      <w:rFonts w:eastAsia="宋体" w:cs="Times New Roman"/>
      <w:color w:val="595959"/>
    </w:rPr>
  </w:style>
  <w:style w:type="character" w:default="1" w:styleId="25">
    <w:name w:val="Default Paragraph Font"/>
    <w:semiHidden/>
    <w:qFormat/>
    <w:uiPriority w:val="0"/>
  </w:style>
  <w:style w:type="table" w:default="1" w:styleId="24">
    <w:name w:val="Normal Table"/>
    <w:semiHidden/>
    <w:qFormat/>
    <w:uiPriority w:val="0"/>
    <w:tblPr>
      <w:tblStyle w:val="24"/>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Title"/>
    <w:basedOn w:val="1"/>
    <w:next w:val="1"/>
    <w:link w:val="28"/>
    <w:qFormat/>
    <w:uiPriority w:val="0"/>
    <w:pPr>
      <w:spacing w:after="80" w:line="240" w:lineRule="auto"/>
      <w:contextualSpacing/>
      <w:jc w:val="center"/>
    </w:pPr>
    <w:rPr>
      <w:rFonts w:ascii="Calibri Light" w:hAnsi="Calibri Light" w:eastAsia="宋体" w:cs="Times New Roman"/>
      <w:spacing w:val="-10"/>
      <w:kern w:val="28"/>
      <w:sz w:val="56"/>
      <w:szCs w:val="56"/>
    </w:rPr>
  </w:style>
  <w:style w:type="paragraph" w:styleId="13">
    <w:name w:val="annotation text"/>
    <w:basedOn w:val="1"/>
    <w:link w:val="38"/>
    <w:qFormat/>
    <w:uiPriority w:val="0"/>
  </w:style>
  <w:style w:type="paragraph" w:styleId="14">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15">
    <w:name w:val="footer"/>
    <w:basedOn w:val="1"/>
    <w:link w:val="46"/>
    <w:qFormat/>
    <w:uiPriority w:val="0"/>
    <w:pPr>
      <w:tabs>
        <w:tab w:val="center" w:pos="4153"/>
        <w:tab w:val="right" w:pos="8306"/>
      </w:tabs>
      <w:snapToGrid w:val="0"/>
      <w:spacing w:line="240" w:lineRule="auto"/>
    </w:pPr>
    <w:rPr>
      <w:sz w:val="18"/>
      <w:szCs w:val="18"/>
    </w:rPr>
  </w:style>
  <w:style w:type="paragraph" w:styleId="16">
    <w:name w:val="header"/>
    <w:basedOn w:val="1"/>
    <w:link w:val="47"/>
    <w:qFormat/>
    <w:uiPriority w:val="0"/>
    <w:pP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Subtitle"/>
    <w:basedOn w:val="1"/>
    <w:next w:val="1"/>
    <w:link w:val="41"/>
    <w:qFormat/>
    <w:uiPriority w:val="0"/>
    <w:pPr>
      <w:jc w:val="center"/>
    </w:pPr>
    <w:rPr>
      <w:rFonts w:ascii="Calibri Light" w:hAnsi="Calibri Light" w:eastAsia="宋体" w:cs="Times New Roman"/>
      <w:color w:val="595959"/>
      <w:spacing w:val="15"/>
      <w:sz w:val="28"/>
      <w:szCs w:val="28"/>
    </w:rPr>
  </w:style>
  <w:style w:type="paragraph" w:styleId="19">
    <w:name w:val="footnote text"/>
    <w:basedOn w:val="1"/>
    <w:link w:val="42"/>
    <w:qFormat/>
    <w:uiPriority w:val="0"/>
    <w:pPr>
      <w:snapToGrid w:val="0"/>
    </w:pPr>
    <w:rPr>
      <w:sz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annotation subject"/>
    <w:basedOn w:val="13"/>
    <w:next w:val="13"/>
    <w:link w:val="43"/>
    <w:qFormat/>
    <w:uiPriority w:val="0"/>
    <w:rPr>
      <w:b/>
      <w:bCs/>
    </w:rPr>
  </w:style>
  <w:style w:type="paragraph" w:styleId="23">
    <w:name w:val="Body Text First Indent 2"/>
    <w:basedOn w:val="14"/>
    <w:next w:val="1"/>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character" w:styleId="26">
    <w:name w:val="annotation reference"/>
    <w:basedOn w:val="25"/>
    <w:qFormat/>
    <w:uiPriority w:val="0"/>
    <w:rPr>
      <w:rFonts w:ascii="Times New Roman" w:hAnsi="Times New Roman" w:eastAsia="宋体" w:cs="Times New Roman"/>
      <w:sz w:val="21"/>
      <w:szCs w:val="21"/>
      <w:lang w:val="en-US" w:eastAsia="zh-CN" w:bidi="ar-SA"/>
    </w:rPr>
  </w:style>
  <w:style w:type="character" w:styleId="27">
    <w:name w:val="footnote reference"/>
    <w:basedOn w:val="25"/>
    <w:qFormat/>
    <w:uiPriority w:val="0"/>
    <w:rPr>
      <w:rFonts w:ascii="Times New Roman" w:hAnsi="Times New Roman" w:eastAsia="宋体" w:cs="Times New Roman"/>
      <w:vertAlign w:val="superscript"/>
      <w:lang w:val="en-US" w:eastAsia="zh-CN" w:bidi="ar-SA"/>
    </w:rPr>
  </w:style>
  <w:style w:type="character" w:customStyle="1" w:styleId="28">
    <w:name w:val="标题 字符"/>
    <w:basedOn w:val="25"/>
    <w:link w:val="4"/>
    <w:qFormat/>
    <w:uiPriority w:val="10"/>
    <w:rPr>
      <w:rFonts w:ascii="Calibri Light" w:hAnsi="Calibri Light" w:eastAsia="宋体" w:cs="Times New Roman"/>
      <w:spacing w:val="-10"/>
      <w:kern w:val="28"/>
      <w:sz w:val="56"/>
      <w:szCs w:val="56"/>
    </w:rPr>
  </w:style>
  <w:style w:type="character" w:customStyle="1" w:styleId="29">
    <w:name w:val="标题 1 字符"/>
    <w:basedOn w:val="25"/>
    <w:link w:val="3"/>
    <w:qFormat/>
    <w:uiPriority w:val="9"/>
    <w:rPr>
      <w:rFonts w:ascii="Calibri Light" w:hAnsi="Calibri Light" w:eastAsia="黑体" w:cs="Times New Roman"/>
      <w:color w:val="000000"/>
      <w:spacing w:val="-11"/>
      <w:sz w:val="32"/>
      <w:szCs w:val="48"/>
    </w:rPr>
  </w:style>
  <w:style w:type="character" w:customStyle="1" w:styleId="30">
    <w:name w:val="标题 2 字符"/>
    <w:basedOn w:val="25"/>
    <w:link w:val="5"/>
    <w:semiHidden/>
    <w:qFormat/>
    <w:uiPriority w:val="9"/>
    <w:rPr>
      <w:rFonts w:ascii="Calibri Light" w:hAnsi="Calibri Light" w:eastAsia="宋体" w:cs="Times New Roman"/>
      <w:color w:val="2D54A0"/>
      <w:sz w:val="40"/>
      <w:szCs w:val="40"/>
    </w:rPr>
  </w:style>
  <w:style w:type="character" w:customStyle="1" w:styleId="31">
    <w:name w:val="标题 3 Char"/>
    <w:basedOn w:val="25"/>
    <w:link w:val="6"/>
    <w:qFormat/>
    <w:uiPriority w:val="0"/>
    <w:rPr>
      <w:rFonts w:ascii="Calibri Light" w:hAnsi="Calibri Light" w:eastAsia="宋体" w:cs="Times New Roman"/>
      <w:color w:val="2D54A0"/>
      <w:sz w:val="32"/>
      <w:szCs w:val="32"/>
      <w:lang w:val="en-US" w:eastAsia="zh-CN" w:bidi="ar-SA"/>
    </w:rPr>
  </w:style>
  <w:style w:type="character" w:customStyle="1" w:styleId="32">
    <w:name w:val="标题 4 字符"/>
    <w:basedOn w:val="25"/>
    <w:link w:val="7"/>
    <w:semiHidden/>
    <w:qFormat/>
    <w:uiPriority w:val="9"/>
    <w:rPr>
      <w:rFonts w:ascii="Times New Roman" w:hAnsi="Times New Roman" w:eastAsia="宋体" w:cs="Times New Roman"/>
      <w:color w:val="2D54A0"/>
      <w:sz w:val="28"/>
      <w:szCs w:val="28"/>
    </w:rPr>
  </w:style>
  <w:style w:type="character" w:customStyle="1" w:styleId="33">
    <w:name w:val="标题 5 字符"/>
    <w:basedOn w:val="25"/>
    <w:link w:val="8"/>
    <w:semiHidden/>
    <w:qFormat/>
    <w:uiPriority w:val="9"/>
    <w:rPr>
      <w:rFonts w:ascii="Times New Roman" w:hAnsi="Times New Roman" w:eastAsia="宋体" w:cs="Times New Roman"/>
      <w:color w:val="2D54A0"/>
      <w:sz w:val="24"/>
    </w:rPr>
  </w:style>
  <w:style w:type="character" w:customStyle="1" w:styleId="34">
    <w:name w:val="Heading 6 Char"/>
    <w:basedOn w:val="25"/>
    <w:link w:val="9"/>
    <w:qFormat/>
    <w:uiPriority w:val="9"/>
    <w:rPr>
      <w:rFonts w:ascii="Calibri" w:hAnsi="Calibri" w:eastAsia="仿宋_GB2312" w:cs="Times New Roman"/>
      <w:bCs/>
      <w:kern w:val="2"/>
      <w:sz w:val="32"/>
      <w:szCs w:val="24"/>
    </w:rPr>
  </w:style>
  <w:style w:type="character" w:customStyle="1" w:styleId="35">
    <w:name w:val="标题 7 字符"/>
    <w:basedOn w:val="25"/>
    <w:link w:val="10"/>
    <w:semiHidden/>
    <w:qFormat/>
    <w:uiPriority w:val="9"/>
    <w:rPr>
      <w:rFonts w:ascii="Times New Roman" w:hAnsi="Times New Roman" w:eastAsia="宋体" w:cs="Times New Roman"/>
      <w:b/>
      <w:bCs/>
      <w:color w:val="595959"/>
    </w:rPr>
  </w:style>
  <w:style w:type="character" w:customStyle="1" w:styleId="36">
    <w:name w:val="标题 8 字符"/>
    <w:basedOn w:val="25"/>
    <w:link w:val="11"/>
    <w:semiHidden/>
    <w:qFormat/>
    <w:uiPriority w:val="9"/>
    <w:rPr>
      <w:rFonts w:ascii="Times New Roman" w:hAnsi="Times New Roman" w:eastAsia="宋体" w:cs="Times New Roman"/>
      <w:color w:val="595959"/>
    </w:rPr>
  </w:style>
  <w:style w:type="character" w:customStyle="1" w:styleId="37">
    <w:name w:val="标题 9 字符"/>
    <w:basedOn w:val="25"/>
    <w:link w:val="12"/>
    <w:semiHidden/>
    <w:qFormat/>
    <w:uiPriority w:val="9"/>
    <w:rPr>
      <w:rFonts w:ascii="Times New Roman" w:hAnsi="Times New Roman" w:eastAsia="宋体" w:cs="Times New Roman"/>
      <w:color w:val="595959"/>
    </w:rPr>
  </w:style>
  <w:style w:type="character" w:customStyle="1" w:styleId="38">
    <w:name w:val="批注文字 字符"/>
    <w:basedOn w:val="25"/>
    <w:link w:val="13"/>
    <w:qFormat/>
    <w:uiPriority w:val="99"/>
    <w:rPr>
      <w:rFonts w:ascii="Times New Roman" w:hAnsi="Times New Roman" w:eastAsia="宋体" w:cs="Times New Roman"/>
      <w:lang w:val="en-US" w:eastAsia="zh-CN" w:bidi="ar-SA"/>
    </w:rPr>
  </w:style>
  <w:style w:type="character" w:customStyle="1" w:styleId="39">
    <w:name w:val="页脚 Char"/>
    <w:basedOn w:val="25"/>
    <w:link w:val="15"/>
    <w:semiHidden/>
    <w:qFormat/>
    <w:uiPriority w:val="99"/>
    <w:rPr>
      <w:rFonts w:ascii="Calibri" w:hAnsi="Calibri" w:eastAsia="宋体" w:cs="Times New Roman"/>
      <w:kern w:val="2"/>
      <w:sz w:val="18"/>
      <w:szCs w:val="18"/>
      <w:lang w:val="en-US" w:eastAsia="zh-CN" w:bidi="ar-SA"/>
    </w:rPr>
  </w:style>
  <w:style w:type="character" w:customStyle="1" w:styleId="40">
    <w:name w:val="页眉 Char"/>
    <w:basedOn w:val="25"/>
    <w:link w:val="16"/>
    <w:semiHidden/>
    <w:qFormat/>
    <w:uiPriority w:val="99"/>
    <w:rPr>
      <w:rFonts w:ascii="Calibri" w:hAnsi="Calibri" w:eastAsia="宋体" w:cs="Times New Roman"/>
      <w:kern w:val="2"/>
      <w:sz w:val="18"/>
      <w:szCs w:val="18"/>
      <w:lang w:val="en-US" w:eastAsia="zh-CN" w:bidi="ar-SA"/>
    </w:rPr>
  </w:style>
  <w:style w:type="character" w:customStyle="1" w:styleId="41">
    <w:name w:val="副标题 字符"/>
    <w:basedOn w:val="25"/>
    <w:link w:val="18"/>
    <w:qFormat/>
    <w:uiPriority w:val="11"/>
    <w:rPr>
      <w:rFonts w:ascii="Calibri Light" w:hAnsi="Calibri Light" w:eastAsia="宋体" w:cs="Times New Roman"/>
      <w:color w:val="595959"/>
      <w:spacing w:val="15"/>
      <w:sz w:val="28"/>
      <w:szCs w:val="28"/>
    </w:rPr>
  </w:style>
  <w:style w:type="character" w:customStyle="1" w:styleId="42">
    <w:name w:val="脚注文本 Char"/>
    <w:basedOn w:val="25"/>
    <w:link w:val="19"/>
    <w:qFormat/>
    <w:uiPriority w:val="0"/>
    <w:rPr>
      <w:rFonts w:ascii="Times New Roman" w:hAnsi="Times New Roman" w:eastAsia="宋体" w:cs="Times New Roman"/>
      <w:sz w:val="18"/>
      <w:lang w:val="en-US" w:eastAsia="zh-CN" w:bidi="ar-SA"/>
    </w:rPr>
  </w:style>
  <w:style w:type="character" w:customStyle="1" w:styleId="43">
    <w:name w:val="批注主题 字符"/>
    <w:basedOn w:val="38"/>
    <w:link w:val="22"/>
    <w:semiHidden/>
    <w:qFormat/>
    <w:uiPriority w:val="99"/>
    <w:rPr>
      <w:b/>
      <w:bCs/>
    </w:rPr>
  </w:style>
  <w:style w:type="character" w:customStyle="1" w:styleId="44">
    <w:name w:val="标题 3 字符"/>
    <w:basedOn w:val="25"/>
    <w:link w:val="6"/>
    <w:qFormat/>
    <w:uiPriority w:val="0"/>
    <w:rPr>
      <w:rFonts w:ascii="Calibri Light" w:hAnsi="Calibri Light" w:eastAsia="宋体" w:cs="Times New Roman"/>
      <w:color w:val="2D54A0"/>
      <w:sz w:val="32"/>
      <w:szCs w:val="32"/>
    </w:rPr>
  </w:style>
  <w:style w:type="character" w:customStyle="1" w:styleId="45">
    <w:name w:val="标题 6 字符"/>
    <w:basedOn w:val="25"/>
    <w:link w:val="9"/>
    <w:semiHidden/>
    <w:qFormat/>
    <w:uiPriority w:val="9"/>
    <w:rPr>
      <w:rFonts w:ascii="Times New Roman" w:hAnsi="Times New Roman" w:eastAsia="宋体" w:cs="Times New Roman"/>
      <w:b/>
      <w:bCs/>
      <w:color w:val="2D54A0"/>
    </w:rPr>
  </w:style>
  <w:style w:type="character" w:customStyle="1" w:styleId="46">
    <w:name w:val="页脚 字符"/>
    <w:basedOn w:val="25"/>
    <w:link w:val="15"/>
    <w:qFormat/>
    <w:uiPriority w:val="99"/>
    <w:rPr>
      <w:rFonts w:ascii="Times New Roman" w:hAnsi="Times New Roman" w:eastAsia="宋体" w:cs="Times New Roman"/>
      <w:sz w:val="18"/>
      <w:szCs w:val="18"/>
    </w:rPr>
  </w:style>
  <w:style w:type="character" w:customStyle="1" w:styleId="47">
    <w:name w:val="页眉 字符"/>
    <w:basedOn w:val="25"/>
    <w:link w:val="16"/>
    <w:qFormat/>
    <w:uiPriority w:val="99"/>
    <w:rPr>
      <w:rFonts w:ascii="Times New Roman" w:hAnsi="Times New Roman" w:eastAsia="宋体" w:cs="Times New Roman"/>
      <w:sz w:val="18"/>
      <w:szCs w:val="18"/>
    </w:rPr>
  </w:style>
  <w:style w:type="paragraph" w:styleId="48">
    <w:name w:val="Quote"/>
    <w:basedOn w:val="1"/>
    <w:next w:val="1"/>
    <w:link w:val="49"/>
    <w:qFormat/>
    <w:uiPriority w:val="29"/>
    <w:pPr>
      <w:spacing w:before="160"/>
      <w:jc w:val="center"/>
    </w:pPr>
    <w:rPr>
      <w:i/>
      <w:iCs/>
      <w:color w:val="3F3F3F"/>
    </w:rPr>
  </w:style>
  <w:style w:type="character" w:customStyle="1" w:styleId="49">
    <w:name w:val="引用 字符"/>
    <w:basedOn w:val="25"/>
    <w:link w:val="48"/>
    <w:qFormat/>
    <w:uiPriority w:val="29"/>
    <w:rPr>
      <w:rFonts w:ascii="Times New Roman" w:hAnsi="Times New Roman" w:eastAsia="宋体" w:cs="Times New Roman"/>
      <w:i/>
      <w:iCs/>
      <w:color w:val="3F3F3F"/>
    </w:rPr>
  </w:style>
  <w:style w:type="paragraph" w:styleId="50">
    <w:name w:val="List Paragraph"/>
    <w:basedOn w:val="1"/>
    <w:qFormat/>
    <w:uiPriority w:val="34"/>
    <w:pPr>
      <w:ind w:left="720"/>
      <w:contextualSpacing/>
    </w:pPr>
  </w:style>
  <w:style w:type="character" w:customStyle="1" w:styleId="51">
    <w:name w:val="明显强调1"/>
    <w:basedOn w:val="25"/>
    <w:qFormat/>
    <w:uiPriority w:val="21"/>
    <w:rPr>
      <w:rFonts w:ascii="Times New Roman" w:hAnsi="Times New Roman" w:eastAsia="宋体" w:cs="Times New Roman"/>
      <w:i/>
      <w:iCs/>
      <w:color w:val="2D54A0"/>
    </w:rPr>
  </w:style>
  <w:style w:type="paragraph" w:styleId="52">
    <w:name w:val="Intense Quote"/>
    <w:basedOn w:val="1"/>
    <w:next w:val="1"/>
    <w:link w:val="53"/>
    <w:qFormat/>
    <w:uiPriority w:val="30"/>
    <w:pPr>
      <w:pBdr>
        <w:top w:val="single" w:color="2D54A0" w:sz="4" w:space="10"/>
        <w:bottom w:val="single" w:color="2D54A0" w:sz="4" w:space="10"/>
      </w:pBdr>
      <w:spacing w:before="360" w:after="360"/>
      <w:ind w:left="864" w:right="864"/>
      <w:jc w:val="center"/>
    </w:pPr>
    <w:rPr>
      <w:i/>
      <w:iCs/>
      <w:color w:val="2D54A0"/>
    </w:rPr>
  </w:style>
  <w:style w:type="character" w:customStyle="1" w:styleId="53">
    <w:name w:val="明显引用 字符"/>
    <w:basedOn w:val="25"/>
    <w:link w:val="52"/>
    <w:qFormat/>
    <w:uiPriority w:val="30"/>
    <w:rPr>
      <w:rFonts w:ascii="Times New Roman" w:hAnsi="Times New Roman" w:eastAsia="宋体" w:cs="Times New Roman"/>
      <w:i/>
      <w:iCs/>
      <w:color w:val="2D54A0"/>
    </w:rPr>
  </w:style>
  <w:style w:type="character" w:customStyle="1" w:styleId="54">
    <w:name w:val="明显参考1"/>
    <w:basedOn w:val="25"/>
    <w:qFormat/>
    <w:uiPriority w:val="32"/>
    <w:rPr>
      <w:rFonts w:ascii="Times New Roman" w:hAnsi="Times New Roman" w:eastAsia="宋体" w:cs="Times New Roman"/>
      <w:b/>
      <w:bCs/>
      <w:smallCaps/>
      <w:color w:val="2D54A0"/>
      <w:spacing w:val="5"/>
    </w:rPr>
  </w:style>
  <w:style w:type="character" w:customStyle="1" w:styleId="55">
    <w:name w:val="示例 Char"/>
    <w:link w:val="56"/>
    <w:qFormat/>
    <w:uiPriority w:val="0"/>
    <w:rPr>
      <w:rFonts w:ascii="Times New Roman" w:hAnsi="Times New Roman" w:eastAsia="宋体" w:cs="Times New Roman"/>
      <w:color w:val="0000FF"/>
      <w:sz w:val="24"/>
    </w:rPr>
  </w:style>
  <w:style w:type="paragraph" w:customStyle="1" w:styleId="56">
    <w:name w:val="示例"/>
    <w:basedOn w:val="1"/>
    <w:link w:val="55"/>
    <w:qFormat/>
    <w:uiPriority w:val="0"/>
    <w:pPr>
      <w:autoSpaceDE w:val="0"/>
      <w:autoSpaceDN w:val="0"/>
      <w:adjustRightInd w:val="0"/>
      <w:spacing w:after="0" w:line="360" w:lineRule="auto"/>
      <w:ind w:firstLine="200" w:firstLineChars="200"/>
    </w:pPr>
    <w:rPr>
      <w:rFonts w:eastAsia="宋体"/>
      <w:color w:val="0000FF"/>
      <w:sz w:val="24"/>
    </w:rPr>
  </w:style>
  <w:style w:type="paragraph" w:customStyle="1" w:styleId="57">
    <w:name w:val="正文-五号"/>
    <w:basedOn w:val="56"/>
    <w:qFormat/>
    <w:uiPriority w:val="0"/>
    <w:rPr>
      <w:color w:val="000000"/>
      <w:sz w:val="21"/>
      <w:szCs w:val="21"/>
    </w:rPr>
  </w:style>
  <w:style w:type="paragraph" w:customStyle="1" w:styleId="58">
    <w:name w:val="表题与表续号"/>
    <w:basedOn w:val="1"/>
    <w:link w:val="59"/>
    <w:qFormat/>
    <w:uiPriority w:val="0"/>
    <w:pPr>
      <w:spacing w:after="0" w:line="240" w:lineRule="auto"/>
      <w:jc w:val="center"/>
    </w:pPr>
    <w:rPr>
      <w:rFonts w:ascii="Times New Roman" w:hAnsi="Times New Roman" w:eastAsia="宋体" w:cs="宋体"/>
      <w:sz w:val="21"/>
      <w:szCs w:val="21"/>
    </w:rPr>
  </w:style>
  <w:style w:type="character" w:customStyle="1" w:styleId="59">
    <w:name w:val="表题与表续号 Char"/>
    <w:link w:val="58"/>
    <w:uiPriority w:val="0"/>
    <w:rPr>
      <w:rFonts w:ascii="Times New Roman" w:hAnsi="Times New Roman" w:eastAsia="宋体" w:cs="宋体"/>
      <w:sz w:val="21"/>
      <w:szCs w:val="21"/>
    </w:rPr>
  </w:style>
  <w:style w:type="paragraph" w:customStyle="1" w:styleId="60">
    <w:name w:val="Revision"/>
    <w:unhideWhenUsed/>
    <w:qFormat/>
    <w:uiPriority w:val="99"/>
    <w:rPr>
      <w:rFonts w:ascii="Calibri" w:hAnsi="Calibri" w:eastAsia="宋体" w:cs="Times New Roman"/>
      <w:kern w:val="2"/>
      <w:sz w:val="22"/>
      <w:szCs w:val="24"/>
      <w:lang w:val="en-US" w:eastAsia="zh-CN" w:bidi="ar-SA"/>
    </w:rPr>
  </w:style>
  <w:style w:type="paragraph" w:customStyle="1" w:styleId="61">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13306</Words>
  <Characters>13456</Characters>
  <Lines>0</Lines>
  <Paragraphs>0</Paragraphs>
  <TotalTime>6.33333333333333</TotalTime>
  <ScaleCrop>false</ScaleCrop>
  <LinksUpToDate>false</LinksUpToDate>
  <CharactersWithSpaces>13478</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2014-11-17T20:08:00Z</dcterms:created>
  <dc:creator>CBIRC</dc:creator>
  <cp:lastModifiedBy>彭云龙</cp:lastModifiedBy>
  <dcterms:modified xsi:type="dcterms:W3CDTF">2026-04-22T20:21:59Z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KSOTemplateDocerSaveRecord">
    <vt:lpwstr>eyJoZGlkIjoiNDZiYzFjYzcyZWRlYjkxNzU5ZGI0NGZkMzg3NDMxMWMiLCJ1c2VySWQiOiI1NDA5NzczNTkifQ==</vt:lpwstr>
  </property>
  <property fmtid="{D5CDD505-2E9C-101B-9397-08002B2CF9AE}" pid="4" name="ICV">
    <vt:lpwstr>CEEE0B23AB176EEB67BDE869FF8667DD_43</vt:lpwstr>
  </property>
</Properties>
</file>