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sz w:val="32"/>
          <w:szCs w:val="32"/>
        </w:rPr>
      </w:pPr>
      <w:r>
        <w:rPr>
          <w:rFonts w:hint="eastAsia" w:ascii="黑体" w:hAnsi="黑体" w:eastAsia="黑体"/>
          <w:sz w:val="32"/>
          <w:szCs w:val="32"/>
        </w:rPr>
        <w:t>附件2</w:t>
      </w:r>
    </w:p>
    <w:p>
      <w:pPr>
        <w:spacing w:line="240" w:lineRule="exact"/>
        <w:rPr>
          <w:rFonts w:hint="eastAsia" w:cs="宋体" w:asciiTheme="majorEastAsia" w:hAnsiTheme="majorEastAsia" w:eastAsiaTheme="majorEastAsia"/>
          <w:b/>
          <w:bCs/>
          <w:kern w:val="0"/>
          <w:sz w:val="44"/>
          <w:szCs w:val="44"/>
        </w:rPr>
      </w:pPr>
    </w:p>
    <w:p>
      <w:pPr>
        <w:spacing w:line="580" w:lineRule="exact"/>
        <w:jc w:val="center"/>
        <w:rPr>
          <w:rFonts w:hint="eastAsia" w:ascii="长城小标宋体" w:hAnsi="黑体" w:eastAsia="长城小标宋体"/>
          <w:sz w:val="32"/>
          <w:szCs w:val="32"/>
        </w:rPr>
      </w:pPr>
      <w:r>
        <w:rPr>
          <w:rFonts w:hint="eastAsia" w:ascii="长城小标宋体" w:eastAsia="长城小标宋体" w:cs="宋体" w:hAnsiTheme="majorEastAsia"/>
          <w:bCs/>
          <w:kern w:val="0"/>
          <w:sz w:val="44"/>
          <w:szCs w:val="44"/>
        </w:rPr>
        <w:t>人身保险公司服务评价定量指标</w:t>
      </w:r>
    </w:p>
    <w:p>
      <w:pPr>
        <w:spacing w:line="300" w:lineRule="exact"/>
        <w:jc w:val="left"/>
        <w:rPr>
          <w:rFonts w:ascii="黑体" w:hAnsi="黑体" w:eastAsia="黑体"/>
          <w:sz w:val="32"/>
          <w:szCs w:val="32"/>
        </w:rPr>
      </w:pPr>
    </w:p>
    <w:tbl>
      <w:tblPr>
        <w:tblStyle w:val="15"/>
        <w:tblW w:w="9322" w:type="dxa"/>
        <w:tblInd w:w="0" w:type="dxa"/>
        <w:tblLayout w:type="autofit"/>
        <w:tblCellMar>
          <w:top w:w="0" w:type="dxa"/>
          <w:left w:w="108" w:type="dxa"/>
          <w:bottom w:w="0" w:type="dxa"/>
          <w:right w:w="108" w:type="dxa"/>
        </w:tblCellMar>
      </w:tblPr>
      <w:tblGrid>
        <w:gridCol w:w="2011"/>
        <w:gridCol w:w="91"/>
        <w:gridCol w:w="7220"/>
      </w:tblGrid>
      <w:tr>
        <w:tblPrEx>
          <w:tblCellMar>
            <w:top w:w="0" w:type="dxa"/>
            <w:left w:w="108" w:type="dxa"/>
            <w:bottom w:w="0" w:type="dxa"/>
            <w:right w:w="108" w:type="dxa"/>
          </w:tblCellMar>
        </w:tblPrEx>
        <w:trPr>
          <w:trHeight w:val="420"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sz w:val="28"/>
                <w:szCs w:val="28"/>
              </w:rPr>
              <w:t>指标定义及统计说明</w:t>
            </w:r>
          </w:p>
        </w:tc>
      </w:tr>
      <w:tr>
        <w:tblPrEx>
          <w:tblCellMar>
            <w:top w:w="0" w:type="dxa"/>
            <w:left w:w="108" w:type="dxa"/>
            <w:bottom w:w="0" w:type="dxa"/>
            <w:right w:w="108" w:type="dxa"/>
          </w:tblCellMar>
        </w:tblPrEx>
        <w:trPr>
          <w:trHeight w:val="420"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1．保单15日送达率（15%）</w:t>
            </w:r>
          </w:p>
        </w:tc>
      </w:tr>
      <w:tr>
        <w:tblPrEx>
          <w:tblCellMar>
            <w:top w:w="0" w:type="dxa"/>
            <w:left w:w="108" w:type="dxa"/>
            <w:bottom w:w="0" w:type="dxa"/>
            <w:right w:w="108" w:type="dxa"/>
          </w:tblCellMar>
        </w:tblPrEx>
        <w:trPr>
          <w:trHeight w:val="325"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415"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评价保险公司：反映新契约出单时效。</w:t>
            </w:r>
          </w:p>
        </w:tc>
      </w:tr>
      <w:tr>
        <w:tblPrEx>
          <w:tblCellMar>
            <w:top w:w="0" w:type="dxa"/>
            <w:left w:w="108" w:type="dxa"/>
            <w:bottom w:w="0" w:type="dxa"/>
            <w:right w:w="108" w:type="dxa"/>
          </w:tblCellMar>
        </w:tblPrEx>
        <w:trPr>
          <w:trHeight w:val="113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rPr>
              <w:t>保单15日送达率=</w:t>
            </w:r>
            <w:r>
              <w:rPr>
                <w:rFonts w:hint="eastAsia" w:ascii="仿宋_GB2312" w:hAnsi="宋体" w:eastAsia="仿宋_GB2312" w:cs="宋体"/>
                <w:color w:val="000000"/>
                <w:kern w:val="0"/>
                <w:sz w:val="28"/>
                <w:szCs w:val="28"/>
              </w:rPr>
              <w:t>评价区间内从消费者填写投保单信息之日起至消费者签收保单回执之日止的时间小于或等于15天的保单件数/评价区间内所有承保保单件数×100%</w:t>
            </w:r>
          </w:p>
        </w:tc>
      </w:tr>
      <w:tr>
        <w:tblPrEx>
          <w:tblCellMar>
            <w:top w:w="0" w:type="dxa"/>
            <w:left w:w="108" w:type="dxa"/>
            <w:bottom w:w="0" w:type="dxa"/>
            <w:right w:w="108" w:type="dxa"/>
          </w:tblCellMar>
        </w:tblPrEx>
        <w:trPr>
          <w:trHeight w:val="2787"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1．该指标中的个人业务仅指来源于代理人和保险经纪公司以及保险代理公司渠道的个人业务，不含银保、电销和网销业务。</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2．该指标中保单的统计范围是指投保人为个人且保险期限在一年及以上的人身保险新保业务，不含契撤件、附加险。</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3．起期和终期：</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（1）起期：消费者提交投保单日期（在投保单上签字日期）。</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（2）终期：消费者签收保单回执时的日期。</w:t>
            </w:r>
          </w:p>
        </w:tc>
      </w:tr>
      <w:tr>
        <w:tblPrEx>
          <w:tblCellMar>
            <w:top w:w="0" w:type="dxa"/>
            <w:left w:w="108" w:type="dxa"/>
            <w:bottom w:w="0" w:type="dxa"/>
            <w:right w:w="108" w:type="dxa"/>
          </w:tblCellMar>
        </w:tblPrEx>
        <w:trPr>
          <w:trHeight w:val="424"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保险公司报送，系统供数。</w:t>
            </w:r>
          </w:p>
        </w:tc>
      </w:tr>
      <w:tr>
        <w:tblPrEx>
          <w:tblCellMar>
            <w:top w:w="0" w:type="dxa"/>
            <w:left w:w="108" w:type="dxa"/>
            <w:bottom w:w="0" w:type="dxa"/>
            <w:right w:w="108" w:type="dxa"/>
          </w:tblCellMar>
        </w:tblPrEx>
        <w:trPr>
          <w:trHeight w:val="1111"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1.反映保险公司承保服务质量，从消费者角度衡量，可量化。</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2.以消费者感知为中心，不区分渠道差异。</w:t>
            </w:r>
          </w:p>
        </w:tc>
      </w:tr>
      <w:tr>
        <w:tblPrEx>
          <w:tblCellMar>
            <w:top w:w="0" w:type="dxa"/>
            <w:left w:w="108" w:type="dxa"/>
            <w:bottom w:w="0" w:type="dxa"/>
            <w:right w:w="108" w:type="dxa"/>
          </w:tblCellMar>
        </w:tblPrEx>
        <w:trPr>
          <w:trHeight w:val="419"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特别说明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75"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2．电话呼入人工接通率（5%）</w:t>
            </w:r>
          </w:p>
        </w:tc>
      </w:tr>
      <w:tr>
        <w:tblPrEx>
          <w:tblCellMar>
            <w:top w:w="0" w:type="dxa"/>
            <w:left w:w="108" w:type="dxa"/>
            <w:bottom w:w="0" w:type="dxa"/>
            <w:right w:w="108" w:type="dxa"/>
          </w:tblCellMar>
        </w:tblPrEx>
        <w:trPr>
          <w:trHeight w:val="34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452"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评价保险公司：反映保险公司接通消费者来电的水平。</w:t>
            </w:r>
          </w:p>
        </w:tc>
      </w:tr>
      <w:tr>
        <w:tblPrEx>
          <w:tblCellMar>
            <w:top w:w="0" w:type="dxa"/>
            <w:left w:w="108" w:type="dxa"/>
            <w:bottom w:w="0" w:type="dxa"/>
            <w:right w:w="108" w:type="dxa"/>
          </w:tblCellMar>
        </w:tblPrEx>
        <w:trPr>
          <w:trHeight w:val="696"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rPr>
              <w:t>电话呼入人工接通率=</w:t>
            </w:r>
            <w:r>
              <w:rPr>
                <w:rFonts w:hint="eastAsia" w:ascii="仿宋_GB2312" w:hAnsi="宋体" w:eastAsia="仿宋_GB2312" w:cs="宋体"/>
                <w:color w:val="000000"/>
                <w:sz w:val="28"/>
                <w:szCs w:val="28"/>
              </w:rPr>
              <w:t>消费者来电选择人工服务键后专线人员接通的电话数</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sz w:val="28"/>
                <w:szCs w:val="28"/>
              </w:rPr>
              <w:t>所有请求人工服务电话数</w:t>
            </w: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55"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1．呼入件数为电话呼入转人工服务的申请件数(请求人工服务量)。</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2．呼入接通件数为电话呼入转人工服务并被人工应答的件数。</w:t>
            </w:r>
          </w:p>
        </w:tc>
      </w:tr>
      <w:tr>
        <w:tblPrEx>
          <w:tblCellMar>
            <w:top w:w="0" w:type="dxa"/>
            <w:left w:w="108" w:type="dxa"/>
            <w:bottom w:w="0" w:type="dxa"/>
            <w:right w:w="108" w:type="dxa"/>
          </w:tblCellMar>
        </w:tblPrEx>
        <w:trPr>
          <w:trHeight w:val="399"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保险公司报送，系统供数。</w:t>
            </w:r>
          </w:p>
        </w:tc>
      </w:tr>
      <w:tr>
        <w:tblPrEx>
          <w:tblCellMar>
            <w:top w:w="0" w:type="dxa"/>
            <w:left w:w="108" w:type="dxa"/>
            <w:bottom w:w="0" w:type="dxa"/>
            <w:right w:w="108" w:type="dxa"/>
          </w:tblCellMar>
        </w:tblPrEx>
        <w:trPr>
          <w:trHeight w:val="699"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sz w:val="28"/>
                <w:szCs w:val="28"/>
              </w:rPr>
              <w:t>该指标考察保险公司电话服务中心专线人员处理消费者人工服务请求的效率。</w:t>
            </w:r>
          </w:p>
        </w:tc>
      </w:tr>
      <w:tr>
        <w:tblPrEx>
          <w:tblCellMar>
            <w:top w:w="0" w:type="dxa"/>
            <w:left w:w="108" w:type="dxa"/>
            <w:bottom w:w="0" w:type="dxa"/>
            <w:right w:w="108" w:type="dxa"/>
          </w:tblCellMar>
        </w:tblPrEx>
        <w:trPr>
          <w:trHeight w:val="695"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特别说明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如公司电话服务系统由总公司集中统一管理，各省分公司数据可用总公司数据代替。</w:t>
            </w:r>
          </w:p>
        </w:tc>
      </w:tr>
      <w:tr>
        <w:tblPrEx>
          <w:tblCellMar>
            <w:top w:w="0" w:type="dxa"/>
            <w:left w:w="108" w:type="dxa"/>
            <w:bottom w:w="0" w:type="dxa"/>
            <w:right w:w="108" w:type="dxa"/>
          </w:tblCellMar>
        </w:tblPrEx>
        <w:trPr>
          <w:trHeight w:val="421"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3．犹豫期内电话回访成功率（10%）</w:t>
            </w:r>
          </w:p>
        </w:tc>
      </w:tr>
      <w:tr>
        <w:tblPrEx>
          <w:tblCellMar>
            <w:top w:w="0" w:type="dxa"/>
            <w:left w:w="108" w:type="dxa"/>
            <w:bottom w:w="0" w:type="dxa"/>
            <w:right w:w="108" w:type="dxa"/>
          </w:tblCellMar>
        </w:tblPrEx>
        <w:trPr>
          <w:trHeight w:val="4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评价保险公司：反映犹豫期回访效率。</w:t>
            </w:r>
          </w:p>
        </w:tc>
      </w:tr>
      <w:tr>
        <w:tblPrEx>
          <w:tblCellMar>
            <w:top w:w="0" w:type="dxa"/>
            <w:left w:w="108" w:type="dxa"/>
            <w:bottom w:w="0" w:type="dxa"/>
            <w:right w:w="108" w:type="dxa"/>
          </w:tblCellMar>
        </w:tblPrEx>
        <w:trPr>
          <w:trHeight w:val="1120"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rPr>
              <w:t>犹豫期内电话回访成功率=</w:t>
            </w:r>
            <w:r>
              <w:rPr>
                <w:rFonts w:hint="eastAsia" w:ascii="仿宋_GB2312" w:hAnsi="宋体" w:eastAsia="仿宋_GB2312" w:cs="宋体"/>
                <w:color w:val="000000"/>
                <w:kern w:val="0"/>
                <w:sz w:val="28"/>
                <w:szCs w:val="28"/>
              </w:rPr>
              <w:t>评价区间内新单犹豫期电话回访成功件数/评价区间内新单犹豫期应电话回访总件数×100%</w:t>
            </w:r>
          </w:p>
        </w:tc>
      </w:tr>
      <w:tr>
        <w:tblPrEx>
          <w:tblCellMar>
            <w:top w:w="0" w:type="dxa"/>
            <w:left w:w="108" w:type="dxa"/>
            <w:bottom w:w="0" w:type="dxa"/>
            <w:right w:w="108" w:type="dxa"/>
          </w:tblCellMar>
        </w:tblPrEx>
        <w:trPr>
          <w:trHeight w:val="4666"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应电话回访的新单指保险期限在一年以上（不含一年）、承保日期在评价区间内的个人业务，不包括犹豫期解除合同和犹豫期理赔终止的新单，以及附加险和消费者拒绝回访的新单。上述业务中虽然犹豫期在统计日期外、但回访成功的保单件数应计入分子。</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犹豫期”是指从投保人收到保单（包括纸质保单、电子保单等多种形式）并签收之日起（个险、网销及电销渠道业务为10日，银保渠道为15日）的这段时期。保险公司给予消费者超过10/15日时间犹豫期的，可按规定的犹豫期处理。</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电话回访成功的认定标准是指回访人员将回访需要告知和询问的内容在上述“犹豫期”时段内用电话方式全部完成。如果下发工单核实联系电话并在犹豫期内按照前述认定标准完成电话回访的，视为犹豫期回访成功。</w:t>
            </w:r>
          </w:p>
        </w:tc>
      </w:tr>
      <w:tr>
        <w:tblPrEx>
          <w:tblCellMar>
            <w:top w:w="0" w:type="dxa"/>
            <w:left w:w="108" w:type="dxa"/>
            <w:bottom w:w="0" w:type="dxa"/>
            <w:right w:w="108" w:type="dxa"/>
          </w:tblCellMar>
        </w:tblPrEx>
        <w:trPr>
          <w:trHeight w:val="409"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保险公司报送，系统供数。</w:t>
            </w:r>
          </w:p>
        </w:tc>
      </w:tr>
      <w:tr>
        <w:tblPrEx>
          <w:tblCellMar>
            <w:top w:w="0" w:type="dxa"/>
            <w:left w:w="108" w:type="dxa"/>
            <w:bottom w:w="0" w:type="dxa"/>
            <w:right w:w="108" w:type="dxa"/>
          </w:tblCellMar>
        </w:tblPrEx>
        <w:trPr>
          <w:trHeight w:val="1691"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1.保证保险消费者在犹豫期的合法权益，通过电话回访可以更有效的发现销售环节的问题。</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2.完成犹豫期回访规定告知和确认事项即为成功，如回访发现问题则按相关规定跟进处理和解决，不影响回访成功率的计算。</w:t>
            </w:r>
          </w:p>
        </w:tc>
      </w:tr>
      <w:tr>
        <w:tblPrEx>
          <w:tblCellMar>
            <w:top w:w="0" w:type="dxa"/>
            <w:left w:w="108" w:type="dxa"/>
            <w:bottom w:w="0" w:type="dxa"/>
            <w:right w:w="108" w:type="dxa"/>
          </w:tblCellMar>
        </w:tblPrEx>
        <w:trPr>
          <w:trHeight w:val="444"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特别说明</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72"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4．理赔服务时效（20%）</w:t>
            </w:r>
          </w:p>
        </w:tc>
      </w:tr>
      <w:tr>
        <w:tblPrEx>
          <w:tblCellMar>
            <w:top w:w="0" w:type="dxa"/>
            <w:left w:w="108" w:type="dxa"/>
            <w:bottom w:w="0" w:type="dxa"/>
            <w:right w:w="108" w:type="dxa"/>
          </w:tblCellMar>
        </w:tblPrEx>
        <w:trPr>
          <w:trHeight w:val="405"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427"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评价保险公司:反映理赔服务效率。</w:t>
            </w:r>
          </w:p>
        </w:tc>
      </w:tr>
      <w:tr>
        <w:tblPrEx>
          <w:tblCellMar>
            <w:top w:w="0" w:type="dxa"/>
            <w:left w:w="108" w:type="dxa"/>
            <w:bottom w:w="0" w:type="dxa"/>
            <w:right w:w="108" w:type="dxa"/>
          </w:tblCellMar>
        </w:tblPrEx>
        <w:trPr>
          <w:trHeight w:val="703" w:hRule="atLeast"/>
        </w:trPr>
        <w:tc>
          <w:tcPr>
            <w:tcW w:w="2011" w:type="dxa"/>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rPr>
              <w:t>理赔服务时效=</w:t>
            </w:r>
            <w:r>
              <w:rPr>
                <w:rFonts w:hint="eastAsia" w:ascii="仿宋_GB2312" w:hAnsi="宋体" w:eastAsia="仿宋_GB2312" w:cs="宋体"/>
                <w:color w:val="000000"/>
                <w:kern w:val="0"/>
                <w:sz w:val="28"/>
                <w:szCs w:val="28"/>
              </w:rPr>
              <w:t>评价区间内所有已决赔案出险日至结案的天数总和/评价区间内所有已决赔案件数</w:t>
            </w:r>
          </w:p>
        </w:tc>
      </w:tr>
      <w:tr>
        <w:tblPrEx>
          <w:tblCellMar>
            <w:top w:w="0" w:type="dxa"/>
            <w:left w:w="108" w:type="dxa"/>
            <w:bottom w:w="0" w:type="dxa"/>
            <w:right w:w="108" w:type="dxa"/>
          </w:tblCellMar>
        </w:tblPrEx>
        <w:trPr>
          <w:trHeight w:val="713"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1．起期：</w:t>
            </w:r>
            <w:r>
              <w:rPr>
                <w:rFonts w:hint="eastAsia" w:ascii="仿宋_GB2312" w:hAnsi="宋体" w:eastAsia="仿宋_GB2312" w:cs="宋体"/>
                <w:kern w:val="0"/>
                <w:sz w:val="28"/>
                <w:szCs w:val="28"/>
              </w:rPr>
              <w:t>消费者提交理赔申请日期。</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2．终期：公司做出理赔决定且需赔付的案件提交付款动作的时间。</w:t>
            </w:r>
          </w:p>
        </w:tc>
      </w:tr>
      <w:tr>
        <w:tblPrEx>
          <w:tblCellMar>
            <w:top w:w="0" w:type="dxa"/>
            <w:left w:w="108" w:type="dxa"/>
            <w:bottom w:w="0" w:type="dxa"/>
            <w:right w:w="108" w:type="dxa"/>
          </w:tblCellMar>
        </w:tblPrEx>
        <w:trPr>
          <w:trHeight w:val="444"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保险公司报送，系统供数。</w:t>
            </w:r>
          </w:p>
        </w:tc>
      </w:tr>
      <w:tr>
        <w:tblPrEx>
          <w:tblCellMar>
            <w:top w:w="0" w:type="dxa"/>
            <w:left w:w="108" w:type="dxa"/>
            <w:bottom w:w="0" w:type="dxa"/>
            <w:right w:w="108" w:type="dxa"/>
          </w:tblCellMar>
        </w:tblPrEx>
        <w:trPr>
          <w:trHeight w:val="686"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主要考核保险公司理赔结案情况，以客观评估保险公司整体案件处理效率。</w:t>
            </w:r>
          </w:p>
        </w:tc>
      </w:tr>
      <w:tr>
        <w:tblPrEx>
          <w:tblCellMar>
            <w:top w:w="0" w:type="dxa"/>
            <w:left w:w="108" w:type="dxa"/>
            <w:bottom w:w="0" w:type="dxa"/>
            <w:right w:w="108" w:type="dxa"/>
          </w:tblCellMar>
        </w:tblPrEx>
        <w:trPr>
          <w:trHeight w:val="455"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特别说明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
                <w:bCs/>
                <w:color w:val="000000"/>
                <w:kern w:val="0"/>
                <w:sz w:val="28"/>
                <w:szCs w:val="28"/>
              </w:rPr>
            </w:pPr>
          </w:p>
        </w:tc>
      </w:tr>
      <w:tr>
        <w:tblPrEx>
          <w:tblCellMar>
            <w:top w:w="0" w:type="dxa"/>
            <w:left w:w="108" w:type="dxa"/>
            <w:bottom w:w="0" w:type="dxa"/>
            <w:right w:w="108" w:type="dxa"/>
          </w:tblCellMar>
        </w:tblPrEx>
        <w:trPr>
          <w:trHeight w:val="269"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5．理赔获赔率（15%）</w:t>
            </w:r>
          </w:p>
        </w:tc>
      </w:tr>
      <w:tr>
        <w:tblPrEx>
          <w:tblCellMar>
            <w:top w:w="0" w:type="dxa"/>
            <w:left w:w="108" w:type="dxa"/>
            <w:bottom w:w="0" w:type="dxa"/>
            <w:right w:w="108" w:type="dxa"/>
          </w:tblCellMar>
        </w:tblPrEx>
        <w:trPr>
          <w:trHeight w:val="364" w:hRule="atLeast"/>
        </w:trPr>
        <w:tc>
          <w:tcPr>
            <w:tcW w:w="2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22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387" w:hRule="atLeast"/>
        </w:trPr>
        <w:tc>
          <w:tcPr>
            <w:tcW w:w="2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22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评价保险公司：反映已决赔案中实际获赔的比率。</w:t>
            </w:r>
          </w:p>
        </w:tc>
      </w:tr>
      <w:tr>
        <w:tblPrEx>
          <w:tblCellMar>
            <w:top w:w="0" w:type="dxa"/>
            <w:left w:w="108" w:type="dxa"/>
            <w:bottom w:w="0" w:type="dxa"/>
            <w:right w:w="108" w:type="dxa"/>
          </w:tblCellMar>
        </w:tblPrEx>
        <w:trPr>
          <w:trHeight w:val="690" w:hRule="atLeast"/>
        </w:trPr>
        <w:tc>
          <w:tcPr>
            <w:tcW w:w="2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22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rPr>
              <w:t>理赔获赔率=</w:t>
            </w:r>
            <w:r>
              <w:rPr>
                <w:rFonts w:hint="eastAsia" w:ascii="仿宋_GB2312" w:hAnsi="宋体" w:eastAsia="仿宋_GB2312" w:cs="宋体"/>
                <w:color w:val="000000"/>
                <w:kern w:val="0"/>
                <w:sz w:val="28"/>
                <w:szCs w:val="28"/>
              </w:rPr>
              <w:t>评价区间内实际获赔的案件数/评价区间内已决赔案件数*100%</w:t>
            </w:r>
          </w:p>
        </w:tc>
      </w:tr>
      <w:tr>
        <w:tblPrEx>
          <w:tblCellMar>
            <w:top w:w="0" w:type="dxa"/>
            <w:left w:w="108" w:type="dxa"/>
            <w:bottom w:w="0" w:type="dxa"/>
            <w:right w:w="108" w:type="dxa"/>
          </w:tblCellMar>
        </w:tblPrEx>
        <w:trPr>
          <w:trHeight w:val="473" w:hRule="atLeast"/>
        </w:trPr>
        <w:tc>
          <w:tcPr>
            <w:tcW w:w="2102"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理赔获赔包括正常理赔、协议理赔等。</w:t>
            </w:r>
          </w:p>
        </w:tc>
      </w:tr>
      <w:tr>
        <w:tblPrEx>
          <w:tblCellMar>
            <w:top w:w="0" w:type="dxa"/>
            <w:left w:w="108" w:type="dxa"/>
            <w:bottom w:w="0" w:type="dxa"/>
            <w:right w:w="108" w:type="dxa"/>
          </w:tblCellMar>
        </w:tblPrEx>
        <w:trPr>
          <w:trHeight w:val="409" w:hRule="atLeast"/>
        </w:trPr>
        <w:tc>
          <w:tcPr>
            <w:tcW w:w="2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2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保险公司报送，系统供数。</w:t>
            </w:r>
          </w:p>
        </w:tc>
      </w:tr>
      <w:tr>
        <w:tblPrEx>
          <w:tblCellMar>
            <w:top w:w="0" w:type="dxa"/>
            <w:left w:w="108" w:type="dxa"/>
            <w:bottom w:w="0" w:type="dxa"/>
            <w:right w:w="108" w:type="dxa"/>
          </w:tblCellMar>
        </w:tblPrEx>
        <w:trPr>
          <w:trHeight w:val="315" w:hRule="atLeast"/>
        </w:trPr>
        <w:tc>
          <w:tcPr>
            <w:tcW w:w="2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22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把握实际理赔占已决赔案数量，进一步了解拒绝给付的案例原因。</w:t>
            </w:r>
          </w:p>
        </w:tc>
      </w:tr>
      <w:tr>
        <w:tblPrEx>
          <w:tblCellMar>
            <w:top w:w="0" w:type="dxa"/>
            <w:left w:w="108" w:type="dxa"/>
            <w:bottom w:w="0" w:type="dxa"/>
            <w:right w:w="108" w:type="dxa"/>
          </w:tblCellMar>
        </w:tblPrEx>
        <w:trPr>
          <w:trHeight w:val="345" w:hRule="atLeast"/>
        </w:trPr>
        <w:tc>
          <w:tcPr>
            <w:tcW w:w="2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特别说明</w:t>
            </w:r>
          </w:p>
        </w:tc>
        <w:tc>
          <w:tcPr>
            <w:tcW w:w="722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78"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6．保全时效（10%）</w:t>
            </w:r>
          </w:p>
        </w:tc>
      </w:tr>
      <w:tr>
        <w:tblPrEx>
          <w:tblCellMar>
            <w:top w:w="0" w:type="dxa"/>
            <w:left w:w="108" w:type="dxa"/>
            <w:bottom w:w="0" w:type="dxa"/>
            <w:right w:w="108" w:type="dxa"/>
          </w:tblCellMar>
        </w:tblPrEx>
        <w:trPr>
          <w:trHeight w:val="285"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评价保险公司：反映保全环节的服务时效。</w:t>
            </w:r>
          </w:p>
        </w:tc>
      </w:tr>
      <w:tr>
        <w:tblPrEx>
          <w:tblCellMar>
            <w:top w:w="0" w:type="dxa"/>
            <w:left w:w="108" w:type="dxa"/>
            <w:bottom w:w="0" w:type="dxa"/>
            <w:right w:w="108" w:type="dxa"/>
          </w:tblCellMar>
        </w:tblPrEx>
        <w:trPr>
          <w:trHeight w:val="419"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rPr>
              <w:t>保全时效=</w:t>
            </w:r>
            <w:r>
              <w:rPr>
                <w:rFonts w:hint="eastAsia" w:ascii="仿宋_GB2312" w:hAnsi="宋体" w:eastAsia="仿宋_GB2312" w:cs="宋体"/>
                <w:color w:val="000000"/>
                <w:kern w:val="0"/>
                <w:sz w:val="28"/>
                <w:szCs w:val="28"/>
              </w:rPr>
              <w:t>评价区间内申请保全件自申请至结案天数总和/评价区间内全部申请且已经结案的保全件</w:t>
            </w:r>
          </w:p>
        </w:tc>
      </w:tr>
      <w:tr>
        <w:tblPrEx>
          <w:tblCellMar>
            <w:top w:w="0" w:type="dxa"/>
            <w:left w:w="108" w:type="dxa"/>
            <w:bottom w:w="0" w:type="dxa"/>
            <w:right w:w="108" w:type="dxa"/>
          </w:tblCellMar>
        </w:tblPrEx>
        <w:trPr>
          <w:trHeight w:val="102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1．包含评价区间内所有保全件，不分保全类别。</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2．统计日期以保全作业的各系统操作时间为准：</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（1）起期：保全件申请日期。</w:t>
            </w:r>
          </w:p>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（2）终期：保全件审核通过日期，不含付款时效，不含收款时效。</w:t>
            </w:r>
          </w:p>
        </w:tc>
      </w:tr>
      <w:tr>
        <w:tblPrEx>
          <w:tblCellMar>
            <w:top w:w="0" w:type="dxa"/>
            <w:left w:w="108" w:type="dxa"/>
            <w:bottom w:w="0" w:type="dxa"/>
            <w:right w:w="108" w:type="dxa"/>
          </w:tblCellMar>
        </w:tblPrEx>
        <w:trPr>
          <w:trHeight w:val="285"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保险公司报送、系统供数。</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3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衡量保全业务处理效率。</w:t>
            </w:r>
          </w:p>
        </w:tc>
      </w:tr>
      <w:tr>
        <w:tblPrEx>
          <w:tblCellMar>
            <w:top w:w="0" w:type="dxa"/>
            <w:left w:w="108" w:type="dxa"/>
            <w:bottom w:w="0" w:type="dxa"/>
            <w:right w:w="108" w:type="dxa"/>
          </w:tblCellMar>
        </w:tblPrEx>
        <w:trPr>
          <w:trHeight w:val="330"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200025</wp:posOffset>
                  </wp:positionV>
                  <wp:extent cx="47625" cy="19050"/>
                  <wp:effectExtent l="0" t="0" r="0"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47625" cy="19050"/>
                          </a:xfrm>
                          <a:prstGeom prst="rect">
                            <a:avLst/>
                          </a:prstGeom>
                          <a:noFill/>
                          <a:ln w="9525">
                            <a:noFill/>
                            <a:miter lim="800000"/>
                            <a:headEnd/>
                            <a:tailEnd/>
                          </a:ln>
                        </pic:spPr>
                      </pic:pic>
                    </a:graphicData>
                  </a:graphic>
                </wp:anchor>
              </w:drawing>
            </w:r>
            <w:r>
              <w:rPr>
                <w:rFonts w:hint="eastAsia" w:ascii="仿宋_GB2312" w:hAnsi="宋体" w:eastAsia="仿宋_GB2312" w:cs="宋体"/>
                <w:bCs/>
                <w:color w:val="000000"/>
                <w:kern w:val="0"/>
                <w:sz w:val="28"/>
                <w:szCs w:val="28"/>
              </w:rPr>
              <w:t>特别说明</w:t>
            </w:r>
          </w:p>
        </w:tc>
        <w:tc>
          <w:tcPr>
            <w:tcW w:w="73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rPr>
                <w:rFonts w:hint="eastAsia"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28"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7．</w:t>
            </w:r>
            <w:r>
              <w:rPr>
                <w:rFonts w:hint="eastAsia" w:ascii="仿宋_GB2312" w:hAnsi="宋体" w:eastAsia="仿宋_GB2312" w:cs="宋体"/>
                <w:b/>
                <w:color w:val="000000"/>
                <w:sz w:val="28"/>
                <w:szCs w:val="28"/>
              </w:rPr>
              <w:t>投诉率</w:t>
            </w:r>
            <w:r>
              <w:rPr>
                <w:rFonts w:hint="eastAsia" w:ascii="仿宋_GB2312" w:hAnsi="宋体" w:eastAsia="仿宋_GB2312" w:cs="宋体"/>
                <w:b/>
                <w:bCs/>
                <w:color w:val="000000"/>
                <w:kern w:val="0"/>
                <w:sz w:val="28"/>
                <w:szCs w:val="28"/>
              </w:rPr>
              <w:t>（15%）</w:t>
            </w:r>
          </w:p>
        </w:tc>
      </w:tr>
      <w:tr>
        <w:tblPrEx>
          <w:tblCellMar>
            <w:top w:w="0" w:type="dxa"/>
            <w:left w:w="108" w:type="dxa"/>
            <w:bottom w:w="0" w:type="dxa"/>
            <w:right w:w="108" w:type="dxa"/>
          </w:tblCellMar>
        </w:tblPrEx>
        <w:trPr>
          <w:trHeight w:val="505"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（1）亿元保费投诉量（7.5%）</w:t>
            </w:r>
          </w:p>
        </w:tc>
      </w:tr>
      <w:tr>
        <w:tblPrEx>
          <w:tblCellMar>
            <w:top w:w="0" w:type="dxa"/>
            <w:left w:w="108" w:type="dxa"/>
            <w:bottom w:w="0" w:type="dxa"/>
            <w:right w:w="108" w:type="dxa"/>
          </w:tblCellMar>
        </w:tblPrEx>
        <w:trPr>
          <w:trHeight w:val="284"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33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评价保险公司：反映消费者投诉发生情况。</w:t>
            </w:r>
          </w:p>
        </w:tc>
      </w:tr>
      <w:tr>
        <w:tblPrEx>
          <w:tblCellMar>
            <w:top w:w="0" w:type="dxa"/>
            <w:left w:w="108" w:type="dxa"/>
            <w:bottom w:w="0" w:type="dxa"/>
            <w:right w:w="108" w:type="dxa"/>
          </w:tblCellMar>
        </w:tblPrEx>
        <w:trPr>
          <w:trHeight w:val="264"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亿元保费投诉量=有效投诉件数总量/统计期内保费收入总量（单位：件/亿元）</w:t>
            </w:r>
          </w:p>
        </w:tc>
      </w:tr>
      <w:tr>
        <w:tblPrEx>
          <w:tblCellMar>
            <w:top w:w="0" w:type="dxa"/>
            <w:left w:w="108" w:type="dxa"/>
            <w:bottom w:w="0" w:type="dxa"/>
            <w:right w:w="108" w:type="dxa"/>
          </w:tblCellMar>
        </w:tblPrEx>
        <w:trPr>
          <w:trHeight w:val="316"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保监消保〔2013〕162号文</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保险监管机构。</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该指标考核保险公司消费者投诉比例。</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特别说明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p>
        </w:tc>
      </w:tr>
      <w:tr>
        <w:tblPrEx>
          <w:tblCellMar>
            <w:top w:w="0" w:type="dxa"/>
            <w:left w:w="108" w:type="dxa"/>
            <w:bottom w:w="0" w:type="dxa"/>
            <w:right w:w="108" w:type="dxa"/>
          </w:tblCellMar>
        </w:tblPrEx>
        <w:trPr>
          <w:trHeight w:val="300"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(2)千张保单投诉量（7.5%）</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评价对象</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评价保险公司：反映消费者投诉发生情况。</w:t>
            </w:r>
          </w:p>
        </w:tc>
      </w:tr>
      <w:tr>
        <w:tblPrEx>
          <w:tblCellMar>
            <w:top w:w="0" w:type="dxa"/>
            <w:left w:w="108" w:type="dxa"/>
            <w:bottom w:w="0" w:type="dxa"/>
            <w:right w:w="108" w:type="dxa"/>
          </w:tblCellMar>
        </w:tblPrEx>
        <w:trPr>
          <w:trHeight w:val="206"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计算公式</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napToGrid w:val="0"/>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千张保单投诉量=有效投诉件数总量/期末有效保单总量*1000（单位：件/千张）</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计算口径</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保监消保〔2013〕162号文</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数据来源</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保险监管机构。</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该指标考核保险公司消费者投诉比例。</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特别说明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bCs/>
                <w:color w:val="000000"/>
                <w:kern w:val="0"/>
                <w:sz w:val="28"/>
                <w:szCs w:val="28"/>
              </w:rPr>
            </w:pPr>
          </w:p>
        </w:tc>
      </w:tr>
      <w:tr>
        <w:tblPrEx>
          <w:tblCellMar>
            <w:top w:w="0" w:type="dxa"/>
            <w:left w:w="108" w:type="dxa"/>
            <w:bottom w:w="0" w:type="dxa"/>
            <w:right w:w="108" w:type="dxa"/>
          </w:tblCellMar>
        </w:tblPrEx>
        <w:trPr>
          <w:trHeight w:val="300"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8.投诉件办理及时率（10%）</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名    称</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定    义</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评价对象</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评价保险公司：反映消费者投诉办理情况。</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计算公式</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bCs/>
                <w:color w:val="000000"/>
                <w:kern w:val="0"/>
                <w:sz w:val="28"/>
                <w:szCs w:val="28"/>
              </w:rPr>
              <w:t>投诉件办理及时率=</w:t>
            </w:r>
            <w:r>
              <w:rPr>
                <w:rFonts w:hint="eastAsia" w:ascii="仿宋_GB2312" w:hAnsi="宋体" w:eastAsia="仿宋_GB2312" w:cs="宋体"/>
                <w:color w:val="000000"/>
                <w:kern w:val="0"/>
                <w:sz w:val="28"/>
                <w:szCs w:val="28"/>
              </w:rPr>
              <w:t>按时处理并反馈的有效投诉件数量/收到的监管机构转办有效投诉件总量×100%</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计算口径</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sz w:val="28"/>
                <w:szCs w:val="28"/>
              </w:rPr>
              <w:t>保监消保</w:t>
            </w:r>
            <w:r>
              <w:rPr>
                <w:rFonts w:hint="eastAsia" w:ascii="仿宋_GB2312" w:hAnsi="宋体" w:eastAsia="仿宋_GB2312" w:cs="宋体"/>
                <w:bCs/>
                <w:color w:val="000000"/>
                <w:kern w:val="0"/>
                <w:sz w:val="28"/>
                <w:szCs w:val="28"/>
              </w:rPr>
              <w:t>〔2013〕</w:t>
            </w:r>
            <w:r>
              <w:rPr>
                <w:rFonts w:hint="eastAsia" w:ascii="仿宋_GB2312" w:hAnsi="宋体" w:eastAsia="仿宋_GB2312" w:cs="宋体"/>
                <w:color w:val="000000"/>
                <w:sz w:val="28"/>
                <w:szCs w:val="28"/>
              </w:rPr>
              <w:t>162号文</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数据来源</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保险监管机构。</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指标说明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该指标考核保险公司消费者投诉处理及时率。</w:t>
            </w:r>
          </w:p>
        </w:tc>
      </w:tr>
      <w:tr>
        <w:tblPrEx>
          <w:tblCellMar>
            <w:top w:w="0" w:type="dxa"/>
            <w:left w:w="108" w:type="dxa"/>
            <w:bottom w:w="0" w:type="dxa"/>
            <w:right w:w="108" w:type="dxa"/>
          </w:tblCellMar>
        </w:tblPrEx>
        <w:trPr>
          <w:trHeight w:val="300"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特别说明</w:t>
            </w:r>
          </w:p>
        </w:tc>
        <w:tc>
          <w:tcPr>
            <w:tcW w:w="731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hint="eastAsia" w:ascii="仿宋_GB2312" w:hAnsi="宋体" w:eastAsia="仿宋_GB2312" w:cs="宋体"/>
                <w:color w:val="000000"/>
                <w:kern w:val="0"/>
                <w:sz w:val="28"/>
                <w:szCs w:val="28"/>
              </w:rPr>
            </w:pPr>
          </w:p>
        </w:tc>
      </w:tr>
    </w:tbl>
    <w:p>
      <w:pPr>
        <w:autoSpaceDE w:val="0"/>
        <w:autoSpaceDN w:val="0"/>
        <w:adjustRightInd w:val="0"/>
        <w:spacing w:line="360" w:lineRule="exact"/>
        <w:jc w:val="left"/>
        <w:rPr>
          <w:rFonts w:ascii="仿宋_GB2312" w:hAnsi="Calibri" w:eastAsia="仿宋_GB2312" w:cs="微软雅黑"/>
          <w:color w:val="070000"/>
          <w:kern w:val="0"/>
          <w:sz w:val="24"/>
        </w:rPr>
      </w:pPr>
      <w:r>
        <w:rPr>
          <w:rFonts w:hint="eastAsia" w:ascii="仿宋_GB2312" w:hAnsi="Calibri" w:eastAsia="仿宋_GB2312" w:cs="微软雅黑"/>
          <w:color w:val="070000"/>
          <w:kern w:val="0"/>
          <w:sz w:val="24"/>
        </w:rPr>
        <w:t>备注：</w:t>
      </w:r>
    </w:p>
    <w:p>
      <w:pPr>
        <w:autoSpaceDE w:val="0"/>
        <w:autoSpaceDN w:val="0"/>
        <w:adjustRightInd w:val="0"/>
        <w:spacing w:line="360" w:lineRule="exact"/>
        <w:jc w:val="left"/>
        <w:rPr>
          <w:rFonts w:ascii="仿宋_GB2312" w:hAnsi="Calibri" w:eastAsia="仿宋_GB2312" w:cs="微软雅黑"/>
          <w:color w:val="070000"/>
          <w:kern w:val="0"/>
          <w:sz w:val="24"/>
        </w:rPr>
      </w:pPr>
      <w:r>
        <w:rPr>
          <w:rFonts w:hint="eastAsia" w:ascii="仿宋_GB2312" w:hAnsi="Calibri" w:eastAsia="仿宋_GB2312" w:cs="微软雅黑"/>
          <w:color w:val="070000"/>
          <w:kern w:val="0"/>
          <w:sz w:val="24"/>
        </w:rPr>
        <w:t>1、指标中涉及天数均以自然日计算（个别指标以特别标明为准），且最小单位时间为“天”。</w:t>
      </w:r>
    </w:p>
    <w:p>
      <w:pPr>
        <w:autoSpaceDE w:val="0"/>
        <w:autoSpaceDN w:val="0"/>
        <w:adjustRightInd w:val="0"/>
        <w:spacing w:line="360" w:lineRule="exact"/>
        <w:jc w:val="left"/>
        <w:rPr>
          <w:rFonts w:hint="eastAsia" w:ascii="仿宋_GB2312" w:hAnsi="Calibri" w:eastAsia="仿宋_GB2312" w:cs="微软雅黑"/>
          <w:color w:val="070000"/>
          <w:kern w:val="0"/>
          <w:sz w:val="24"/>
        </w:rPr>
      </w:pPr>
      <w:r>
        <w:rPr>
          <w:rFonts w:hint="eastAsia" w:ascii="仿宋_GB2312" w:hAnsi="Calibri" w:eastAsia="仿宋_GB2312" w:cs="微软雅黑"/>
          <w:color w:val="070000"/>
          <w:kern w:val="0"/>
          <w:sz w:val="24"/>
        </w:rPr>
        <w:t>2、指标中涉及的日期计算方式均为T+1天，其中T=终期-起期。</w:t>
      </w: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autoSpaceDE w:val="0"/>
        <w:autoSpaceDN w:val="0"/>
        <w:adjustRightInd w:val="0"/>
        <w:spacing w:line="360" w:lineRule="exact"/>
        <w:jc w:val="left"/>
        <w:rPr>
          <w:rFonts w:hint="eastAsia" w:ascii="仿宋_GB2312" w:hAnsi="Calibri" w:eastAsia="仿宋_GB2312" w:cs="微软雅黑"/>
          <w:color w:val="070000"/>
          <w:kern w:val="0"/>
          <w:sz w:val="24"/>
        </w:rPr>
      </w:pPr>
    </w:p>
    <w:p>
      <w:pPr>
        <w:rPr>
          <w:rFonts w:hint="eastAsia"/>
        </w:rPr>
      </w:pPr>
      <w:r>
        <w:rPr>
          <w:rFonts w:hint="eastAsia"/>
        </w:rPr>
        <w:t>指标定义及统计说明</w:t>
      </w:r>
    </w:p>
    <w:p>
      <w:pPr>
        <w:rPr>
          <w:rFonts w:hint="eastAsia"/>
        </w:rPr>
      </w:pPr>
      <w:r>
        <w:rPr>
          <w:rFonts w:hint="eastAsia"/>
        </w:rPr>
        <w:t>1．保单15日送达率（15%）</w:t>
      </w:r>
    </w:p>
    <w:p>
      <w:pPr>
        <w:rPr>
          <w:rFonts w:hint="eastAsia"/>
        </w:rPr>
      </w:pPr>
      <w:r>
        <w:rPr>
          <w:rFonts w:hint="eastAsia"/>
        </w:rPr>
        <w:t>评价对象</w:t>
      </w:r>
      <w:r>
        <w:rPr>
          <w:rFonts w:hint="eastAsia"/>
          <w:lang w:eastAsia="zh-CN"/>
        </w:rPr>
        <w:t>：评价保险公司，</w:t>
      </w:r>
      <w:r>
        <w:rPr>
          <w:rFonts w:hint="eastAsia"/>
        </w:rPr>
        <w:t>反映新契约出单时效。</w:t>
      </w:r>
    </w:p>
    <w:p>
      <w:pPr>
        <w:rPr>
          <w:rFonts w:hint="eastAsia"/>
        </w:rPr>
      </w:pPr>
      <w:r>
        <w:rPr>
          <w:rFonts w:hint="eastAsia"/>
        </w:rPr>
        <w:t>计算公式</w:t>
      </w:r>
      <w:r>
        <w:rPr>
          <w:rFonts w:hint="eastAsia"/>
          <w:lang w:eastAsia="zh-CN"/>
        </w:rPr>
        <w:t>：</w:t>
      </w:r>
      <w:r>
        <w:rPr>
          <w:rFonts w:hint="eastAsia"/>
        </w:rPr>
        <w:t>保单15日送达率=评价区间内从消费者填写投保单信息之日起至消费者签收保单回执之日止的时间小于或等于15天的保单件数/评价区间内所有承保保单件数×100%</w:t>
      </w:r>
    </w:p>
    <w:p>
      <w:pPr>
        <w:rPr>
          <w:rFonts w:hint="eastAsia"/>
        </w:rPr>
      </w:pPr>
      <w:r>
        <w:rPr>
          <w:rFonts w:hint="eastAsia"/>
        </w:rPr>
        <w:t>计算口径</w:t>
      </w:r>
      <w:r>
        <w:rPr>
          <w:rFonts w:hint="eastAsia"/>
          <w:lang w:eastAsia="zh-CN"/>
        </w:rPr>
        <w:t>：</w:t>
      </w:r>
      <w:r>
        <w:rPr>
          <w:rFonts w:hint="eastAsia"/>
        </w:rPr>
        <w:t>1．该指标中的个人业务仅指来源于代理人和保险经纪公司以及保险代理公司渠道的个人业务，不含银保、电销和网销业务。</w:t>
      </w:r>
    </w:p>
    <w:p>
      <w:pPr>
        <w:rPr>
          <w:rFonts w:hint="eastAsia"/>
        </w:rPr>
      </w:pPr>
      <w:r>
        <w:rPr>
          <w:rFonts w:hint="eastAsia"/>
        </w:rPr>
        <w:t>2．该指标中保单的统计范围是指投保人为个人且保险期限在一年及以上的人身保险新保业务，不含契撤件、附加险。</w:t>
      </w:r>
    </w:p>
    <w:p>
      <w:pPr>
        <w:rPr>
          <w:rFonts w:hint="eastAsia" w:eastAsia="微软雅黑"/>
          <w:lang w:eastAsia="zh-CN"/>
        </w:rPr>
      </w:pPr>
      <w:r>
        <w:rPr>
          <w:rFonts w:hint="eastAsia"/>
        </w:rPr>
        <w:t>3．起期和终期</w:t>
      </w:r>
      <w:r>
        <w:rPr>
          <w:rFonts w:hint="eastAsia"/>
          <w:lang w:eastAsia="zh-CN"/>
        </w:rPr>
        <w:t>：</w:t>
      </w:r>
    </w:p>
    <w:p>
      <w:pPr>
        <w:rPr>
          <w:rFonts w:hint="eastAsia"/>
        </w:rPr>
      </w:pPr>
      <w:r>
        <w:rPr>
          <w:rFonts w:hint="eastAsia"/>
        </w:rPr>
        <w:t>（1）起期</w:t>
      </w:r>
      <w:r>
        <w:rPr>
          <w:rFonts w:hint="eastAsia"/>
          <w:lang w:eastAsia="zh-CN"/>
        </w:rPr>
        <w:t>：</w:t>
      </w:r>
      <w:r>
        <w:rPr>
          <w:rFonts w:hint="eastAsia"/>
        </w:rPr>
        <w:t>消费者提交投保单日期（在投保单上签字日期）。</w:t>
      </w:r>
    </w:p>
    <w:p>
      <w:pPr>
        <w:rPr>
          <w:rFonts w:hint="eastAsia"/>
        </w:rPr>
      </w:pPr>
      <w:r>
        <w:rPr>
          <w:rFonts w:hint="eastAsia"/>
        </w:rPr>
        <w:t>（2）终期</w:t>
      </w:r>
      <w:r>
        <w:rPr>
          <w:rFonts w:hint="eastAsia"/>
          <w:lang w:eastAsia="zh-CN"/>
        </w:rPr>
        <w:t>：</w:t>
      </w:r>
      <w:r>
        <w:rPr>
          <w:rFonts w:hint="eastAsia"/>
        </w:rPr>
        <w:t>消费者签收保单回执时的日期。</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1.反映保险公司承保服务质量，从消费者角度衡量，可量化。2.以消费者感知为中心，不区分渠道差异。</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eastAsia="微软雅黑"/>
          <w:lang w:eastAsia="zh-CN"/>
        </w:rPr>
      </w:pPr>
      <w:r>
        <w:rPr>
          <w:rFonts w:hint="eastAsia"/>
        </w:rPr>
        <w:t>2．电话呼入人工接通率（5%）</w:t>
      </w:r>
    </w:p>
    <w:p>
      <w:pPr>
        <w:rPr>
          <w:rFonts w:hint="eastAsia"/>
          <w:lang w:eastAsia="zh-CN"/>
        </w:rPr>
      </w:pPr>
      <w:r>
        <w:rPr>
          <w:rFonts w:hint="eastAsia"/>
        </w:rPr>
        <w:t>评价对象</w:t>
      </w:r>
      <w:r>
        <w:rPr>
          <w:rFonts w:hint="eastAsia"/>
          <w:lang w:eastAsia="zh-CN"/>
        </w:rPr>
        <w:t>：评价保险公司，</w:t>
      </w:r>
      <w:r>
        <w:rPr>
          <w:rFonts w:hint="eastAsia"/>
        </w:rPr>
        <w:t>反映保险公司接通消费者来电的水平</w:t>
      </w:r>
      <w:r>
        <w:rPr>
          <w:rFonts w:hint="eastAsia"/>
          <w:lang w:eastAsia="zh-CN"/>
        </w:rPr>
        <w:t>。</w:t>
      </w:r>
    </w:p>
    <w:p>
      <w:pPr>
        <w:rPr>
          <w:rFonts w:hint="eastAsia"/>
        </w:rPr>
      </w:pPr>
      <w:r>
        <w:rPr>
          <w:rFonts w:hint="eastAsia"/>
        </w:rPr>
        <w:t>计算公式</w:t>
      </w:r>
      <w:r>
        <w:rPr>
          <w:rFonts w:hint="eastAsia"/>
          <w:lang w:eastAsia="zh-CN"/>
        </w:rPr>
        <w:t>：</w:t>
      </w:r>
      <w:r>
        <w:rPr>
          <w:rFonts w:hint="eastAsia"/>
        </w:rPr>
        <w:t>电话呼入人工接通率=消费者来电选择人工服务键后专线人员接通的电话数／所有请求人工服务电话数×100%</w:t>
      </w:r>
    </w:p>
    <w:p>
      <w:pPr>
        <w:rPr>
          <w:rFonts w:hint="eastAsia"/>
        </w:rPr>
      </w:pPr>
      <w:r>
        <w:rPr>
          <w:rFonts w:hint="eastAsia"/>
        </w:rPr>
        <w:t>计算口径</w:t>
      </w:r>
      <w:r>
        <w:rPr>
          <w:rFonts w:hint="eastAsia"/>
          <w:lang w:eastAsia="zh-CN"/>
        </w:rPr>
        <w:t>：</w:t>
      </w:r>
      <w:r>
        <w:rPr>
          <w:rFonts w:hint="eastAsia"/>
        </w:rPr>
        <w:t>1．呼入件数为电话呼入转人工服务的申请件数(请求人工服务量)。2．呼入接通件数为电话呼入转人工服务并被人工应答的件数。</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该指标考察保险公司电话服务中心专线人员处理消费者人工服务请求的效率。</w:t>
      </w:r>
    </w:p>
    <w:p>
      <w:pPr>
        <w:rPr>
          <w:rFonts w:hint="eastAsia"/>
        </w:rPr>
      </w:pPr>
      <w:r>
        <w:rPr>
          <w:rFonts w:hint="eastAsia"/>
        </w:rPr>
        <w:t>特别说明</w:t>
      </w:r>
      <w:r>
        <w:rPr>
          <w:rFonts w:hint="eastAsia"/>
          <w:lang w:eastAsia="zh-CN"/>
        </w:rPr>
        <w:t>：</w:t>
      </w:r>
      <w:r>
        <w:rPr>
          <w:rFonts w:hint="eastAsia"/>
        </w:rPr>
        <w:t>如公司电话服务系统由总公司集中统一管理，各省分公司数据可用总公司数据代替。</w:t>
      </w:r>
    </w:p>
    <w:p>
      <w:pPr>
        <w:rPr>
          <w:rFonts w:hint="eastAsia" w:eastAsia="微软雅黑"/>
          <w:lang w:eastAsia="zh-CN"/>
        </w:rPr>
      </w:pPr>
      <w:r>
        <w:rPr>
          <w:rFonts w:hint="eastAsia"/>
        </w:rPr>
        <w:t>3．犹豫期内电话回访成功率（10%）</w:t>
      </w:r>
    </w:p>
    <w:p>
      <w:pPr>
        <w:rPr>
          <w:rFonts w:hint="eastAsia"/>
        </w:rPr>
      </w:pPr>
      <w:r>
        <w:rPr>
          <w:rFonts w:hint="eastAsia"/>
        </w:rPr>
        <w:t>评价对象</w:t>
      </w:r>
      <w:r>
        <w:rPr>
          <w:rFonts w:hint="eastAsia"/>
          <w:lang w:eastAsia="zh-CN"/>
        </w:rPr>
        <w:t>：评价保险公司，</w:t>
      </w:r>
      <w:r>
        <w:rPr>
          <w:rFonts w:hint="eastAsia"/>
        </w:rPr>
        <w:t>反映犹豫期回访效率。</w:t>
      </w:r>
    </w:p>
    <w:p>
      <w:pPr>
        <w:rPr>
          <w:rFonts w:hint="eastAsia"/>
        </w:rPr>
      </w:pPr>
      <w:r>
        <w:rPr>
          <w:rFonts w:hint="eastAsia"/>
        </w:rPr>
        <w:t>计算公式</w:t>
      </w:r>
      <w:r>
        <w:rPr>
          <w:rFonts w:hint="eastAsia"/>
          <w:lang w:eastAsia="zh-CN"/>
        </w:rPr>
        <w:t>：</w:t>
      </w:r>
      <w:r>
        <w:rPr>
          <w:rFonts w:hint="eastAsia"/>
        </w:rPr>
        <w:t>犹豫期内电话回访成功率=评价区间内新单犹豫期电话回访成功件数/评价区间内新单犹豫期应电话回访总件数×100%</w:t>
      </w:r>
    </w:p>
    <w:p>
      <w:pPr>
        <w:rPr>
          <w:rFonts w:hint="eastAsia"/>
        </w:rPr>
      </w:pPr>
      <w:r>
        <w:rPr>
          <w:rFonts w:hint="eastAsia"/>
        </w:rPr>
        <w:t>计算口径</w:t>
      </w:r>
      <w:r>
        <w:rPr>
          <w:rFonts w:hint="eastAsia"/>
          <w:lang w:eastAsia="zh-CN"/>
        </w:rPr>
        <w:t>：</w:t>
      </w:r>
      <w:r>
        <w:rPr>
          <w:rFonts w:hint="eastAsia"/>
        </w:rPr>
        <w:t>1．应电话回访的新单指保险期限在一年以上（不含一年）、承保日期在评价区间内的个人业务，不包括犹豫期解除合同和犹豫期理赔终止的新单，以及附加险和消费者拒绝回访的新单。上述业务中虽然犹豫期在统计日期外、但回访成功的保单件数应计入分子。</w:t>
      </w:r>
    </w:p>
    <w:p>
      <w:pPr>
        <w:rPr>
          <w:rFonts w:hint="eastAsia"/>
        </w:rPr>
      </w:pPr>
      <w:r>
        <w:rPr>
          <w:rFonts w:hint="eastAsia"/>
        </w:rPr>
        <w:t>2．“犹豫期”是指从投保人收到保单（包括纸质保单、电子保单等多种形式）并签收之日起（个险、网销及电销渠道业务为10日，银保渠道为15日）的这段时期。保险公司给予消费者超过10/15日时间犹豫期的，可按规定的犹豫期处理。</w:t>
      </w:r>
    </w:p>
    <w:p>
      <w:pPr>
        <w:rPr>
          <w:rFonts w:hint="eastAsia"/>
        </w:rPr>
      </w:pPr>
      <w:r>
        <w:rPr>
          <w:rFonts w:hint="eastAsia"/>
        </w:rPr>
        <w:t>3．电话回访成功的认定标准是指回访人员将回访需要告知和询问的内容在上述“犹豫期”时段内用电话方式全部完成。如果下发工单核实联系电话并在犹豫期内按照前述认定标准完成电话回访的，视为犹豫期回访成功。</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1.保证保险消费者在犹豫期的合法权益，通过电话回访可以更有效的发现销售环节的问题。</w:t>
      </w:r>
    </w:p>
    <w:p>
      <w:pPr>
        <w:rPr>
          <w:rFonts w:hint="eastAsia"/>
        </w:rPr>
      </w:pPr>
      <w:r>
        <w:rPr>
          <w:rFonts w:hint="eastAsia"/>
        </w:rPr>
        <w:t>2.完成犹豫期回访规定告知和确认事项即为成功，如回访发现问题则按相关规定跟进处理和解决，不影响回访成功率的计算。</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eastAsia="微软雅黑"/>
          <w:lang w:eastAsia="zh-CN"/>
        </w:rPr>
      </w:pPr>
      <w:r>
        <w:rPr>
          <w:rFonts w:hint="eastAsia"/>
        </w:rPr>
        <w:t>4．理赔服务时效（20%）</w:t>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反映理赔服务效率。</w:t>
      </w:r>
    </w:p>
    <w:p>
      <w:pPr>
        <w:rPr>
          <w:rFonts w:hint="eastAsia"/>
        </w:rPr>
      </w:pPr>
      <w:r>
        <w:rPr>
          <w:rFonts w:hint="eastAsia"/>
        </w:rPr>
        <w:t>计算公式</w:t>
      </w:r>
      <w:r>
        <w:rPr>
          <w:rFonts w:hint="eastAsia"/>
          <w:lang w:eastAsia="zh-CN"/>
        </w:rPr>
        <w:t>：</w:t>
      </w:r>
      <w:r>
        <w:rPr>
          <w:rFonts w:hint="eastAsia"/>
        </w:rPr>
        <w:t>理赔服务时效=评价区间内所有已决赔案出险日至结案的天数总和/评价区间内所有已决赔案件数</w:t>
      </w:r>
    </w:p>
    <w:p>
      <w:pPr>
        <w:rPr>
          <w:rFonts w:hint="eastAsia"/>
        </w:rPr>
      </w:pPr>
      <w:r>
        <w:rPr>
          <w:rFonts w:hint="eastAsia"/>
        </w:rPr>
        <w:t>计算口径</w:t>
      </w:r>
      <w:r>
        <w:rPr>
          <w:rFonts w:hint="eastAsia"/>
          <w:lang w:eastAsia="zh-CN"/>
        </w:rPr>
        <w:t>：</w:t>
      </w:r>
      <w:r>
        <w:rPr>
          <w:rFonts w:hint="eastAsia"/>
        </w:rPr>
        <w:t>1．起期</w:t>
      </w:r>
      <w:r>
        <w:rPr>
          <w:rFonts w:hint="eastAsia"/>
          <w:lang w:eastAsia="zh-CN"/>
        </w:rPr>
        <w:t>：</w:t>
      </w:r>
      <w:r>
        <w:rPr>
          <w:rFonts w:hint="eastAsia"/>
        </w:rPr>
        <w:t>消费者提交理赔申请日期。</w:t>
      </w:r>
    </w:p>
    <w:p>
      <w:pPr>
        <w:rPr>
          <w:rFonts w:hint="eastAsia"/>
        </w:rPr>
      </w:pPr>
      <w:r>
        <w:rPr>
          <w:rFonts w:hint="eastAsia"/>
        </w:rPr>
        <w:t>2．终期</w:t>
      </w:r>
      <w:r>
        <w:rPr>
          <w:rFonts w:hint="eastAsia"/>
          <w:lang w:eastAsia="zh-CN"/>
        </w:rPr>
        <w:t>：</w:t>
      </w:r>
      <w:r>
        <w:rPr>
          <w:rFonts w:hint="eastAsia"/>
        </w:rPr>
        <w:t>公司做出理赔决定且需赔付的案件提交付款动作的时间。</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主要考核保险公司理赔结案情况，以客观评估保险公司整体案件处理效率。</w:t>
      </w:r>
    </w:p>
    <w:p>
      <w:pPr>
        <w:rPr>
          <w:rFonts w:hint="eastAsia"/>
        </w:rPr>
      </w:pPr>
      <w:r>
        <w:rPr>
          <w:rFonts w:hint="eastAsia"/>
        </w:rPr>
        <w:t>特别说明</w:t>
      </w:r>
      <w:r>
        <w:rPr>
          <w:rFonts w:hint="eastAsia"/>
          <w:lang w:eastAsia="zh-CN"/>
        </w:rPr>
        <w:t>：</w:t>
      </w:r>
      <w:r>
        <w:rPr>
          <w:rFonts w:hint="eastAsia"/>
          <w:lang w:val="en-US" w:eastAsia="zh-CN"/>
        </w:rPr>
        <w:t>无</w:t>
      </w:r>
      <w:r>
        <w:rPr>
          <w:rFonts w:hint="eastAsia"/>
        </w:rPr>
        <w:tab/>
      </w:r>
    </w:p>
    <w:p>
      <w:pPr>
        <w:rPr>
          <w:rFonts w:hint="eastAsia" w:eastAsia="微软雅黑"/>
          <w:lang w:eastAsia="zh-CN"/>
        </w:rPr>
      </w:pPr>
      <w:r>
        <w:rPr>
          <w:rFonts w:hint="eastAsia"/>
        </w:rPr>
        <w:t>5．理赔获赔率（15%）</w:t>
      </w:r>
    </w:p>
    <w:p>
      <w:pPr>
        <w:rPr>
          <w:rFonts w:hint="eastAsia"/>
        </w:rPr>
      </w:pPr>
      <w:r>
        <w:rPr>
          <w:rFonts w:hint="eastAsia"/>
        </w:rPr>
        <w:t>评价对象</w:t>
      </w:r>
      <w:r>
        <w:rPr>
          <w:rFonts w:hint="eastAsia"/>
          <w:lang w:eastAsia="zh-CN"/>
        </w:rPr>
        <w:t>：评价保险公司，</w:t>
      </w:r>
      <w:r>
        <w:rPr>
          <w:rFonts w:hint="eastAsia"/>
        </w:rPr>
        <w:t>反映已决赔案中实际获赔的比率。</w:t>
      </w:r>
    </w:p>
    <w:p>
      <w:pPr>
        <w:rPr>
          <w:rFonts w:hint="eastAsia"/>
        </w:rPr>
      </w:pPr>
      <w:r>
        <w:rPr>
          <w:rFonts w:hint="eastAsia"/>
        </w:rPr>
        <w:t>计算公式</w:t>
      </w:r>
      <w:r>
        <w:rPr>
          <w:rFonts w:hint="eastAsia"/>
          <w:lang w:eastAsia="zh-CN"/>
        </w:rPr>
        <w:t>：</w:t>
      </w:r>
      <w:r>
        <w:rPr>
          <w:rFonts w:hint="eastAsia"/>
        </w:rPr>
        <w:t>理赔获赔率=评价区间内实际获赔的案件数/评价区间内已决赔案件数*100%</w:t>
      </w:r>
    </w:p>
    <w:p>
      <w:pPr>
        <w:rPr>
          <w:rFonts w:hint="eastAsia"/>
        </w:rPr>
      </w:pPr>
      <w:r>
        <w:rPr>
          <w:rFonts w:hint="eastAsia"/>
        </w:rPr>
        <w:t>计算口径</w:t>
      </w:r>
      <w:r>
        <w:rPr>
          <w:rFonts w:hint="eastAsia"/>
          <w:lang w:eastAsia="zh-CN"/>
        </w:rPr>
        <w:t>：</w:t>
      </w:r>
      <w:r>
        <w:rPr>
          <w:rFonts w:hint="eastAsia"/>
        </w:rPr>
        <w:t>理赔获赔包括正常理赔、协议理赔等。</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把握实际理赔占已决赔案数量，进一步了解拒绝给付的案例原因。</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rPr>
      </w:pPr>
      <w:r>
        <w:rPr>
          <w:rFonts w:hint="eastAsia"/>
        </w:rPr>
        <w:t>6．保全时效（10%）</w:t>
      </w:r>
    </w:p>
    <w:p>
      <w:pPr>
        <w:rPr>
          <w:rFonts w:hint="eastAsia"/>
        </w:rPr>
      </w:pPr>
      <w:r>
        <w:rPr>
          <w:rFonts w:hint="eastAsia"/>
        </w:rPr>
        <w:t>评价对象</w:t>
      </w:r>
      <w:r>
        <w:rPr>
          <w:rFonts w:hint="eastAsia"/>
          <w:lang w:eastAsia="zh-CN"/>
        </w:rPr>
        <w:t>：评价保险公司，</w:t>
      </w:r>
      <w:r>
        <w:rPr>
          <w:rFonts w:hint="eastAsia"/>
        </w:rPr>
        <w:t>反映保全环节的服务时效。</w:t>
      </w:r>
    </w:p>
    <w:p>
      <w:pPr>
        <w:rPr>
          <w:rFonts w:hint="eastAsia"/>
        </w:rPr>
      </w:pPr>
      <w:r>
        <w:rPr>
          <w:rFonts w:hint="eastAsia"/>
        </w:rPr>
        <w:t>计算公式</w:t>
      </w:r>
      <w:r>
        <w:rPr>
          <w:rFonts w:hint="eastAsia"/>
          <w:lang w:eastAsia="zh-CN"/>
        </w:rPr>
        <w:t>：</w:t>
      </w:r>
      <w:r>
        <w:rPr>
          <w:rFonts w:hint="eastAsia"/>
        </w:rPr>
        <w:t>保全时效=评价区间内申请保全件自申请至结案天数总和/评价区间内全部申请且已经结案的保全件</w:t>
      </w:r>
    </w:p>
    <w:p>
      <w:pPr>
        <w:rPr>
          <w:rFonts w:hint="eastAsia"/>
        </w:rPr>
      </w:pPr>
      <w:r>
        <w:rPr>
          <w:rFonts w:hint="eastAsia"/>
        </w:rPr>
        <w:t>计算口径</w:t>
      </w:r>
      <w:r>
        <w:rPr>
          <w:rFonts w:hint="eastAsia"/>
          <w:lang w:eastAsia="zh-CN"/>
        </w:rPr>
        <w:t>：</w:t>
      </w:r>
      <w:r>
        <w:rPr>
          <w:rFonts w:hint="eastAsia"/>
        </w:rPr>
        <w:t>1．包含评价区间内所有保全件，不分保全类别。</w:t>
      </w:r>
    </w:p>
    <w:p>
      <w:pPr>
        <w:rPr>
          <w:rFonts w:hint="eastAsia" w:eastAsia="微软雅黑"/>
          <w:lang w:eastAsia="zh-CN"/>
        </w:rPr>
      </w:pPr>
      <w:r>
        <w:rPr>
          <w:rFonts w:hint="eastAsia"/>
        </w:rPr>
        <w:t>2．统计日期以保全作业的各系统操作时间为准</w:t>
      </w:r>
      <w:r>
        <w:rPr>
          <w:rFonts w:hint="eastAsia"/>
          <w:lang w:eastAsia="zh-CN"/>
        </w:rPr>
        <w:t>：</w:t>
      </w:r>
    </w:p>
    <w:p>
      <w:pPr>
        <w:rPr>
          <w:rFonts w:hint="eastAsia"/>
        </w:rPr>
      </w:pPr>
      <w:r>
        <w:rPr>
          <w:rFonts w:hint="eastAsia"/>
        </w:rPr>
        <w:t>（1）起期</w:t>
      </w:r>
      <w:r>
        <w:rPr>
          <w:rFonts w:hint="eastAsia"/>
          <w:lang w:eastAsia="zh-CN"/>
        </w:rPr>
        <w:t>：</w:t>
      </w:r>
      <w:r>
        <w:rPr>
          <w:rFonts w:hint="eastAsia"/>
        </w:rPr>
        <w:t>保全件申请日期。</w:t>
      </w:r>
    </w:p>
    <w:p>
      <w:pPr>
        <w:rPr>
          <w:rFonts w:hint="eastAsia"/>
        </w:rPr>
      </w:pPr>
      <w:r>
        <w:rPr>
          <w:rFonts w:hint="eastAsia"/>
        </w:rPr>
        <w:t>（2）终期</w:t>
      </w:r>
      <w:r>
        <w:rPr>
          <w:rFonts w:hint="eastAsia"/>
          <w:lang w:eastAsia="zh-CN"/>
        </w:rPr>
        <w:t>：</w:t>
      </w:r>
      <w:r>
        <w:rPr>
          <w:rFonts w:hint="eastAsia"/>
        </w:rPr>
        <w:t>保全件审核通过日期，不含付款时效，不含收款时效。</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衡量保全业务处理效率。</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rPr>
      </w:pPr>
      <w:r>
        <w:rPr>
          <w:rFonts w:hint="eastAsia"/>
        </w:rPr>
        <w:t>7．投诉率（15%）</w:t>
      </w:r>
    </w:p>
    <w:p>
      <w:pPr>
        <w:rPr>
          <w:rFonts w:hint="eastAsia"/>
        </w:rPr>
      </w:pPr>
      <w:r>
        <w:rPr>
          <w:rFonts w:hint="eastAsia"/>
        </w:rPr>
        <w:t>（1）亿元保费投诉量（7.5%）</w:t>
      </w:r>
    </w:p>
    <w:p>
      <w:pPr>
        <w:rPr>
          <w:rFonts w:hint="eastAsia"/>
        </w:rPr>
      </w:pPr>
      <w:r>
        <w:rPr>
          <w:rFonts w:hint="eastAsia"/>
        </w:rPr>
        <w:t>评价对象</w:t>
      </w:r>
      <w:r>
        <w:rPr>
          <w:rFonts w:hint="eastAsia"/>
          <w:lang w:eastAsia="zh-CN"/>
        </w:rPr>
        <w:t>：评价保险公司，</w:t>
      </w:r>
      <w:r>
        <w:rPr>
          <w:rFonts w:hint="eastAsia"/>
        </w:rPr>
        <w:t>反映消费者投诉发生情况。</w:t>
      </w:r>
    </w:p>
    <w:p>
      <w:pPr>
        <w:rPr>
          <w:rFonts w:hint="eastAsia"/>
        </w:rPr>
      </w:pPr>
      <w:r>
        <w:rPr>
          <w:rFonts w:hint="eastAsia"/>
        </w:rPr>
        <w:t>计算公式</w:t>
      </w:r>
      <w:r>
        <w:rPr>
          <w:rFonts w:hint="eastAsia"/>
          <w:lang w:eastAsia="zh-CN"/>
        </w:rPr>
        <w:t>：</w:t>
      </w:r>
      <w:r>
        <w:rPr>
          <w:rFonts w:hint="eastAsia"/>
        </w:rPr>
        <w:t>亿元保费投诉量=有效投诉件数总量/统计期内保费收入总量（单位</w:t>
      </w:r>
      <w:r>
        <w:rPr>
          <w:rFonts w:hint="eastAsia"/>
          <w:lang w:eastAsia="zh-CN"/>
        </w:rPr>
        <w:t>：</w:t>
      </w:r>
      <w:r>
        <w:rPr>
          <w:rFonts w:hint="eastAsia"/>
        </w:rPr>
        <w:t>件/亿元）</w:t>
      </w:r>
    </w:p>
    <w:p>
      <w:pPr>
        <w:rPr>
          <w:rFonts w:hint="eastAsia"/>
        </w:rPr>
      </w:pPr>
      <w:r>
        <w:rPr>
          <w:rFonts w:hint="eastAsia"/>
        </w:rPr>
        <w:t>计算口径</w:t>
      </w:r>
      <w:r>
        <w:rPr>
          <w:rFonts w:hint="eastAsia"/>
          <w:lang w:eastAsia="zh-CN"/>
        </w:rPr>
        <w:t>：</w:t>
      </w:r>
      <w:r>
        <w:rPr>
          <w:rFonts w:hint="eastAsia"/>
        </w:rPr>
        <w:t>保监消保〔2013〕162号文</w:t>
      </w:r>
    </w:p>
    <w:p>
      <w:pPr>
        <w:rPr>
          <w:rFonts w:hint="eastAsia"/>
        </w:rPr>
      </w:pPr>
      <w:r>
        <w:rPr>
          <w:rFonts w:hint="eastAsia"/>
        </w:rPr>
        <w:t>数据来源</w:t>
      </w:r>
      <w:r>
        <w:rPr>
          <w:rFonts w:hint="eastAsia"/>
          <w:lang w:eastAsia="zh-CN"/>
        </w:rPr>
        <w:t>：</w:t>
      </w:r>
      <w:r>
        <w:rPr>
          <w:rFonts w:hint="eastAsia"/>
        </w:rPr>
        <w:t>保险监管机构。</w:t>
      </w:r>
    </w:p>
    <w:p>
      <w:pPr>
        <w:rPr>
          <w:rFonts w:hint="eastAsia"/>
        </w:rPr>
      </w:pPr>
      <w:r>
        <w:rPr>
          <w:rFonts w:hint="eastAsia"/>
        </w:rPr>
        <w:t>指标说明</w:t>
      </w:r>
      <w:r>
        <w:rPr>
          <w:rFonts w:hint="eastAsia"/>
          <w:lang w:eastAsia="zh-CN"/>
        </w:rPr>
        <w:t>：</w:t>
      </w:r>
      <w:r>
        <w:rPr>
          <w:rFonts w:hint="eastAsia"/>
        </w:rPr>
        <w:t>该指标考核保险公司消费者投诉比例。</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rPr>
      </w:pPr>
      <w:r>
        <w:rPr>
          <w:rFonts w:hint="eastAsia"/>
        </w:rPr>
        <w:t>(2)千张保单投诉量（7.5%）</w:t>
      </w:r>
    </w:p>
    <w:p>
      <w:pPr>
        <w:rPr>
          <w:rFonts w:hint="eastAsia"/>
        </w:rPr>
      </w:pPr>
      <w:r>
        <w:rPr>
          <w:rFonts w:hint="eastAsia"/>
        </w:rPr>
        <w:t>评价对象</w:t>
      </w:r>
      <w:r>
        <w:rPr>
          <w:rFonts w:hint="eastAsia"/>
          <w:lang w:eastAsia="zh-CN"/>
        </w:rPr>
        <w:t>：评价保险公司，</w:t>
      </w:r>
      <w:r>
        <w:rPr>
          <w:rFonts w:hint="eastAsia"/>
        </w:rPr>
        <w:t>反映消费者投诉发生情况。</w:t>
      </w:r>
    </w:p>
    <w:p>
      <w:pPr>
        <w:rPr>
          <w:rFonts w:hint="eastAsia"/>
        </w:rPr>
      </w:pPr>
      <w:r>
        <w:rPr>
          <w:rFonts w:hint="eastAsia"/>
        </w:rPr>
        <w:t>计算公式</w:t>
      </w:r>
      <w:r>
        <w:rPr>
          <w:rFonts w:hint="eastAsia"/>
          <w:lang w:eastAsia="zh-CN"/>
        </w:rPr>
        <w:t>：</w:t>
      </w:r>
      <w:r>
        <w:rPr>
          <w:rFonts w:hint="eastAsia"/>
        </w:rPr>
        <w:t>千张保单投诉量=有效投诉件数总量/期末有效保单总量*1000（单位</w:t>
      </w:r>
      <w:r>
        <w:rPr>
          <w:rFonts w:hint="eastAsia"/>
          <w:lang w:eastAsia="zh-CN"/>
        </w:rPr>
        <w:t>：</w:t>
      </w:r>
      <w:r>
        <w:rPr>
          <w:rFonts w:hint="eastAsia"/>
        </w:rPr>
        <w:t>件/千张）</w:t>
      </w:r>
    </w:p>
    <w:p>
      <w:pPr>
        <w:rPr>
          <w:rFonts w:hint="eastAsia"/>
        </w:rPr>
      </w:pPr>
      <w:r>
        <w:rPr>
          <w:rFonts w:hint="eastAsia"/>
        </w:rPr>
        <w:t>计算口径</w:t>
      </w:r>
      <w:r>
        <w:rPr>
          <w:rFonts w:hint="eastAsia"/>
          <w:lang w:eastAsia="zh-CN"/>
        </w:rPr>
        <w:t>：</w:t>
      </w:r>
      <w:r>
        <w:rPr>
          <w:rFonts w:hint="eastAsia"/>
        </w:rPr>
        <w:t>保监消保〔2013〕162号文</w:t>
      </w:r>
    </w:p>
    <w:p>
      <w:pPr>
        <w:rPr>
          <w:rFonts w:hint="eastAsia"/>
        </w:rPr>
      </w:pPr>
      <w:r>
        <w:rPr>
          <w:rFonts w:hint="eastAsia"/>
        </w:rPr>
        <w:t>数据来源</w:t>
      </w:r>
      <w:r>
        <w:rPr>
          <w:rFonts w:hint="eastAsia"/>
          <w:lang w:eastAsia="zh-CN"/>
        </w:rPr>
        <w:t>：</w:t>
      </w:r>
      <w:r>
        <w:rPr>
          <w:rFonts w:hint="eastAsia"/>
        </w:rPr>
        <w:t>保险监管机构。</w:t>
      </w:r>
    </w:p>
    <w:p>
      <w:pPr>
        <w:rPr>
          <w:rFonts w:hint="eastAsia"/>
        </w:rPr>
      </w:pPr>
      <w:r>
        <w:rPr>
          <w:rFonts w:hint="eastAsia"/>
        </w:rPr>
        <w:t>指标说明</w:t>
      </w:r>
      <w:r>
        <w:rPr>
          <w:rFonts w:hint="eastAsia"/>
          <w:lang w:eastAsia="zh-CN"/>
        </w:rPr>
        <w:t>：</w:t>
      </w:r>
      <w:r>
        <w:rPr>
          <w:rFonts w:hint="eastAsia"/>
        </w:rPr>
        <w:t>该指标考核保险公司消费者投诉比例。</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rPr>
      </w:pPr>
      <w:r>
        <w:rPr>
          <w:rFonts w:hint="eastAsia"/>
        </w:rPr>
        <w:t>8.投诉件办理及时率（10%）</w:t>
      </w:r>
    </w:p>
    <w:p>
      <w:pPr>
        <w:rPr>
          <w:rFonts w:hint="eastAsia"/>
        </w:rPr>
      </w:pPr>
      <w:r>
        <w:rPr>
          <w:rFonts w:hint="eastAsia"/>
        </w:rPr>
        <w:t>评价对象</w:t>
      </w:r>
      <w:r>
        <w:rPr>
          <w:rFonts w:hint="eastAsia"/>
          <w:lang w:eastAsia="zh-CN"/>
        </w:rPr>
        <w:t>：评价保险公司，</w:t>
      </w:r>
      <w:r>
        <w:rPr>
          <w:rFonts w:hint="eastAsia"/>
        </w:rPr>
        <w:t>反映消费者投诉办理情况。</w:t>
      </w:r>
    </w:p>
    <w:p>
      <w:pPr>
        <w:rPr>
          <w:rFonts w:hint="eastAsia"/>
        </w:rPr>
      </w:pPr>
      <w:r>
        <w:rPr>
          <w:rFonts w:hint="eastAsia"/>
        </w:rPr>
        <w:t>计算公式</w:t>
      </w:r>
      <w:r>
        <w:rPr>
          <w:rFonts w:hint="eastAsia"/>
          <w:lang w:eastAsia="zh-CN"/>
        </w:rPr>
        <w:t>：</w:t>
      </w:r>
      <w:r>
        <w:rPr>
          <w:rFonts w:hint="eastAsia"/>
        </w:rPr>
        <w:t>投诉件办理及时率=按时处理并反馈的有效投诉件数量/收到的监管机构转办有效投诉件总量×100%</w:t>
      </w:r>
    </w:p>
    <w:p>
      <w:pPr>
        <w:rPr>
          <w:rFonts w:hint="eastAsia"/>
        </w:rPr>
      </w:pPr>
      <w:r>
        <w:rPr>
          <w:rFonts w:hint="eastAsia"/>
        </w:rPr>
        <w:t>计算口径</w:t>
      </w:r>
      <w:r>
        <w:rPr>
          <w:rFonts w:hint="eastAsia"/>
          <w:lang w:eastAsia="zh-CN"/>
        </w:rPr>
        <w:t>：</w:t>
      </w:r>
      <w:r>
        <w:rPr>
          <w:rFonts w:hint="eastAsia"/>
        </w:rPr>
        <w:t>保监消保〔2013〕162号文</w:t>
      </w:r>
    </w:p>
    <w:p>
      <w:pPr>
        <w:rPr>
          <w:rFonts w:hint="eastAsia"/>
        </w:rPr>
      </w:pPr>
      <w:r>
        <w:rPr>
          <w:rFonts w:hint="eastAsia"/>
        </w:rPr>
        <w:t>数据来源</w:t>
      </w:r>
      <w:r>
        <w:rPr>
          <w:rFonts w:hint="eastAsia"/>
          <w:lang w:eastAsia="zh-CN"/>
        </w:rPr>
        <w:t>：</w:t>
      </w:r>
      <w:r>
        <w:rPr>
          <w:rFonts w:hint="eastAsia"/>
        </w:rPr>
        <w:t>保险监管机构。</w:t>
      </w:r>
    </w:p>
    <w:p>
      <w:pPr>
        <w:rPr>
          <w:rFonts w:hint="eastAsia"/>
        </w:rPr>
      </w:pPr>
      <w:r>
        <w:rPr>
          <w:rFonts w:hint="eastAsia"/>
        </w:rPr>
        <w:t>指标说明</w:t>
      </w:r>
      <w:r>
        <w:rPr>
          <w:rFonts w:hint="eastAsia"/>
          <w:lang w:eastAsia="zh-CN"/>
        </w:rPr>
        <w:t>：</w:t>
      </w:r>
      <w:r>
        <w:rPr>
          <w:rFonts w:hint="eastAsia"/>
        </w:rPr>
        <w:t>该指标考核保险公司消费者投诉处理及时率。</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autoSpaceDE w:val="0"/>
        <w:autoSpaceDN w:val="0"/>
        <w:adjustRightInd w:val="0"/>
        <w:spacing w:line="360" w:lineRule="exact"/>
        <w:jc w:val="left"/>
        <w:rPr>
          <w:rFonts w:hint="eastAsia" w:ascii="仿宋_GB2312" w:hAnsi="Calibri" w:eastAsia="仿宋_GB2312" w:cs="微软雅黑"/>
          <w:color w:val="070000"/>
          <w:kern w:val="0"/>
          <w:sz w:val="24"/>
        </w:rPr>
      </w:pPr>
      <w:bookmarkStart w:id="0" w:name="_GoBack"/>
      <w:bookmarkEnd w:id="0"/>
    </w:p>
    <w:sectPr>
      <w:footerReference r:id="rId3" w:type="default"/>
      <w:footerReference r:id="rId4" w:type="even"/>
      <w:pgSz w:w="11906" w:h="16838"/>
      <w:pgMar w:top="1985" w:right="1701" w:bottom="1418"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33344"/>
      <w:docPartObj>
        <w:docPartGallery w:val="AutoText"/>
      </w:docPartObj>
    </w:sdtPr>
    <w:sdtEndPr>
      <w:rPr>
        <w:rFonts w:asciiTheme="minorEastAsia" w:hAnsiTheme="minorEastAsia" w:eastAsiaTheme="minorEastAsia"/>
        <w:sz w:val="28"/>
      </w:rPr>
    </w:sdtEndPr>
    <w:sdtContent>
      <w:p>
        <w:pPr>
          <w:pStyle w:val="8"/>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3 -</w:t>
        </w:r>
        <w:r>
          <w:rPr>
            <w:rFonts w:asciiTheme="minorEastAsia" w:hAnsiTheme="minorEastAsia" w:eastAsiaTheme="minorEastAsia"/>
            <w:sz w:val="28"/>
          </w:rPr>
          <w:fldChar w:fldCharType="end"/>
        </w:r>
      </w:p>
    </w:sdtContent>
  </w:sdt>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rPr>
      <w:id w:val="28133345"/>
      <w:docPartObj>
        <w:docPartGallery w:val="AutoText"/>
      </w:docPartObj>
    </w:sdtPr>
    <w:sdtEndPr>
      <w:rPr>
        <w:rFonts w:asciiTheme="minorEastAsia" w:hAnsiTheme="minorEastAsia" w:eastAsiaTheme="minorEastAsia"/>
        <w:sz w:val="28"/>
      </w:rPr>
    </w:sdtEndPr>
    <w:sdtContent>
      <w:p>
        <w:pPr>
          <w:pStyle w:val="8"/>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4 -</w:t>
        </w:r>
        <w:r>
          <w:rPr>
            <w:rFonts w:asciiTheme="minorEastAsia" w:hAnsiTheme="minorEastAsia" w:eastAsiaTheme="minorEastAsia"/>
            <w:sz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D74E5A"/>
    <w:rsid w:val="00000DCB"/>
    <w:rsid w:val="00001365"/>
    <w:rsid w:val="00001C4B"/>
    <w:rsid w:val="000031E3"/>
    <w:rsid w:val="00006D53"/>
    <w:rsid w:val="000078B6"/>
    <w:rsid w:val="00010A3C"/>
    <w:rsid w:val="00013478"/>
    <w:rsid w:val="00023DB1"/>
    <w:rsid w:val="000245F5"/>
    <w:rsid w:val="00025852"/>
    <w:rsid w:val="00025C7F"/>
    <w:rsid w:val="00030449"/>
    <w:rsid w:val="000314A1"/>
    <w:rsid w:val="000319A1"/>
    <w:rsid w:val="000322EC"/>
    <w:rsid w:val="0003272E"/>
    <w:rsid w:val="00034A99"/>
    <w:rsid w:val="000364AC"/>
    <w:rsid w:val="00040382"/>
    <w:rsid w:val="000425E7"/>
    <w:rsid w:val="0004435A"/>
    <w:rsid w:val="00044B27"/>
    <w:rsid w:val="00045333"/>
    <w:rsid w:val="0005624F"/>
    <w:rsid w:val="0006162A"/>
    <w:rsid w:val="00062E09"/>
    <w:rsid w:val="00065249"/>
    <w:rsid w:val="00066DBD"/>
    <w:rsid w:val="000678B9"/>
    <w:rsid w:val="0007226D"/>
    <w:rsid w:val="00072B72"/>
    <w:rsid w:val="00073B34"/>
    <w:rsid w:val="00087F42"/>
    <w:rsid w:val="00090B81"/>
    <w:rsid w:val="00093B2A"/>
    <w:rsid w:val="00095117"/>
    <w:rsid w:val="00097A1C"/>
    <w:rsid w:val="000A0C17"/>
    <w:rsid w:val="000A2CDD"/>
    <w:rsid w:val="000A39EB"/>
    <w:rsid w:val="000A3CED"/>
    <w:rsid w:val="000A6598"/>
    <w:rsid w:val="000A68B5"/>
    <w:rsid w:val="000B2047"/>
    <w:rsid w:val="000B56F4"/>
    <w:rsid w:val="000C4947"/>
    <w:rsid w:val="000C5748"/>
    <w:rsid w:val="000D0F10"/>
    <w:rsid w:val="000D28D4"/>
    <w:rsid w:val="000D46D5"/>
    <w:rsid w:val="000D48A6"/>
    <w:rsid w:val="000D55DA"/>
    <w:rsid w:val="000D6C4E"/>
    <w:rsid w:val="000E0D0D"/>
    <w:rsid w:val="000E320B"/>
    <w:rsid w:val="000E3BE0"/>
    <w:rsid w:val="000E4152"/>
    <w:rsid w:val="000E72F9"/>
    <w:rsid w:val="000F3190"/>
    <w:rsid w:val="000F361E"/>
    <w:rsid w:val="000F3FE3"/>
    <w:rsid w:val="000F4F8C"/>
    <w:rsid w:val="00101369"/>
    <w:rsid w:val="00105DC1"/>
    <w:rsid w:val="00105F58"/>
    <w:rsid w:val="00106B62"/>
    <w:rsid w:val="00106F5B"/>
    <w:rsid w:val="001073BB"/>
    <w:rsid w:val="00107DF7"/>
    <w:rsid w:val="0011088E"/>
    <w:rsid w:val="0011167D"/>
    <w:rsid w:val="0011235C"/>
    <w:rsid w:val="001163B8"/>
    <w:rsid w:val="00117B0A"/>
    <w:rsid w:val="001207DB"/>
    <w:rsid w:val="001215A1"/>
    <w:rsid w:val="00123B81"/>
    <w:rsid w:val="0012525B"/>
    <w:rsid w:val="001254B9"/>
    <w:rsid w:val="00132A93"/>
    <w:rsid w:val="00133832"/>
    <w:rsid w:val="00133CC3"/>
    <w:rsid w:val="00134630"/>
    <w:rsid w:val="00135097"/>
    <w:rsid w:val="00135693"/>
    <w:rsid w:val="001358D6"/>
    <w:rsid w:val="00135FC2"/>
    <w:rsid w:val="00137786"/>
    <w:rsid w:val="0014109F"/>
    <w:rsid w:val="00142CF3"/>
    <w:rsid w:val="001461ED"/>
    <w:rsid w:val="00146D41"/>
    <w:rsid w:val="00150AA1"/>
    <w:rsid w:val="00150C3C"/>
    <w:rsid w:val="00150C6A"/>
    <w:rsid w:val="00150F1E"/>
    <w:rsid w:val="00151D10"/>
    <w:rsid w:val="00156E52"/>
    <w:rsid w:val="00157AD3"/>
    <w:rsid w:val="00157D7B"/>
    <w:rsid w:val="001646F8"/>
    <w:rsid w:val="001666EA"/>
    <w:rsid w:val="00170198"/>
    <w:rsid w:val="001707DE"/>
    <w:rsid w:val="001713CD"/>
    <w:rsid w:val="0017256A"/>
    <w:rsid w:val="00172AEF"/>
    <w:rsid w:val="00174F7F"/>
    <w:rsid w:val="00180CE2"/>
    <w:rsid w:val="001834A0"/>
    <w:rsid w:val="00187949"/>
    <w:rsid w:val="00194F9D"/>
    <w:rsid w:val="00195389"/>
    <w:rsid w:val="00196664"/>
    <w:rsid w:val="00197F6A"/>
    <w:rsid w:val="001A1375"/>
    <w:rsid w:val="001A20CE"/>
    <w:rsid w:val="001A4B42"/>
    <w:rsid w:val="001A69DB"/>
    <w:rsid w:val="001A6E92"/>
    <w:rsid w:val="001A7799"/>
    <w:rsid w:val="001A782D"/>
    <w:rsid w:val="001B0F91"/>
    <w:rsid w:val="001B15F9"/>
    <w:rsid w:val="001B1ADA"/>
    <w:rsid w:val="001B6AFB"/>
    <w:rsid w:val="001B6E2B"/>
    <w:rsid w:val="001B6F6D"/>
    <w:rsid w:val="001C05BF"/>
    <w:rsid w:val="001C46F3"/>
    <w:rsid w:val="001C5700"/>
    <w:rsid w:val="001D0BC0"/>
    <w:rsid w:val="001D2B04"/>
    <w:rsid w:val="001D2BB6"/>
    <w:rsid w:val="001D3981"/>
    <w:rsid w:val="001D515A"/>
    <w:rsid w:val="001D6691"/>
    <w:rsid w:val="001D761B"/>
    <w:rsid w:val="001E1AEF"/>
    <w:rsid w:val="001E46FC"/>
    <w:rsid w:val="001E5CE0"/>
    <w:rsid w:val="001E7423"/>
    <w:rsid w:val="001E7FDD"/>
    <w:rsid w:val="001F02E5"/>
    <w:rsid w:val="001F0B0B"/>
    <w:rsid w:val="001F3649"/>
    <w:rsid w:val="001F5A8B"/>
    <w:rsid w:val="001F6585"/>
    <w:rsid w:val="001F6C9D"/>
    <w:rsid w:val="001F6CEF"/>
    <w:rsid w:val="001F7106"/>
    <w:rsid w:val="001F760F"/>
    <w:rsid w:val="0020050C"/>
    <w:rsid w:val="0020173C"/>
    <w:rsid w:val="00202A62"/>
    <w:rsid w:val="0020435E"/>
    <w:rsid w:val="002069CB"/>
    <w:rsid w:val="00210E1B"/>
    <w:rsid w:val="0021103B"/>
    <w:rsid w:val="0021574E"/>
    <w:rsid w:val="00216081"/>
    <w:rsid w:val="00216605"/>
    <w:rsid w:val="00217F6A"/>
    <w:rsid w:val="00220B1E"/>
    <w:rsid w:val="002247AB"/>
    <w:rsid w:val="00224EB8"/>
    <w:rsid w:val="00227687"/>
    <w:rsid w:val="002348A7"/>
    <w:rsid w:val="00234C25"/>
    <w:rsid w:val="00235454"/>
    <w:rsid w:val="00236930"/>
    <w:rsid w:val="00241BB9"/>
    <w:rsid w:val="002464D2"/>
    <w:rsid w:val="00246516"/>
    <w:rsid w:val="00252C13"/>
    <w:rsid w:val="00252DD3"/>
    <w:rsid w:val="00255B86"/>
    <w:rsid w:val="002561CC"/>
    <w:rsid w:val="00257C51"/>
    <w:rsid w:val="00262245"/>
    <w:rsid w:val="00267408"/>
    <w:rsid w:val="00267B80"/>
    <w:rsid w:val="00270BB1"/>
    <w:rsid w:val="00271A9A"/>
    <w:rsid w:val="002747E2"/>
    <w:rsid w:val="00274B3C"/>
    <w:rsid w:val="00275F9E"/>
    <w:rsid w:val="00280FC0"/>
    <w:rsid w:val="00290CD6"/>
    <w:rsid w:val="002921E3"/>
    <w:rsid w:val="00293D05"/>
    <w:rsid w:val="00297B2B"/>
    <w:rsid w:val="002A6EC3"/>
    <w:rsid w:val="002B1381"/>
    <w:rsid w:val="002B5EE0"/>
    <w:rsid w:val="002B62B4"/>
    <w:rsid w:val="002B7130"/>
    <w:rsid w:val="002C19E4"/>
    <w:rsid w:val="002C4AE7"/>
    <w:rsid w:val="002C6A56"/>
    <w:rsid w:val="002D11A0"/>
    <w:rsid w:val="002D1E85"/>
    <w:rsid w:val="002D5540"/>
    <w:rsid w:val="002E080A"/>
    <w:rsid w:val="002E26F0"/>
    <w:rsid w:val="002E45DA"/>
    <w:rsid w:val="002E58E0"/>
    <w:rsid w:val="002E7E2A"/>
    <w:rsid w:val="002F027B"/>
    <w:rsid w:val="002F1446"/>
    <w:rsid w:val="002F2EBE"/>
    <w:rsid w:val="002F5C2A"/>
    <w:rsid w:val="00300E73"/>
    <w:rsid w:val="00301CE5"/>
    <w:rsid w:val="00303536"/>
    <w:rsid w:val="003057A4"/>
    <w:rsid w:val="00305E3D"/>
    <w:rsid w:val="00310B79"/>
    <w:rsid w:val="00311D2E"/>
    <w:rsid w:val="003125D7"/>
    <w:rsid w:val="0032282D"/>
    <w:rsid w:val="00323B47"/>
    <w:rsid w:val="0032600F"/>
    <w:rsid w:val="00330252"/>
    <w:rsid w:val="003307C0"/>
    <w:rsid w:val="00333FC3"/>
    <w:rsid w:val="003420ED"/>
    <w:rsid w:val="0034401F"/>
    <w:rsid w:val="00344912"/>
    <w:rsid w:val="003453E4"/>
    <w:rsid w:val="00350C4B"/>
    <w:rsid w:val="00350DB6"/>
    <w:rsid w:val="00352AA8"/>
    <w:rsid w:val="00352D54"/>
    <w:rsid w:val="00353A46"/>
    <w:rsid w:val="003552BE"/>
    <w:rsid w:val="003560C0"/>
    <w:rsid w:val="003572FA"/>
    <w:rsid w:val="00364075"/>
    <w:rsid w:val="00365F97"/>
    <w:rsid w:val="003673DB"/>
    <w:rsid w:val="00367DF8"/>
    <w:rsid w:val="003700AD"/>
    <w:rsid w:val="00373A1F"/>
    <w:rsid w:val="00383E16"/>
    <w:rsid w:val="0038606E"/>
    <w:rsid w:val="0039124B"/>
    <w:rsid w:val="0039542A"/>
    <w:rsid w:val="003973AC"/>
    <w:rsid w:val="003A134F"/>
    <w:rsid w:val="003A21A2"/>
    <w:rsid w:val="003A21FE"/>
    <w:rsid w:val="003A5B44"/>
    <w:rsid w:val="003A5D59"/>
    <w:rsid w:val="003A6622"/>
    <w:rsid w:val="003A73F7"/>
    <w:rsid w:val="003A7440"/>
    <w:rsid w:val="003B0143"/>
    <w:rsid w:val="003B2ADF"/>
    <w:rsid w:val="003B48A8"/>
    <w:rsid w:val="003B79E5"/>
    <w:rsid w:val="003B7CBE"/>
    <w:rsid w:val="003D26D5"/>
    <w:rsid w:val="003D2F76"/>
    <w:rsid w:val="003D5020"/>
    <w:rsid w:val="003D6F63"/>
    <w:rsid w:val="003E4D80"/>
    <w:rsid w:val="003E5654"/>
    <w:rsid w:val="003E7119"/>
    <w:rsid w:val="003E7FB0"/>
    <w:rsid w:val="003F40AD"/>
    <w:rsid w:val="003F51AE"/>
    <w:rsid w:val="003F555E"/>
    <w:rsid w:val="003F57FC"/>
    <w:rsid w:val="003F71D6"/>
    <w:rsid w:val="003F776F"/>
    <w:rsid w:val="0040361F"/>
    <w:rsid w:val="004036D9"/>
    <w:rsid w:val="004043B8"/>
    <w:rsid w:val="004061B2"/>
    <w:rsid w:val="00416082"/>
    <w:rsid w:val="00416258"/>
    <w:rsid w:val="00416715"/>
    <w:rsid w:val="004172A0"/>
    <w:rsid w:val="0042040B"/>
    <w:rsid w:val="0042261C"/>
    <w:rsid w:val="0042462E"/>
    <w:rsid w:val="00425A45"/>
    <w:rsid w:val="0042675A"/>
    <w:rsid w:val="00431B79"/>
    <w:rsid w:val="00432722"/>
    <w:rsid w:val="004339B5"/>
    <w:rsid w:val="00433BF8"/>
    <w:rsid w:val="00437C2B"/>
    <w:rsid w:val="004405A7"/>
    <w:rsid w:val="004435EE"/>
    <w:rsid w:val="00446407"/>
    <w:rsid w:val="00446A78"/>
    <w:rsid w:val="004508D0"/>
    <w:rsid w:val="004512EE"/>
    <w:rsid w:val="00454C81"/>
    <w:rsid w:val="004554D8"/>
    <w:rsid w:val="00456947"/>
    <w:rsid w:val="00456C8C"/>
    <w:rsid w:val="00456F66"/>
    <w:rsid w:val="004574F4"/>
    <w:rsid w:val="00457E8A"/>
    <w:rsid w:val="00462C27"/>
    <w:rsid w:val="0046353E"/>
    <w:rsid w:val="00465000"/>
    <w:rsid w:val="00466807"/>
    <w:rsid w:val="004721BD"/>
    <w:rsid w:val="00472315"/>
    <w:rsid w:val="00475328"/>
    <w:rsid w:val="004756AA"/>
    <w:rsid w:val="00477695"/>
    <w:rsid w:val="004804DA"/>
    <w:rsid w:val="00483471"/>
    <w:rsid w:val="00483B42"/>
    <w:rsid w:val="00486D48"/>
    <w:rsid w:val="004879E1"/>
    <w:rsid w:val="00495260"/>
    <w:rsid w:val="004953E7"/>
    <w:rsid w:val="00495605"/>
    <w:rsid w:val="00496E08"/>
    <w:rsid w:val="004A0806"/>
    <w:rsid w:val="004A13F8"/>
    <w:rsid w:val="004A1BE9"/>
    <w:rsid w:val="004A21DF"/>
    <w:rsid w:val="004A41A1"/>
    <w:rsid w:val="004A4368"/>
    <w:rsid w:val="004A46C0"/>
    <w:rsid w:val="004A70F9"/>
    <w:rsid w:val="004A7185"/>
    <w:rsid w:val="004B4092"/>
    <w:rsid w:val="004B5314"/>
    <w:rsid w:val="004C1745"/>
    <w:rsid w:val="004C7369"/>
    <w:rsid w:val="004D053D"/>
    <w:rsid w:val="004D065B"/>
    <w:rsid w:val="004D0BDF"/>
    <w:rsid w:val="004D0C43"/>
    <w:rsid w:val="004D5A50"/>
    <w:rsid w:val="004D5B9E"/>
    <w:rsid w:val="004D5D67"/>
    <w:rsid w:val="004D674C"/>
    <w:rsid w:val="004E062E"/>
    <w:rsid w:val="004E0A92"/>
    <w:rsid w:val="004E2DDF"/>
    <w:rsid w:val="004F2076"/>
    <w:rsid w:val="004F324F"/>
    <w:rsid w:val="004F3AA2"/>
    <w:rsid w:val="004F45F6"/>
    <w:rsid w:val="004F770D"/>
    <w:rsid w:val="004F787A"/>
    <w:rsid w:val="00500486"/>
    <w:rsid w:val="00501A8A"/>
    <w:rsid w:val="00502710"/>
    <w:rsid w:val="00502C01"/>
    <w:rsid w:val="005037E0"/>
    <w:rsid w:val="00505EF6"/>
    <w:rsid w:val="00507CCF"/>
    <w:rsid w:val="0051166D"/>
    <w:rsid w:val="00513498"/>
    <w:rsid w:val="005154E3"/>
    <w:rsid w:val="00516149"/>
    <w:rsid w:val="00516729"/>
    <w:rsid w:val="00516B47"/>
    <w:rsid w:val="005242C1"/>
    <w:rsid w:val="00524777"/>
    <w:rsid w:val="00525414"/>
    <w:rsid w:val="005264CC"/>
    <w:rsid w:val="00527EE3"/>
    <w:rsid w:val="005317A3"/>
    <w:rsid w:val="00535F79"/>
    <w:rsid w:val="00537837"/>
    <w:rsid w:val="00540495"/>
    <w:rsid w:val="00540D9D"/>
    <w:rsid w:val="00545570"/>
    <w:rsid w:val="005458AE"/>
    <w:rsid w:val="005464FE"/>
    <w:rsid w:val="00547A6B"/>
    <w:rsid w:val="00550788"/>
    <w:rsid w:val="005514AD"/>
    <w:rsid w:val="005522DA"/>
    <w:rsid w:val="00553E20"/>
    <w:rsid w:val="00555776"/>
    <w:rsid w:val="00555B3B"/>
    <w:rsid w:val="0055712E"/>
    <w:rsid w:val="00561AE0"/>
    <w:rsid w:val="0056279E"/>
    <w:rsid w:val="0056300E"/>
    <w:rsid w:val="0056329D"/>
    <w:rsid w:val="00563459"/>
    <w:rsid w:val="00564117"/>
    <w:rsid w:val="00564D82"/>
    <w:rsid w:val="00565482"/>
    <w:rsid w:val="005673A3"/>
    <w:rsid w:val="00573C04"/>
    <w:rsid w:val="00573FC4"/>
    <w:rsid w:val="005829EF"/>
    <w:rsid w:val="00582A45"/>
    <w:rsid w:val="0058341A"/>
    <w:rsid w:val="00584476"/>
    <w:rsid w:val="0058474C"/>
    <w:rsid w:val="00584F58"/>
    <w:rsid w:val="00587CFA"/>
    <w:rsid w:val="00590042"/>
    <w:rsid w:val="00590D78"/>
    <w:rsid w:val="00594036"/>
    <w:rsid w:val="005946A1"/>
    <w:rsid w:val="0059537E"/>
    <w:rsid w:val="00595698"/>
    <w:rsid w:val="00596BE4"/>
    <w:rsid w:val="005A1267"/>
    <w:rsid w:val="005A205C"/>
    <w:rsid w:val="005A2E20"/>
    <w:rsid w:val="005A3106"/>
    <w:rsid w:val="005A6241"/>
    <w:rsid w:val="005B02B2"/>
    <w:rsid w:val="005B238F"/>
    <w:rsid w:val="005B2E0D"/>
    <w:rsid w:val="005B3D10"/>
    <w:rsid w:val="005B5200"/>
    <w:rsid w:val="005B67FE"/>
    <w:rsid w:val="005B701E"/>
    <w:rsid w:val="005C19BA"/>
    <w:rsid w:val="005C3269"/>
    <w:rsid w:val="005C3313"/>
    <w:rsid w:val="005C4A25"/>
    <w:rsid w:val="005C4C89"/>
    <w:rsid w:val="005C5AAF"/>
    <w:rsid w:val="005C7A16"/>
    <w:rsid w:val="005D0B37"/>
    <w:rsid w:val="005D4589"/>
    <w:rsid w:val="005D4616"/>
    <w:rsid w:val="005D6555"/>
    <w:rsid w:val="005E219C"/>
    <w:rsid w:val="005E3100"/>
    <w:rsid w:val="005E529C"/>
    <w:rsid w:val="005E772B"/>
    <w:rsid w:val="005F00A2"/>
    <w:rsid w:val="005F3F84"/>
    <w:rsid w:val="005F5AF9"/>
    <w:rsid w:val="005F7C4E"/>
    <w:rsid w:val="00601B51"/>
    <w:rsid w:val="006022C2"/>
    <w:rsid w:val="006035FB"/>
    <w:rsid w:val="00605BC2"/>
    <w:rsid w:val="00606D65"/>
    <w:rsid w:val="006108C6"/>
    <w:rsid w:val="00611096"/>
    <w:rsid w:val="0061334D"/>
    <w:rsid w:val="006166ED"/>
    <w:rsid w:val="0062122A"/>
    <w:rsid w:val="006241C9"/>
    <w:rsid w:val="00625644"/>
    <w:rsid w:val="00625822"/>
    <w:rsid w:val="00631F43"/>
    <w:rsid w:val="00632728"/>
    <w:rsid w:val="00635E76"/>
    <w:rsid w:val="0063620E"/>
    <w:rsid w:val="00647A6C"/>
    <w:rsid w:val="00647B44"/>
    <w:rsid w:val="00647F12"/>
    <w:rsid w:val="00652427"/>
    <w:rsid w:val="00652679"/>
    <w:rsid w:val="00652901"/>
    <w:rsid w:val="00653A48"/>
    <w:rsid w:val="0065635D"/>
    <w:rsid w:val="006603A1"/>
    <w:rsid w:val="00660C4A"/>
    <w:rsid w:val="00664B89"/>
    <w:rsid w:val="0066578A"/>
    <w:rsid w:val="006734ED"/>
    <w:rsid w:val="00673935"/>
    <w:rsid w:val="006767D3"/>
    <w:rsid w:val="00680ED2"/>
    <w:rsid w:val="00681435"/>
    <w:rsid w:val="006918CC"/>
    <w:rsid w:val="006959B8"/>
    <w:rsid w:val="00696592"/>
    <w:rsid w:val="006966B5"/>
    <w:rsid w:val="0069772D"/>
    <w:rsid w:val="006A0B11"/>
    <w:rsid w:val="006A1630"/>
    <w:rsid w:val="006A39D2"/>
    <w:rsid w:val="006A42AE"/>
    <w:rsid w:val="006A4313"/>
    <w:rsid w:val="006B035B"/>
    <w:rsid w:val="006B0FE7"/>
    <w:rsid w:val="006B1F2B"/>
    <w:rsid w:val="006B611D"/>
    <w:rsid w:val="006C4E8D"/>
    <w:rsid w:val="006C6FD5"/>
    <w:rsid w:val="006D1DC1"/>
    <w:rsid w:val="006E04D3"/>
    <w:rsid w:val="006E0D2E"/>
    <w:rsid w:val="006E2C63"/>
    <w:rsid w:val="006E7122"/>
    <w:rsid w:val="006E71FA"/>
    <w:rsid w:val="006F02EE"/>
    <w:rsid w:val="006F0A8E"/>
    <w:rsid w:val="006F1775"/>
    <w:rsid w:val="006F1F5B"/>
    <w:rsid w:val="006F2D80"/>
    <w:rsid w:val="006F46B1"/>
    <w:rsid w:val="006F739C"/>
    <w:rsid w:val="006F768B"/>
    <w:rsid w:val="006F78F7"/>
    <w:rsid w:val="00700D27"/>
    <w:rsid w:val="00700E90"/>
    <w:rsid w:val="007024D4"/>
    <w:rsid w:val="00703889"/>
    <w:rsid w:val="00706A72"/>
    <w:rsid w:val="00707EE6"/>
    <w:rsid w:val="007211B9"/>
    <w:rsid w:val="007227B1"/>
    <w:rsid w:val="00722B50"/>
    <w:rsid w:val="00725379"/>
    <w:rsid w:val="00731A7B"/>
    <w:rsid w:val="00731DB1"/>
    <w:rsid w:val="00732936"/>
    <w:rsid w:val="007329A6"/>
    <w:rsid w:val="00733376"/>
    <w:rsid w:val="00735686"/>
    <w:rsid w:val="00735E84"/>
    <w:rsid w:val="00740EDA"/>
    <w:rsid w:val="00742ECA"/>
    <w:rsid w:val="00743F17"/>
    <w:rsid w:val="00744346"/>
    <w:rsid w:val="00744BD6"/>
    <w:rsid w:val="00745AF7"/>
    <w:rsid w:val="00747C20"/>
    <w:rsid w:val="00747C44"/>
    <w:rsid w:val="00753D1A"/>
    <w:rsid w:val="00757888"/>
    <w:rsid w:val="00757C2F"/>
    <w:rsid w:val="00762BEE"/>
    <w:rsid w:val="0077068D"/>
    <w:rsid w:val="00774064"/>
    <w:rsid w:val="00777866"/>
    <w:rsid w:val="0077791D"/>
    <w:rsid w:val="00777A5D"/>
    <w:rsid w:val="00781022"/>
    <w:rsid w:val="0078330B"/>
    <w:rsid w:val="007877F1"/>
    <w:rsid w:val="00787CF0"/>
    <w:rsid w:val="00795595"/>
    <w:rsid w:val="007A06AB"/>
    <w:rsid w:val="007A39EF"/>
    <w:rsid w:val="007B3087"/>
    <w:rsid w:val="007B3F6C"/>
    <w:rsid w:val="007B43CA"/>
    <w:rsid w:val="007B4666"/>
    <w:rsid w:val="007B751F"/>
    <w:rsid w:val="007C05BA"/>
    <w:rsid w:val="007C0E23"/>
    <w:rsid w:val="007C1CC5"/>
    <w:rsid w:val="007C2A43"/>
    <w:rsid w:val="007C571B"/>
    <w:rsid w:val="007C5A19"/>
    <w:rsid w:val="007C6265"/>
    <w:rsid w:val="007C70B0"/>
    <w:rsid w:val="007D0DBD"/>
    <w:rsid w:val="007D7BD8"/>
    <w:rsid w:val="007E0EBE"/>
    <w:rsid w:val="007E1FA4"/>
    <w:rsid w:val="007E23CF"/>
    <w:rsid w:val="007E51B3"/>
    <w:rsid w:val="007E59EE"/>
    <w:rsid w:val="007E7CD3"/>
    <w:rsid w:val="008024C0"/>
    <w:rsid w:val="00802B3B"/>
    <w:rsid w:val="00803E8A"/>
    <w:rsid w:val="00805730"/>
    <w:rsid w:val="00806AA2"/>
    <w:rsid w:val="00806AC6"/>
    <w:rsid w:val="00807D7C"/>
    <w:rsid w:val="00810154"/>
    <w:rsid w:val="008102F3"/>
    <w:rsid w:val="00811190"/>
    <w:rsid w:val="00811D63"/>
    <w:rsid w:val="00811DBD"/>
    <w:rsid w:val="0081491B"/>
    <w:rsid w:val="00817DEC"/>
    <w:rsid w:val="0082026C"/>
    <w:rsid w:val="0082051E"/>
    <w:rsid w:val="00823390"/>
    <w:rsid w:val="008246A1"/>
    <w:rsid w:val="00824AF0"/>
    <w:rsid w:val="008304C8"/>
    <w:rsid w:val="00831B21"/>
    <w:rsid w:val="008334F0"/>
    <w:rsid w:val="0083492B"/>
    <w:rsid w:val="00835278"/>
    <w:rsid w:val="0083550B"/>
    <w:rsid w:val="008364EC"/>
    <w:rsid w:val="0084358E"/>
    <w:rsid w:val="008454BB"/>
    <w:rsid w:val="008469D4"/>
    <w:rsid w:val="00847AD8"/>
    <w:rsid w:val="00850BBD"/>
    <w:rsid w:val="0085109D"/>
    <w:rsid w:val="008534F7"/>
    <w:rsid w:val="008550E4"/>
    <w:rsid w:val="00860173"/>
    <w:rsid w:val="008625A9"/>
    <w:rsid w:val="008629C6"/>
    <w:rsid w:val="00862AC2"/>
    <w:rsid w:val="00866E47"/>
    <w:rsid w:val="008729CB"/>
    <w:rsid w:val="00872EF9"/>
    <w:rsid w:val="00873654"/>
    <w:rsid w:val="008813C8"/>
    <w:rsid w:val="00882736"/>
    <w:rsid w:val="008867AA"/>
    <w:rsid w:val="0088726C"/>
    <w:rsid w:val="008873A7"/>
    <w:rsid w:val="00887B66"/>
    <w:rsid w:val="008902CB"/>
    <w:rsid w:val="00891799"/>
    <w:rsid w:val="00891FC9"/>
    <w:rsid w:val="00896DDC"/>
    <w:rsid w:val="008A1509"/>
    <w:rsid w:val="008A2638"/>
    <w:rsid w:val="008A4819"/>
    <w:rsid w:val="008A4A52"/>
    <w:rsid w:val="008A54D0"/>
    <w:rsid w:val="008A765B"/>
    <w:rsid w:val="008B0F73"/>
    <w:rsid w:val="008B1D3C"/>
    <w:rsid w:val="008B406C"/>
    <w:rsid w:val="008C1377"/>
    <w:rsid w:val="008C2EB5"/>
    <w:rsid w:val="008C3CBC"/>
    <w:rsid w:val="008C5019"/>
    <w:rsid w:val="008C57BC"/>
    <w:rsid w:val="008D66E1"/>
    <w:rsid w:val="008E3684"/>
    <w:rsid w:val="008E392C"/>
    <w:rsid w:val="008E5FB6"/>
    <w:rsid w:val="008E6398"/>
    <w:rsid w:val="008F1DE7"/>
    <w:rsid w:val="008F238A"/>
    <w:rsid w:val="008F368D"/>
    <w:rsid w:val="008F7D3F"/>
    <w:rsid w:val="009043F7"/>
    <w:rsid w:val="00907803"/>
    <w:rsid w:val="0091254F"/>
    <w:rsid w:val="009125AA"/>
    <w:rsid w:val="00914BB1"/>
    <w:rsid w:val="0091570E"/>
    <w:rsid w:val="009157B7"/>
    <w:rsid w:val="0091746A"/>
    <w:rsid w:val="009317CA"/>
    <w:rsid w:val="00931BD1"/>
    <w:rsid w:val="00931BDB"/>
    <w:rsid w:val="00933395"/>
    <w:rsid w:val="009348B6"/>
    <w:rsid w:val="0093703F"/>
    <w:rsid w:val="00937F17"/>
    <w:rsid w:val="009441DD"/>
    <w:rsid w:val="00946056"/>
    <w:rsid w:val="00946ACB"/>
    <w:rsid w:val="00951218"/>
    <w:rsid w:val="0095428A"/>
    <w:rsid w:val="00955352"/>
    <w:rsid w:val="00956EAD"/>
    <w:rsid w:val="009579B6"/>
    <w:rsid w:val="00957BF9"/>
    <w:rsid w:val="00957EC7"/>
    <w:rsid w:val="009623C0"/>
    <w:rsid w:val="009636F8"/>
    <w:rsid w:val="009644CC"/>
    <w:rsid w:val="0096450E"/>
    <w:rsid w:val="00967749"/>
    <w:rsid w:val="009707D8"/>
    <w:rsid w:val="00974C83"/>
    <w:rsid w:val="00976940"/>
    <w:rsid w:val="00980045"/>
    <w:rsid w:val="0098029B"/>
    <w:rsid w:val="00981C9A"/>
    <w:rsid w:val="009842AE"/>
    <w:rsid w:val="00986444"/>
    <w:rsid w:val="009A1115"/>
    <w:rsid w:val="009A3831"/>
    <w:rsid w:val="009A3D01"/>
    <w:rsid w:val="009A58E3"/>
    <w:rsid w:val="009A6B9F"/>
    <w:rsid w:val="009A716C"/>
    <w:rsid w:val="009A792A"/>
    <w:rsid w:val="009B1D65"/>
    <w:rsid w:val="009B1DE0"/>
    <w:rsid w:val="009B264E"/>
    <w:rsid w:val="009B2E2D"/>
    <w:rsid w:val="009B4E70"/>
    <w:rsid w:val="009B76B7"/>
    <w:rsid w:val="009C03D5"/>
    <w:rsid w:val="009C08D9"/>
    <w:rsid w:val="009C3C0C"/>
    <w:rsid w:val="009C3E95"/>
    <w:rsid w:val="009C4D9E"/>
    <w:rsid w:val="009C5229"/>
    <w:rsid w:val="009C5576"/>
    <w:rsid w:val="009C5E18"/>
    <w:rsid w:val="009C68AE"/>
    <w:rsid w:val="009C75F6"/>
    <w:rsid w:val="009C793C"/>
    <w:rsid w:val="009D0B55"/>
    <w:rsid w:val="009D0FFC"/>
    <w:rsid w:val="009D6447"/>
    <w:rsid w:val="009D78AC"/>
    <w:rsid w:val="009E153C"/>
    <w:rsid w:val="009E2DB7"/>
    <w:rsid w:val="009E33B7"/>
    <w:rsid w:val="009E3F49"/>
    <w:rsid w:val="009E404D"/>
    <w:rsid w:val="009E653E"/>
    <w:rsid w:val="009F14EB"/>
    <w:rsid w:val="009F3F86"/>
    <w:rsid w:val="009F4B5A"/>
    <w:rsid w:val="009F6C01"/>
    <w:rsid w:val="009F763A"/>
    <w:rsid w:val="00A0005A"/>
    <w:rsid w:val="00A016D6"/>
    <w:rsid w:val="00A02B21"/>
    <w:rsid w:val="00A03D37"/>
    <w:rsid w:val="00A050DB"/>
    <w:rsid w:val="00A06456"/>
    <w:rsid w:val="00A067BD"/>
    <w:rsid w:val="00A06BC0"/>
    <w:rsid w:val="00A06C03"/>
    <w:rsid w:val="00A07407"/>
    <w:rsid w:val="00A106E6"/>
    <w:rsid w:val="00A1392E"/>
    <w:rsid w:val="00A13EEE"/>
    <w:rsid w:val="00A17A80"/>
    <w:rsid w:val="00A23C27"/>
    <w:rsid w:val="00A25F1C"/>
    <w:rsid w:val="00A26079"/>
    <w:rsid w:val="00A314D5"/>
    <w:rsid w:val="00A3151C"/>
    <w:rsid w:val="00A330FC"/>
    <w:rsid w:val="00A341DD"/>
    <w:rsid w:val="00A35C63"/>
    <w:rsid w:val="00A37FA4"/>
    <w:rsid w:val="00A4041F"/>
    <w:rsid w:val="00A4169D"/>
    <w:rsid w:val="00A479F5"/>
    <w:rsid w:val="00A51D4B"/>
    <w:rsid w:val="00A5298D"/>
    <w:rsid w:val="00A55B63"/>
    <w:rsid w:val="00A60003"/>
    <w:rsid w:val="00A60809"/>
    <w:rsid w:val="00A61091"/>
    <w:rsid w:val="00A64375"/>
    <w:rsid w:val="00A663D7"/>
    <w:rsid w:val="00A75F09"/>
    <w:rsid w:val="00A82613"/>
    <w:rsid w:val="00A828F4"/>
    <w:rsid w:val="00A831CD"/>
    <w:rsid w:val="00A838C8"/>
    <w:rsid w:val="00A858B5"/>
    <w:rsid w:val="00A86569"/>
    <w:rsid w:val="00A9038C"/>
    <w:rsid w:val="00A90ACF"/>
    <w:rsid w:val="00A91964"/>
    <w:rsid w:val="00A91E49"/>
    <w:rsid w:val="00A93CFE"/>
    <w:rsid w:val="00A962E7"/>
    <w:rsid w:val="00A97410"/>
    <w:rsid w:val="00AA142D"/>
    <w:rsid w:val="00AA1661"/>
    <w:rsid w:val="00AA3EC3"/>
    <w:rsid w:val="00AA72C3"/>
    <w:rsid w:val="00AA7988"/>
    <w:rsid w:val="00AB318E"/>
    <w:rsid w:val="00AB39AC"/>
    <w:rsid w:val="00AB3B00"/>
    <w:rsid w:val="00AB4065"/>
    <w:rsid w:val="00AB62FE"/>
    <w:rsid w:val="00AC017B"/>
    <w:rsid w:val="00AC0B2C"/>
    <w:rsid w:val="00AC4454"/>
    <w:rsid w:val="00AC7BAF"/>
    <w:rsid w:val="00AD25BC"/>
    <w:rsid w:val="00AD27BC"/>
    <w:rsid w:val="00AD346C"/>
    <w:rsid w:val="00AD3CDD"/>
    <w:rsid w:val="00AD5441"/>
    <w:rsid w:val="00AD5F16"/>
    <w:rsid w:val="00AD5F93"/>
    <w:rsid w:val="00AE2C18"/>
    <w:rsid w:val="00AE2F0C"/>
    <w:rsid w:val="00AE4173"/>
    <w:rsid w:val="00AE75CF"/>
    <w:rsid w:val="00AF07B4"/>
    <w:rsid w:val="00AF2526"/>
    <w:rsid w:val="00AF29F1"/>
    <w:rsid w:val="00AF2FFD"/>
    <w:rsid w:val="00AF3F7C"/>
    <w:rsid w:val="00AF48AB"/>
    <w:rsid w:val="00AF517D"/>
    <w:rsid w:val="00AF7178"/>
    <w:rsid w:val="00B01C2F"/>
    <w:rsid w:val="00B0438C"/>
    <w:rsid w:val="00B05290"/>
    <w:rsid w:val="00B063F0"/>
    <w:rsid w:val="00B06A4C"/>
    <w:rsid w:val="00B1062E"/>
    <w:rsid w:val="00B10F1A"/>
    <w:rsid w:val="00B11363"/>
    <w:rsid w:val="00B12DBB"/>
    <w:rsid w:val="00B161A3"/>
    <w:rsid w:val="00B1789E"/>
    <w:rsid w:val="00B17C37"/>
    <w:rsid w:val="00B207F0"/>
    <w:rsid w:val="00B2551D"/>
    <w:rsid w:val="00B302ED"/>
    <w:rsid w:val="00B330E6"/>
    <w:rsid w:val="00B343C5"/>
    <w:rsid w:val="00B34634"/>
    <w:rsid w:val="00B35A0D"/>
    <w:rsid w:val="00B42E20"/>
    <w:rsid w:val="00B446AE"/>
    <w:rsid w:val="00B464E9"/>
    <w:rsid w:val="00B46C92"/>
    <w:rsid w:val="00B47DF9"/>
    <w:rsid w:val="00B506F2"/>
    <w:rsid w:val="00B50720"/>
    <w:rsid w:val="00B519F9"/>
    <w:rsid w:val="00B52C8C"/>
    <w:rsid w:val="00B564AC"/>
    <w:rsid w:val="00B57C19"/>
    <w:rsid w:val="00B57D42"/>
    <w:rsid w:val="00B64F49"/>
    <w:rsid w:val="00B67287"/>
    <w:rsid w:val="00B700A5"/>
    <w:rsid w:val="00B7084D"/>
    <w:rsid w:val="00B71CDD"/>
    <w:rsid w:val="00B7584A"/>
    <w:rsid w:val="00B77928"/>
    <w:rsid w:val="00B77FE4"/>
    <w:rsid w:val="00B816FC"/>
    <w:rsid w:val="00B81789"/>
    <w:rsid w:val="00B81C8A"/>
    <w:rsid w:val="00B822E7"/>
    <w:rsid w:val="00B830C6"/>
    <w:rsid w:val="00B87224"/>
    <w:rsid w:val="00B8779E"/>
    <w:rsid w:val="00B909D3"/>
    <w:rsid w:val="00B933EB"/>
    <w:rsid w:val="00B94A46"/>
    <w:rsid w:val="00B96822"/>
    <w:rsid w:val="00BA2863"/>
    <w:rsid w:val="00BA4AB0"/>
    <w:rsid w:val="00BA5B8B"/>
    <w:rsid w:val="00BA622C"/>
    <w:rsid w:val="00BA6993"/>
    <w:rsid w:val="00BA6C3E"/>
    <w:rsid w:val="00BA7BFB"/>
    <w:rsid w:val="00BB084E"/>
    <w:rsid w:val="00BB2B38"/>
    <w:rsid w:val="00BB721A"/>
    <w:rsid w:val="00BC23E2"/>
    <w:rsid w:val="00BC2432"/>
    <w:rsid w:val="00BC4F58"/>
    <w:rsid w:val="00BC5567"/>
    <w:rsid w:val="00BC730C"/>
    <w:rsid w:val="00BC7936"/>
    <w:rsid w:val="00BD067C"/>
    <w:rsid w:val="00BD52B5"/>
    <w:rsid w:val="00BE27E5"/>
    <w:rsid w:val="00BE3089"/>
    <w:rsid w:val="00BF0291"/>
    <w:rsid w:val="00BF0E11"/>
    <w:rsid w:val="00BF45F5"/>
    <w:rsid w:val="00BF4E48"/>
    <w:rsid w:val="00BF4E76"/>
    <w:rsid w:val="00BF7F3A"/>
    <w:rsid w:val="00C01DE8"/>
    <w:rsid w:val="00C03EE8"/>
    <w:rsid w:val="00C04A74"/>
    <w:rsid w:val="00C063BE"/>
    <w:rsid w:val="00C07E2E"/>
    <w:rsid w:val="00C10158"/>
    <w:rsid w:val="00C10617"/>
    <w:rsid w:val="00C10D2C"/>
    <w:rsid w:val="00C12531"/>
    <w:rsid w:val="00C1585A"/>
    <w:rsid w:val="00C177BE"/>
    <w:rsid w:val="00C21BF8"/>
    <w:rsid w:val="00C235C6"/>
    <w:rsid w:val="00C264CF"/>
    <w:rsid w:val="00C27585"/>
    <w:rsid w:val="00C27BCE"/>
    <w:rsid w:val="00C3126C"/>
    <w:rsid w:val="00C31A8C"/>
    <w:rsid w:val="00C31B9E"/>
    <w:rsid w:val="00C322F1"/>
    <w:rsid w:val="00C36557"/>
    <w:rsid w:val="00C3742F"/>
    <w:rsid w:val="00C4019E"/>
    <w:rsid w:val="00C40AE1"/>
    <w:rsid w:val="00C413EB"/>
    <w:rsid w:val="00C448C0"/>
    <w:rsid w:val="00C45F5E"/>
    <w:rsid w:val="00C46830"/>
    <w:rsid w:val="00C50151"/>
    <w:rsid w:val="00C50C7E"/>
    <w:rsid w:val="00C521E5"/>
    <w:rsid w:val="00C54C25"/>
    <w:rsid w:val="00C54D66"/>
    <w:rsid w:val="00C54E26"/>
    <w:rsid w:val="00C55813"/>
    <w:rsid w:val="00C57B5F"/>
    <w:rsid w:val="00C6152C"/>
    <w:rsid w:val="00C616A7"/>
    <w:rsid w:val="00C64408"/>
    <w:rsid w:val="00C707DC"/>
    <w:rsid w:val="00C72D4A"/>
    <w:rsid w:val="00C74942"/>
    <w:rsid w:val="00C76AC5"/>
    <w:rsid w:val="00C77490"/>
    <w:rsid w:val="00C77C68"/>
    <w:rsid w:val="00C80A69"/>
    <w:rsid w:val="00C865F0"/>
    <w:rsid w:val="00C86C3C"/>
    <w:rsid w:val="00C873BB"/>
    <w:rsid w:val="00C90718"/>
    <w:rsid w:val="00C918EF"/>
    <w:rsid w:val="00C96120"/>
    <w:rsid w:val="00CA1E0E"/>
    <w:rsid w:val="00CA5873"/>
    <w:rsid w:val="00CA6A06"/>
    <w:rsid w:val="00CA7552"/>
    <w:rsid w:val="00CB0CA5"/>
    <w:rsid w:val="00CB15EA"/>
    <w:rsid w:val="00CB2AC6"/>
    <w:rsid w:val="00CB6012"/>
    <w:rsid w:val="00CB66F7"/>
    <w:rsid w:val="00CB706F"/>
    <w:rsid w:val="00CC14A9"/>
    <w:rsid w:val="00CC5AC6"/>
    <w:rsid w:val="00CC6FFF"/>
    <w:rsid w:val="00CD26E1"/>
    <w:rsid w:val="00CD2D92"/>
    <w:rsid w:val="00CD4B92"/>
    <w:rsid w:val="00CD4CFE"/>
    <w:rsid w:val="00CD6581"/>
    <w:rsid w:val="00CE1BFD"/>
    <w:rsid w:val="00CE1D0A"/>
    <w:rsid w:val="00CE354B"/>
    <w:rsid w:val="00CE4411"/>
    <w:rsid w:val="00CE5F65"/>
    <w:rsid w:val="00CE64A2"/>
    <w:rsid w:val="00CE6A50"/>
    <w:rsid w:val="00CF00FC"/>
    <w:rsid w:val="00CF5847"/>
    <w:rsid w:val="00CF7E72"/>
    <w:rsid w:val="00D01AAA"/>
    <w:rsid w:val="00D03E63"/>
    <w:rsid w:val="00D0415D"/>
    <w:rsid w:val="00D061D1"/>
    <w:rsid w:val="00D06406"/>
    <w:rsid w:val="00D0725F"/>
    <w:rsid w:val="00D073C8"/>
    <w:rsid w:val="00D119F3"/>
    <w:rsid w:val="00D11A3A"/>
    <w:rsid w:val="00D13B3D"/>
    <w:rsid w:val="00D14ABE"/>
    <w:rsid w:val="00D14E6C"/>
    <w:rsid w:val="00D269BF"/>
    <w:rsid w:val="00D273B0"/>
    <w:rsid w:val="00D30CEC"/>
    <w:rsid w:val="00D32589"/>
    <w:rsid w:val="00D34421"/>
    <w:rsid w:val="00D34D1D"/>
    <w:rsid w:val="00D358A0"/>
    <w:rsid w:val="00D37416"/>
    <w:rsid w:val="00D406C6"/>
    <w:rsid w:val="00D4101A"/>
    <w:rsid w:val="00D42F28"/>
    <w:rsid w:val="00D44F4A"/>
    <w:rsid w:val="00D450C0"/>
    <w:rsid w:val="00D467B3"/>
    <w:rsid w:val="00D51DEA"/>
    <w:rsid w:val="00D529E7"/>
    <w:rsid w:val="00D53C50"/>
    <w:rsid w:val="00D561FE"/>
    <w:rsid w:val="00D607F0"/>
    <w:rsid w:val="00D613A1"/>
    <w:rsid w:val="00D6376E"/>
    <w:rsid w:val="00D64FDD"/>
    <w:rsid w:val="00D65418"/>
    <w:rsid w:val="00D664AC"/>
    <w:rsid w:val="00D67024"/>
    <w:rsid w:val="00D671CB"/>
    <w:rsid w:val="00D706F3"/>
    <w:rsid w:val="00D74E5A"/>
    <w:rsid w:val="00D75429"/>
    <w:rsid w:val="00D760C6"/>
    <w:rsid w:val="00D76413"/>
    <w:rsid w:val="00D770AF"/>
    <w:rsid w:val="00D80253"/>
    <w:rsid w:val="00D80822"/>
    <w:rsid w:val="00D81F81"/>
    <w:rsid w:val="00D83743"/>
    <w:rsid w:val="00D926A0"/>
    <w:rsid w:val="00D93917"/>
    <w:rsid w:val="00D952B7"/>
    <w:rsid w:val="00D9770D"/>
    <w:rsid w:val="00DA16D9"/>
    <w:rsid w:val="00DA3938"/>
    <w:rsid w:val="00DA661C"/>
    <w:rsid w:val="00DA6B20"/>
    <w:rsid w:val="00DB4A82"/>
    <w:rsid w:val="00DB50B8"/>
    <w:rsid w:val="00DB660B"/>
    <w:rsid w:val="00DB7F2D"/>
    <w:rsid w:val="00DC105F"/>
    <w:rsid w:val="00DC1C1B"/>
    <w:rsid w:val="00DC3139"/>
    <w:rsid w:val="00DC38C7"/>
    <w:rsid w:val="00DC4523"/>
    <w:rsid w:val="00DC71C6"/>
    <w:rsid w:val="00DC7567"/>
    <w:rsid w:val="00DD0643"/>
    <w:rsid w:val="00DD0EB1"/>
    <w:rsid w:val="00DD1068"/>
    <w:rsid w:val="00DD1B6E"/>
    <w:rsid w:val="00DD1DAC"/>
    <w:rsid w:val="00DD39F4"/>
    <w:rsid w:val="00DD400B"/>
    <w:rsid w:val="00DD5251"/>
    <w:rsid w:val="00DD5B40"/>
    <w:rsid w:val="00DD5DE9"/>
    <w:rsid w:val="00DE0B8D"/>
    <w:rsid w:val="00DE12F8"/>
    <w:rsid w:val="00DE184F"/>
    <w:rsid w:val="00DE1C87"/>
    <w:rsid w:val="00DE21A7"/>
    <w:rsid w:val="00DE70DC"/>
    <w:rsid w:val="00DE71BE"/>
    <w:rsid w:val="00DF1650"/>
    <w:rsid w:val="00DF1B90"/>
    <w:rsid w:val="00DF471B"/>
    <w:rsid w:val="00E0072F"/>
    <w:rsid w:val="00E00E36"/>
    <w:rsid w:val="00E03270"/>
    <w:rsid w:val="00E043E5"/>
    <w:rsid w:val="00E046C3"/>
    <w:rsid w:val="00E04FA4"/>
    <w:rsid w:val="00E05BD7"/>
    <w:rsid w:val="00E0615C"/>
    <w:rsid w:val="00E10F6E"/>
    <w:rsid w:val="00E113AB"/>
    <w:rsid w:val="00E113F2"/>
    <w:rsid w:val="00E13A69"/>
    <w:rsid w:val="00E16E5D"/>
    <w:rsid w:val="00E17569"/>
    <w:rsid w:val="00E20FB0"/>
    <w:rsid w:val="00E2633F"/>
    <w:rsid w:val="00E312C9"/>
    <w:rsid w:val="00E37B7E"/>
    <w:rsid w:val="00E43178"/>
    <w:rsid w:val="00E44420"/>
    <w:rsid w:val="00E4538B"/>
    <w:rsid w:val="00E470A6"/>
    <w:rsid w:val="00E4721A"/>
    <w:rsid w:val="00E47F4D"/>
    <w:rsid w:val="00E52A9E"/>
    <w:rsid w:val="00E54328"/>
    <w:rsid w:val="00E559BA"/>
    <w:rsid w:val="00E608E9"/>
    <w:rsid w:val="00E66FD1"/>
    <w:rsid w:val="00E73D12"/>
    <w:rsid w:val="00E76DE3"/>
    <w:rsid w:val="00E77788"/>
    <w:rsid w:val="00E80D4D"/>
    <w:rsid w:val="00E82105"/>
    <w:rsid w:val="00E83B25"/>
    <w:rsid w:val="00E848F2"/>
    <w:rsid w:val="00E865B1"/>
    <w:rsid w:val="00E90006"/>
    <w:rsid w:val="00E9065E"/>
    <w:rsid w:val="00E91002"/>
    <w:rsid w:val="00E96B5B"/>
    <w:rsid w:val="00E96FC8"/>
    <w:rsid w:val="00EA015A"/>
    <w:rsid w:val="00EA0D06"/>
    <w:rsid w:val="00EA107B"/>
    <w:rsid w:val="00EA54CE"/>
    <w:rsid w:val="00EB2077"/>
    <w:rsid w:val="00EB5623"/>
    <w:rsid w:val="00EC1D76"/>
    <w:rsid w:val="00EC2152"/>
    <w:rsid w:val="00EC5C65"/>
    <w:rsid w:val="00EC618E"/>
    <w:rsid w:val="00EC7A76"/>
    <w:rsid w:val="00ED2DE7"/>
    <w:rsid w:val="00ED4919"/>
    <w:rsid w:val="00ED6B47"/>
    <w:rsid w:val="00ED6BAC"/>
    <w:rsid w:val="00ED727A"/>
    <w:rsid w:val="00EE2408"/>
    <w:rsid w:val="00EE4C84"/>
    <w:rsid w:val="00EF1EF8"/>
    <w:rsid w:val="00EF4D90"/>
    <w:rsid w:val="00EF7BE7"/>
    <w:rsid w:val="00F00362"/>
    <w:rsid w:val="00F00410"/>
    <w:rsid w:val="00F047D2"/>
    <w:rsid w:val="00F047EA"/>
    <w:rsid w:val="00F067F1"/>
    <w:rsid w:val="00F116DC"/>
    <w:rsid w:val="00F119CC"/>
    <w:rsid w:val="00F12B88"/>
    <w:rsid w:val="00F12CD6"/>
    <w:rsid w:val="00F14A39"/>
    <w:rsid w:val="00F168C1"/>
    <w:rsid w:val="00F17DF1"/>
    <w:rsid w:val="00F241CC"/>
    <w:rsid w:val="00F321BF"/>
    <w:rsid w:val="00F345ED"/>
    <w:rsid w:val="00F3595C"/>
    <w:rsid w:val="00F37363"/>
    <w:rsid w:val="00F40F95"/>
    <w:rsid w:val="00F45B9D"/>
    <w:rsid w:val="00F46F8B"/>
    <w:rsid w:val="00F511ED"/>
    <w:rsid w:val="00F521D0"/>
    <w:rsid w:val="00F539F0"/>
    <w:rsid w:val="00F54CE1"/>
    <w:rsid w:val="00F54D47"/>
    <w:rsid w:val="00F557D7"/>
    <w:rsid w:val="00F5790B"/>
    <w:rsid w:val="00F606DA"/>
    <w:rsid w:val="00F65003"/>
    <w:rsid w:val="00F72624"/>
    <w:rsid w:val="00F73490"/>
    <w:rsid w:val="00F74BF1"/>
    <w:rsid w:val="00F7668F"/>
    <w:rsid w:val="00F7694E"/>
    <w:rsid w:val="00F77AFB"/>
    <w:rsid w:val="00F77EDC"/>
    <w:rsid w:val="00F817A0"/>
    <w:rsid w:val="00F82876"/>
    <w:rsid w:val="00F845FA"/>
    <w:rsid w:val="00F94124"/>
    <w:rsid w:val="00F97CF0"/>
    <w:rsid w:val="00FA0A0B"/>
    <w:rsid w:val="00FA0D74"/>
    <w:rsid w:val="00FA1ACA"/>
    <w:rsid w:val="00FA2A68"/>
    <w:rsid w:val="00FA33D2"/>
    <w:rsid w:val="00FA4186"/>
    <w:rsid w:val="00FA631C"/>
    <w:rsid w:val="00FA6A11"/>
    <w:rsid w:val="00FA7B24"/>
    <w:rsid w:val="00FB15A1"/>
    <w:rsid w:val="00FB198D"/>
    <w:rsid w:val="00FB1E65"/>
    <w:rsid w:val="00FB7A59"/>
    <w:rsid w:val="00FC0E15"/>
    <w:rsid w:val="00FC0E93"/>
    <w:rsid w:val="00FC22C3"/>
    <w:rsid w:val="00FC4ED1"/>
    <w:rsid w:val="00FC6902"/>
    <w:rsid w:val="00FD09E3"/>
    <w:rsid w:val="00FD0C38"/>
    <w:rsid w:val="00FD4656"/>
    <w:rsid w:val="00FD4BFD"/>
    <w:rsid w:val="00FD6A40"/>
    <w:rsid w:val="00FD7450"/>
    <w:rsid w:val="00FD7727"/>
    <w:rsid w:val="00FE0186"/>
    <w:rsid w:val="00FE0E0B"/>
    <w:rsid w:val="00FE457C"/>
    <w:rsid w:val="00FE5B72"/>
    <w:rsid w:val="00FF2FA5"/>
    <w:rsid w:val="00FF5DEB"/>
    <w:rsid w:val="00FF7F8E"/>
    <w:rsid w:val="1E4E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99"/>
    <w:rPr>
      <w:rFonts w:ascii="仿宋_GB2312" w:eastAsia="仿宋_GB2312"/>
      <w:sz w:val="30"/>
      <w:szCs w:val="20"/>
    </w:rPr>
  </w:style>
  <w:style w:type="paragraph" w:styleId="3">
    <w:name w:val="Body Text Indent"/>
    <w:basedOn w:val="1"/>
    <w:link w:val="30"/>
    <w:qFormat/>
    <w:uiPriority w:val="99"/>
    <w:pPr>
      <w:spacing w:after="120" w:line="120" w:lineRule="atLeast"/>
      <w:ind w:firstLine="660"/>
    </w:pPr>
    <w:rPr>
      <w:rFonts w:ascii="仿宋_GB2312" w:eastAsia="仿宋_GB2312"/>
      <w:sz w:val="32"/>
    </w:rPr>
  </w:style>
  <w:style w:type="paragraph" w:styleId="4">
    <w:name w:val="Plain Text"/>
    <w:basedOn w:val="1"/>
    <w:link w:val="25"/>
    <w:uiPriority w:val="0"/>
    <w:rPr>
      <w:rFonts w:ascii="宋体" w:hAnsi="Courier New" w:cs="Courier New"/>
      <w:szCs w:val="21"/>
    </w:rPr>
  </w:style>
  <w:style w:type="paragraph" w:styleId="5">
    <w:name w:val="Date"/>
    <w:basedOn w:val="1"/>
    <w:next w:val="1"/>
    <w:link w:val="40"/>
    <w:qFormat/>
    <w:uiPriority w:val="99"/>
    <w:rPr>
      <w:rFonts w:ascii="仿宋_GB2312" w:eastAsia="仿宋_GB2312"/>
      <w:sz w:val="32"/>
      <w:szCs w:val="20"/>
    </w:rPr>
  </w:style>
  <w:style w:type="paragraph" w:styleId="6">
    <w:name w:val="Body Text Indent 2"/>
    <w:basedOn w:val="1"/>
    <w:link w:val="43"/>
    <w:qFormat/>
    <w:uiPriority w:val="99"/>
    <w:pPr>
      <w:snapToGrid w:val="0"/>
      <w:ind w:left="540"/>
    </w:pPr>
    <w:rPr>
      <w:sz w:val="28"/>
      <w:szCs w:val="20"/>
    </w:rPr>
  </w:style>
  <w:style w:type="paragraph" w:styleId="7">
    <w:name w:val="Balloon Text"/>
    <w:basedOn w:val="1"/>
    <w:link w:val="24"/>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tabs>
        <w:tab w:val="center" w:pos="4153"/>
        <w:tab w:val="right" w:pos="8306"/>
      </w:tabs>
      <w:snapToGrid w:val="0"/>
      <w:jc w:val="center"/>
    </w:pPr>
    <w:rPr>
      <w:sz w:val="18"/>
      <w:szCs w:val="18"/>
    </w:rPr>
  </w:style>
  <w:style w:type="paragraph" w:styleId="10">
    <w:name w:val="Subtitle"/>
    <w:basedOn w:val="1"/>
    <w:next w:val="1"/>
    <w:link w:val="33"/>
    <w:qFormat/>
    <w:locked/>
    <w:uiPriority w:val="0"/>
    <w:pPr>
      <w:spacing w:before="240" w:after="60" w:line="312" w:lineRule="auto"/>
      <w:jc w:val="center"/>
      <w:outlineLvl w:val="1"/>
    </w:pPr>
    <w:rPr>
      <w:rFonts w:ascii="Cambria" w:hAnsi="Cambria"/>
      <w:b/>
      <w:bCs/>
      <w:kern w:val="28"/>
      <w:sz w:val="32"/>
      <w:szCs w:val="32"/>
    </w:rPr>
  </w:style>
  <w:style w:type="paragraph" w:styleId="11">
    <w:name w:val="footnote text"/>
    <w:basedOn w:val="1"/>
    <w:link w:val="28"/>
    <w:semiHidden/>
    <w:unhideWhenUsed/>
    <w:uiPriority w:val="99"/>
    <w:pPr>
      <w:snapToGrid w:val="0"/>
      <w:jc w:val="left"/>
    </w:pPr>
    <w:rPr>
      <w:sz w:val="18"/>
      <w:szCs w:val="18"/>
    </w:rPr>
  </w:style>
  <w:style w:type="paragraph" w:styleId="12">
    <w:name w:val="Body Text Indent 3"/>
    <w:basedOn w:val="1"/>
    <w:link w:val="42"/>
    <w:qFormat/>
    <w:uiPriority w:val="99"/>
    <w:pPr>
      <w:spacing w:beforeLines="50"/>
      <w:ind w:left="720"/>
    </w:pPr>
    <w:rPr>
      <w:rFonts w:eastAsia="楷体_GB2312"/>
      <w:sz w:val="24"/>
      <w:szCs w:val="20"/>
    </w:rPr>
  </w:style>
  <w:style w:type="paragraph" w:styleId="13">
    <w:name w:val="HTML Preformatted"/>
    <w:basedOn w:val="1"/>
    <w:link w:val="3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99"/>
    <w:pPr>
      <w:widowControl/>
      <w:spacing w:before="100" w:after="100"/>
      <w:jc w:val="left"/>
    </w:pPr>
    <w:rPr>
      <w:rFonts w:ascii="宋体" w:hAnsi="宋体"/>
      <w:kern w:val="0"/>
      <w:sz w:val="24"/>
      <w:szCs w:val="20"/>
    </w:rPr>
  </w:style>
  <w:style w:type="character" w:styleId="17">
    <w:name w:val="Strong"/>
    <w:basedOn w:val="16"/>
    <w:qFormat/>
    <w:locked/>
    <w:uiPriority w:val="99"/>
    <w:rPr>
      <w:rFonts w:cs="Times New Roman"/>
      <w:b/>
    </w:rPr>
  </w:style>
  <w:style w:type="character" w:styleId="18">
    <w:name w:val="page number"/>
    <w:basedOn w:val="16"/>
    <w:uiPriority w:val="99"/>
    <w:rPr>
      <w:rFonts w:cs="Times New Roman"/>
    </w:rPr>
  </w:style>
  <w:style w:type="character" w:styleId="19">
    <w:name w:val="FollowedHyperlink"/>
    <w:basedOn w:val="16"/>
    <w:qFormat/>
    <w:uiPriority w:val="99"/>
    <w:rPr>
      <w:rFonts w:cs="Times New Roman"/>
      <w:color w:val="800080"/>
      <w:u w:val="single"/>
    </w:rPr>
  </w:style>
  <w:style w:type="character" w:styleId="20">
    <w:name w:val="Hyperlink"/>
    <w:basedOn w:val="16"/>
    <w:qFormat/>
    <w:uiPriority w:val="99"/>
    <w:rPr>
      <w:rFonts w:cs="Times New Roman"/>
      <w:color w:val="0000FF"/>
      <w:u w:val="single"/>
    </w:rPr>
  </w:style>
  <w:style w:type="character" w:styleId="21">
    <w:name w:val="footnote reference"/>
    <w:basedOn w:val="16"/>
    <w:semiHidden/>
    <w:unhideWhenUsed/>
    <w:uiPriority w:val="99"/>
    <w:rPr>
      <w:vertAlign w:val="superscript"/>
    </w:rPr>
  </w:style>
  <w:style w:type="character" w:customStyle="1" w:styleId="22">
    <w:name w:val="页眉 Char"/>
    <w:basedOn w:val="16"/>
    <w:link w:val="9"/>
    <w:semiHidden/>
    <w:qFormat/>
    <w:locked/>
    <w:uiPriority w:val="99"/>
    <w:rPr>
      <w:rFonts w:ascii="Times New Roman" w:hAnsi="Times New Roman"/>
      <w:kern w:val="2"/>
      <w:sz w:val="18"/>
      <w:szCs w:val="18"/>
    </w:rPr>
  </w:style>
  <w:style w:type="character" w:customStyle="1" w:styleId="23">
    <w:name w:val="页脚 Char"/>
    <w:basedOn w:val="16"/>
    <w:link w:val="8"/>
    <w:locked/>
    <w:uiPriority w:val="99"/>
    <w:rPr>
      <w:rFonts w:ascii="Times New Roman" w:hAnsi="Times New Roman" w:eastAsia="宋体" w:cs="Times New Roman"/>
      <w:sz w:val="18"/>
      <w:szCs w:val="18"/>
    </w:rPr>
  </w:style>
  <w:style w:type="character" w:customStyle="1" w:styleId="24">
    <w:name w:val="批注框文本 Char"/>
    <w:basedOn w:val="16"/>
    <w:link w:val="7"/>
    <w:semiHidden/>
    <w:qFormat/>
    <w:locked/>
    <w:uiPriority w:val="99"/>
    <w:rPr>
      <w:rFonts w:ascii="Times New Roman" w:hAnsi="Times New Roman" w:cs="Times New Roman"/>
      <w:sz w:val="2"/>
    </w:rPr>
  </w:style>
  <w:style w:type="character" w:customStyle="1" w:styleId="25">
    <w:name w:val="纯文本 Char"/>
    <w:basedOn w:val="16"/>
    <w:link w:val="4"/>
    <w:locked/>
    <w:uiPriority w:val="0"/>
    <w:rPr>
      <w:rFonts w:ascii="宋体" w:hAnsi="Courier New" w:cs="Courier New"/>
      <w:sz w:val="21"/>
      <w:szCs w:val="21"/>
    </w:rPr>
  </w:style>
  <w:style w:type="paragraph" w:customStyle="1" w:styleId="26">
    <w:name w:val="Char"/>
    <w:basedOn w:val="1"/>
    <w:qFormat/>
    <w:uiPriority w:val="0"/>
    <w:pPr>
      <w:widowControl/>
      <w:spacing w:after="160" w:line="240" w:lineRule="exact"/>
      <w:jc w:val="left"/>
    </w:pPr>
    <w:rPr>
      <w:rFonts w:ascii="Verdana" w:hAnsi="Verdana" w:eastAsia="Times New Roman"/>
      <w:kern w:val="0"/>
      <w:sz w:val="20"/>
      <w:szCs w:val="20"/>
      <w:lang w:eastAsia="en-US"/>
    </w:rPr>
  </w:style>
  <w:style w:type="character" w:customStyle="1" w:styleId="27">
    <w:name w:val="content"/>
    <w:basedOn w:val="16"/>
    <w:uiPriority w:val="0"/>
  </w:style>
  <w:style w:type="character" w:customStyle="1" w:styleId="28">
    <w:name w:val="脚注文本 Char"/>
    <w:basedOn w:val="16"/>
    <w:link w:val="11"/>
    <w:semiHidden/>
    <w:qFormat/>
    <w:uiPriority w:val="99"/>
    <w:rPr>
      <w:rFonts w:ascii="Times New Roman" w:hAnsi="Times New Roman"/>
      <w:kern w:val="2"/>
      <w:sz w:val="18"/>
      <w:szCs w:val="18"/>
    </w:rPr>
  </w:style>
  <w:style w:type="character" w:customStyle="1" w:styleId="29">
    <w:name w:val="content1"/>
    <w:basedOn w:val="16"/>
    <w:uiPriority w:val="0"/>
    <w:rPr>
      <w:sz w:val="21"/>
      <w:szCs w:val="21"/>
    </w:rPr>
  </w:style>
  <w:style w:type="character" w:customStyle="1" w:styleId="30">
    <w:name w:val="正文文本缩进 Char"/>
    <w:basedOn w:val="16"/>
    <w:link w:val="3"/>
    <w:qFormat/>
    <w:uiPriority w:val="99"/>
    <w:rPr>
      <w:rFonts w:ascii="仿宋_GB2312" w:hAnsi="Times New Roman" w:eastAsia="仿宋_GB2312"/>
      <w:kern w:val="2"/>
      <w:sz w:val="32"/>
      <w:szCs w:val="24"/>
    </w:rPr>
  </w:style>
  <w:style w:type="paragraph" w:styleId="31">
    <w:name w:val="List Paragraph"/>
    <w:basedOn w:val="1"/>
    <w:qFormat/>
    <w:uiPriority w:val="99"/>
    <w:pPr>
      <w:ind w:firstLine="420" w:firstLineChars="200"/>
    </w:pPr>
    <w:rPr>
      <w:rFonts w:ascii="Calibri" w:hAnsi="Calibri" w:cs="Calibri"/>
      <w:szCs w:val="21"/>
    </w:rPr>
  </w:style>
  <w:style w:type="character" w:customStyle="1" w:styleId="32">
    <w:name w:val="HTML 预设格式 Char"/>
    <w:basedOn w:val="16"/>
    <w:link w:val="13"/>
    <w:qFormat/>
    <w:uiPriority w:val="99"/>
    <w:rPr>
      <w:rFonts w:ascii="宋体" w:hAnsi="宋体" w:cs="宋体"/>
      <w:sz w:val="24"/>
      <w:szCs w:val="24"/>
    </w:rPr>
  </w:style>
  <w:style w:type="character" w:customStyle="1" w:styleId="33">
    <w:name w:val="副标题 Char"/>
    <w:basedOn w:val="16"/>
    <w:link w:val="10"/>
    <w:qFormat/>
    <w:uiPriority w:val="0"/>
    <w:rPr>
      <w:rFonts w:ascii="Cambria" w:hAnsi="Cambria"/>
      <w:b/>
      <w:bCs/>
      <w:kern w:val="28"/>
      <w:sz w:val="32"/>
      <w:szCs w:val="32"/>
    </w:rPr>
  </w:style>
  <w:style w:type="character" w:customStyle="1" w:styleId="34">
    <w:name w:val="postal-code"/>
    <w:basedOn w:val="16"/>
    <w:qFormat/>
    <w:uiPriority w:val="99"/>
    <w:rPr>
      <w:rFonts w:cs="Times New Roman"/>
    </w:rPr>
  </w:style>
  <w:style w:type="character" w:customStyle="1" w:styleId="35">
    <w:name w:val="locality"/>
    <w:basedOn w:val="16"/>
    <w:qFormat/>
    <w:uiPriority w:val="99"/>
    <w:rPr>
      <w:rFonts w:cs="Times New Roman"/>
    </w:rPr>
  </w:style>
  <w:style w:type="character" w:customStyle="1" w:styleId="36">
    <w:name w:val="txt-black"/>
    <w:basedOn w:val="16"/>
    <w:qFormat/>
    <w:uiPriority w:val="99"/>
    <w:rPr>
      <w:rFonts w:cs="Times New Roman"/>
    </w:rPr>
  </w:style>
  <w:style w:type="character" w:customStyle="1" w:styleId="37">
    <w:name w:val="country-name"/>
    <w:basedOn w:val="16"/>
    <w:qFormat/>
    <w:uiPriority w:val="99"/>
    <w:rPr>
      <w:rFonts w:cs="Times New Roman"/>
    </w:rPr>
  </w:style>
  <w:style w:type="character" w:customStyle="1" w:styleId="38">
    <w:name w:val="Header Char"/>
    <w:qFormat/>
    <w:locked/>
    <w:uiPriority w:val="99"/>
    <w:rPr>
      <w:kern w:val="2"/>
      <w:sz w:val="18"/>
    </w:rPr>
  </w:style>
  <w:style w:type="character" w:customStyle="1" w:styleId="39">
    <w:name w:val="street-address"/>
    <w:basedOn w:val="16"/>
    <w:qFormat/>
    <w:uiPriority w:val="99"/>
    <w:rPr>
      <w:rFonts w:cs="Times New Roman"/>
    </w:rPr>
  </w:style>
  <w:style w:type="character" w:customStyle="1" w:styleId="40">
    <w:name w:val="日期 Char"/>
    <w:basedOn w:val="16"/>
    <w:link w:val="5"/>
    <w:qFormat/>
    <w:uiPriority w:val="99"/>
    <w:rPr>
      <w:rFonts w:ascii="仿宋_GB2312" w:hAnsi="Times New Roman" w:eastAsia="仿宋_GB2312"/>
      <w:kern w:val="2"/>
      <w:sz w:val="32"/>
    </w:rPr>
  </w:style>
  <w:style w:type="character" w:customStyle="1" w:styleId="41">
    <w:name w:val="正文文本 Char"/>
    <w:basedOn w:val="16"/>
    <w:link w:val="2"/>
    <w:qFormat/>
    <w:uiPriority w:val="99"/>
    <w:rPr>
      <w:rFonts w:ascii="仿宋_GB2312" w:hAnsi="Times New Roman" w:eastAsia="仿宋_GB2312"/>
      <w:kern w:val="2"/>
      <w:sz w:val="30"/>
    </w:rPr>
  </w:style>
  <w:style w:type="character" w:customStyle="1" w:styleId="42">
    <w:name w:val="正文文本缩进 3 Char"/>
    <w:basedOn w:val="16"/>
    <w:link w:val="12"/>
    <w:qFormat/>
    <w:uiPriority w:val="99"/>
    <w:rPr>
      <w:rFonts w:ascii="Times New Roman" w:hAnsi="Times New Roman" w:eastAsia="楷体_GB2312"/>
      <w:kern w:val="2"/>
      <w:sz w:val="24"/>
    </w:rPr>
  </w:style>
  <w:style w:type="character" w:customStyle="1" w:styleId="43">
    <w:name w:val="正文文本缩进 2 Char"/>
    <w:basedOn w:val="16"/>
    <w:link w:val="6"/>
    <w:qFormat/>
    <w:uiPriority w:val="99"/>
    <w:rPr>
      <w:rFonts w:ascii="Times New Roman" w:hAnsi="Times New Roman"/>
      <w:kern w:val="2"/>
      <w:sz w:val="28"/>
    </w:rPr>
  </w:style>
  <w:style w:type="paragraph" w:customStyle="1" w:styleId="44">
    <w:name w:val="报告正文"/>
    <w:qFormat/>
    <w:uiPriority w:val="0"/>
    <w:pPr>
      <w:ind w:firstLine="643"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4A08-88BB-426F-A7AA-28B52048D5ED}">
  <ds:schemaRefs/>
</ds:datastoreItem>
</file>

<file path=docProps/app.xml><?xml version="1.0" encoding="utf-8"?>
<Properties xmlns="http://schemas.openxmlformats.org/officeDocument/2006/extended-properties" xmlns:vt="http://schemas.openxmlformats.org/officeDocument/2006/docPropsVTypes">
  <Template>Normal.dotm</Template>
  <Company>Huatai Insurance Co., LTD.</Company>
  <Pages>4</Pages>
  <Words>382</Words>
  <Characters>2184</Characters>
  <Lines>18</Lines>
  <Paragraphs>5</Paragraphs>
  <TotalTime>0</TotalTime>
  <ScaleCrop>false</ScaleCrop>
  <LinksUpToDate>false</LinksUpToDate>
  <CharactersWithSpaces>2561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2015-07-07T03:01:00Z</dcterms:created>
  <dc:creator>raotingting</dc:creator>
  <cp:lastModifiedBy>彭云龙</cp:lastModifiedBy>
  <cp:lastPrinted>2015-07-21T05:32:00Z</cp:lastPrinted>
  <dcterms:modified xsi:type="dcterms:W3CDTF">2023-05-04T05:40:18Z</dcterms:modified>
  <dc:title>第期</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E09EB902DFF94BBD8588EFE5F646A13E_12</vt:lpwstr>
  </property>
</Properties>
</file>