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sz w:val="30"/>
          <w:szCs w:val="30"/>
        </w:rPr>
      </w:pPr>
      <w:bookmarkStart w:id="0" w:name="_Toc14848"/>
      <w:bookmarkStart w:id="1" w:name="_Toc409367938"/>
      <w:bookmarkStart w:id="2" w:name="_Toc31311"/>
      <w:bookmarkStart w:id="3" w:name="_Toc28904"/>
      <w:bookmarkStart w:id="4" w:name="_Toc19262"/>
      <w:bookmarkStart w:id="5" w:name="_Toc7655"/>
      <w:bookmarkStart w:id="6" w:name="_Toc12122"/>
      <w:r>
        <w:rPr>
          <w:rFonts w:hint="eastAsia" w:ascii="仿宋" w:hAnsi="仿宋" w:eastAsia="仿宋" w:cs="仿宋_GB2312"/>
          <w:sz w:val="30"/>
          <w:szCs w:val="30"/>
        </w:rPr>
        <w:t>规范附件1</w:t>
      </w:r>
    </w:p>
    <w:p>
      <w:pPr>
        <w:spacing w:line="560" w:lineRule="exact"/>
        <w:jc w:val="center"/>
        <w:rPr>
          <w:rFonts w:eastAsia="黑体"/>
          <w:sz w:val="72"/>
        </w:rPr>
      </w:pPr>
    </w:p>
    <w:p>
      <w:pPr>
        <w:spacing w:line="560" w:lineRule="exact"/>
        <w:jc w:val="center"/>
        <w:rPr>
          <w:rFonts w:eastAsia="黑体"/>
          <w:sz w:val="7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中国银保监会保险业监管数据标准化规范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（保险资产管理公司版）报送说明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sz w:val="30"/>
          <w:szCs w:val="30"/>
        </w:rPr>
        <w:t>202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</w:p>
    <w:p>
      <w:pPr>
        <w:spacing w:line="560" w:lineRule="exact"/>
        <w:ind w:firstLine="642" w:firstLineChars="200"/>
        <w:rPr>
          <w:rStyle w:val="10"/>
          <w:rFonts w:ascii="仿宋" w:hAnsi="仿宋" w:eastAsia="仿宋"/>
          <w:sz w:val="32"/>
          <w:szCs w:val="32"/>
        </w:rPr>
        <w:sectPr>
          <w:pgSz w:w="11906" w:h="16838"/>
          <w:pgMar w:top="2154" w:right="1474" w:bottom="1984" w:left="1587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Style w:val="10"/>
          <w:rFonts w:ascii="黑体" w:hAnsi="黑体" w:eastAsia="黑体" w:cs="仿宋_GB2312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 w:cs="仿宋_GB2312"/>
          <w:b w:val="0"/>
          <w:bCs/>
          <w:sz w:val="32"/>
          <w:szCs w:val="32"/>
        </w:rPr>
        <w:t>一、适用机构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在中华人民共和国境内依法设立的保险资产管理公司。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 w:cs="仿宋_GB2312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 w:cs="仿宋_GB2312"/>
          <w:b w:val="0"/>
          <w:bCs/>
          <w:sz w:val="32"/>
          <w:szCs w:val="32"/>
        </w:rPr>
        <w:t>二、数据结构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《中国银保监会保险业监管数据标准化规范（保险资产管理公司版）》（以下简称《规范》）包括7个监管主题域、71张数据表、1884个数据项。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 w:cs="仿宋_GB2312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 w:cs="仿宋_GB2312"/>
          <w:b w:val="0"/>
          <w:bCs/>
          <w:sz w:val="32"/>
          <w:szCs w:val="32"/>
        </w:rPr>
        <w:t>三、数据来源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保险资产管理公司根据《规范》要求，从本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相关信息系统中获取数据，包括但不限于以下信息系统：核心业务系统、财务系统、估值系统、交易系统、TA系统、风控系统、产品系统、人力资源系统等。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现有信息系统无法满足数据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报送要</w:t>
      </w:r>
      <w:r>
        <w:rPr>
          <w:rFonts w:hint="eastAsia" w:ascii="仿宋_GB2312" w:hAnsi="仿宋_GB2312" w:eastAsia="仿宋_GB2312" w:cs="仿宋_GB2312"/>
          <w:sz w:val="32"/>
          <w:szCs w:val="32"/>
        </w:rPr>
        <w:t>求时，应及时采取措施，完善信息系统建设，并制定具体工作方案计划，以逐步达到数据报送要求。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 w:cs="仿宋_GB2312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 w:cs="仿宋_GB2312"/>
          <w:b w:val="0"/>
          <w:bCs/>
          <w:sz w:val="32"/>
          <w:szCs w:val="32"/>
        </w:rPr>
        <w:t>四、数据采集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保险资产管理公司首次按本《规范》集中报送数据时，</w:t>
      </w:r>
      <w:bookmarkStart w:id="7" w:name="_Hlk86223123"/>
      <w:r>
        <w:rPr>
          <w:rFonts w:hint="eastAsia" w:ascii="仿宋_GB2312" w:hAnsi="仿宋_GB2312" w:eastAsia="仿宋_GB2312" w:cs="仿宋_GB2312"/>
          <w:sz w:val="32"/>
          <w:szCs w:val="32"/>
        </w:rPr>
        <w:t>员工问责信息表、董监高处罚信息表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、总账会计全科目表、会计凭证信息表、自有资金投资账户科目余额表、自有资金投资账户会计凭证明细表、自有资金投资交易流水表、受托投资账户科目余额表、受托投资账户会计凭证明细表、受托投资交易流水表、产品账户科目余额表、产品账户会计凭证明细表、产品交易流水表、</w:t>
      </w:r>
      <w:bookmarkStart w:id="8" w:name="_Hlk86223145"/>
      <w:r>
        <w:rPr>
          <w:rFonts w:hint="eastAsia" w:ascii="仿宋_GB2312" w:hAnsi="仿宋_GB2312" w:eastAsia="仿宋_GB2312" w:cs="仿宋_GB2312"/>
          <w:sz w:val="32"/>
          <w:szCs w:val="32"/>
        </w:rPr>
        <w:t>关联交易明细表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按照通知定义的时间范围采集具体时间段内所有数据。其他数据表采集时间段内所有发生业务及存续业务在采集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时间点上的状态，不追溯采集时间段前已结清业务在采集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时间点上的状态。例如，集中采集时间段为2017年1月1日至2020年12月31日，则2017年到期终止的投资产品应当报送一条状态为“到期终止”的记录，而2016年到期终止的投资产品则不在采集范围内。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对于《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0"/>
          <w:szCs w:val="30"/>
        </w:rPr>
        <w:t>》中已经列出枚举值的数据项，严格依照标准中已有的分类上报。同一数据项内容需在各期数据和各表间保持一致。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必填数据项作为必填项对待，确实无法对应的数据项应报监管部门备案，并参照以下处理：①未开办此类业务，则无须报送；②已经开办此类业务，但需要一次性录入索引类数据，应当在实施过程中另行建表维护或对源系统进行技术改造。</w:t>
      </w:r>
    </w:p>
    <w:p>
      <w:pPr>
        <w:spacing w:line="560" w:lineRule="exact"/>
        <w:ind w:firstLine="642" w:firstLineChars="200"/>
        <w:rPr>
          <w:rStyle w:val="10"/>
          <w:rFonts w:ascii="黑体" w:hAnsi="黑体" w:eastAsia="黑体" w:cs="仿宋_GB2312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五、</w:t>
      </w:r>
      <w:r>
        <w:rPr>
          <w:rStyle w:val="10"/>
          <w:rFonts w:hint="eastAsia" w:ascii="黑体" w:hAnsi="黑体" w:eastAsia="黑体" w:cs="仿宋_GB2312"/>
          <w:b w:val="0"/>
          <w:bCs/>
          <w:sz w:val="32"/>
          <w:szCs w:val="32"/>
        </w:rPr>
        <w:t>机构自定义数据项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由于保险资产管理公司业务和信息系统的差异性，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中一些数据项填报要求注明由保险资产管理公司自定义，此类数据项应严格依照相关数据元说明中要求的数据格式填报。注意使用中文描述，避免使用英文或代码表示。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bCs/>
          <w:sz w:val="32"/>
          <w:szCs w:val="32"/>
        </w:rPr>
        <w:t>六、敏感信息处理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对于隐私数据均在数据项说明栏内做了注解，分为“隐私，暂不取”、“隐私，保险资产管理公司变形”两种情况。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（一）对于“隐私，暂不取”数据，报送时按照以下规则进行处理：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1.个人电话号码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报送默认值“隐私”。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2.出生日期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报送默认值99991231。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（二）对于“隐私，保险资产管理公司变形”数据项，报送时按照以下规则进行变形：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1.个人姓名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（1）个人姓名（含自然人关联方、持有人、融资人和员工姓名），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有限暴露方式的脱敏处理，只保留最后一个字或最后一个单词；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（2）账户名称（含账户所属人、持有人账户名称）包含个人姓名的，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有限暴露方式的脱敏处理，只保留最后一个字或最后一个单词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（3）自然人股东、法定代表人、实际控制人姓名不变形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9" w:name="_GoBack"/>
      <w:bookmarkEnd w:id="9"/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2.个人身份证件号码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（1）取个人姓名的第一个汉字（如果姓名是外文，取其UTF-8编码的前3个字节），后接身份证件号码，形成一个字符串（UTF-8编码，以居民身份证号码为例，为21字节）；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（2）取上述字符串的SM3杂凑值，为64字节的字符串（小写形式表示）。SM3是GB/T 32905-2016信息安全技术SM3密码杂凑算法中定义的密码杂凑算法；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（3）取身份证件号码UTF-8编码的前6个字节，后接上述SM3杂凑值，得到70字节的字符串，为脱敏的最终值。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姓名：张三，18位公民身份号码：33010219801212031X，变形后：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330102d204dec41ce67f4bb643b8a058fbfdfb0fcc962080c0209242a5bb5d436187c3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姓名：李四，15位公民身份号码：330102801212031，变形后：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330102e1fe0f51290d6a8f1cc2dee8d35aadeaa898e8bab6b6bb1a4416d004fd5c6067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姓名：李四，护照：E12345678，变形后：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E12345737e5c8e7d1d97cb1ecc007a2cb1b09ff42c05addbb0cf8e2cf84c5b40d705cb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3.包含个人身份证件号码的相关编号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若身份证件号码中有英文字母，应先统一转换成大写英文字母，然后将身份证件号码部分用身份证件号码全文UTF-8编码的SM3杂凑值替换，其余部分不变。</w:t>
      </w:r>
    </w:p>
    <w:p>
      <w:pPr>
        <w:numPr>
          <w:ilvl w:val="-1"/>
          <w:numId w:val="0"/>
        </w:numPr>
        <w:spacing w:line="560" w:lineRule="exact"/>
        <w:ind w:firstLine="642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涉密信息处理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</w:rPr>
        <w:t>涉密业务的相关数据不在本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《规范》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</w:rPr>
        <w:t>的报送范围内。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bCs/>
          <w:sz w:val="32"/>
          <w:szCs w:val="32"/>
          <w:lang w:eastAsia="zh-CN"/>
        </w:rPr>
        <w:t>八</w:t>
      </w:r>
      <w:r>
        <w:rPr>
          <w:rStyle w:val="10"/>
          <w:rFonts w:hint="eastAsia" w:ascii="黑体" w:hAnsi="黑体" w:eastAsia="黑体"/>
          <w:b w:val="0"/>
          <w:bCs/>
          <w:sz w:val="32"/>
          <w:szCs w:val="32"/>
        </w:rPr>
        <w:t>、数据约束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数据结构备注中主键为监管部门作为唯一性约束的参考条件，含有多个主键的，表示联合主键的参考，并不作为主外键唯一性约束的条件，可根据数据实际使用用途情况做出调整。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/>
          <w:b w:val="0"/>
          <w:bCs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bCs/>
          <w:sz w:val="32"/>
          <w:szCs w:val="32"/>
          <w:lang w:eastAsia="zh-CN"/>
        </w:rPr>
        <w:t>九</w:t>
      </w:r>
      <w:r>
        <w:rPr>
          <w:rStyle w:val="10"/>
          <w:rFonts w:hint="eastAsia" w:ascii="黑体" w:hAnsi="黑体" w:eastAsia="黑体"/>
          <w:b w:val="0"/>
          <w:bCs/>
          <w:sz w:val="32"/>
          <w:szCs w:val="32"/>
        </w:rPr>
        <w:t>、数据格式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报送数据为字符串，则字符串中不能包含\n、\r、双引号等控制字符和转义字符，且字符串首尾不能包含空格。报送数据若为浮点数，则必须为123.789形式，前后不可补0、补+号。报送数据若为整数，则必须为123456形式，数值前不可补0、补+号，数值后不能带小数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若报送数据内容为外文的，除外籍人员姓名、机构名称外，应统一转换成中文后报送。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金额类数据项如无特殊说明，均以元为单位填报。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仿宋_GB2312"/>
          <w:sz w:val="32"/>
          <w:szCs w:val="32"/>
        </w:rPr>
        <w:t>、数据质量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资产管理公司是数据质量的责任主体。各公司应当采取必要的措施来保证数据质量。《规范》同步印发的检核规则，只对最基础的格式进行校验，目的是保证数据能正常入库。数据校验通过并不代表所报送的数据没有质量问题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仿宋_GB2312"/>
          <w:sz w:val="32"/>
          <w:szCs w:val="32"/>
        </w:rPr>
        <w:t>、数据分层存储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保险资产管理公司在向银保监会报送数据的同时，应在本地存储一份备份数据。存至本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的数据要单独存放、隔离管理，并建立安全可靠的传输通道和保障机制，以支撑银保监会数据调阅与应用。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该备份数据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，未经银保监会许可，不得删改。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_GB2312"/>
          <w:sz w:val="32"/>
          <w:szCs w:val="32"/>
        </w:rPr>
        <w:t>、标准引用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列标准中的条款通过本规范的引用而成为本规范的条款。凡是注日期的引用文件，其随后所有的修改单（不包括勘误的内容）或修订版均不适用于本规范，然而，鼓励各方研究是否可使用这些文件的最新版本。凡是不注日期的引用文件，其最新版本适用于本规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ISO/IEC 10646 Information Technology -- Universal Coded Character Set (UCS)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32100-2015 法人和其他组织统一社会信用代码编码规则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11714-1997 全国组织机构代码编制规则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11643-1999 公民身份号码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4754 国民经济行业分类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12406-2008 表示货币和资金的代码（ISO 4217:2001，IDT）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2659-2000 世界各国和地区名称代码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2260-2017 中华人民共和国行政区划代码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3304-1991 中国各民族名称的罗马字母拼写法和代码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yellow"/>
        </w:rPr>
      </w:pPr>
    </w:p>
    <w:p>
      <w:pPr>
        <w:spacing w:line="560" w:lineRule="exact"/>
        <w:ind w:firstLine="482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Cs w:val="2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XW5UtAAAAAFAQAADwAAAAAAAAABACAA&#10;AAA4AAAAZHJzL2Rvd25yZXYueG1sUEsBAhQAFAAAAAgAh07iQJ2/2SH/AQAA+gMAAA4AAAAAAAAA&#10;AQAgAAAAN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Cs w:val="2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Cs w:val="21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Cs w:val="21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4E2681"/>
    <w:rsid w:val="000002D0"/>
    <w:rsid w:val="00016876"/>
    <w:rsid w:val="00016CAD"/>
    <w:rsid w:val="00024F97"/>
    <w:rsid w:val="0003730C"/>
    <w:rsid w:val="000433E5"/>
    <w:rsid w:val="00054086"/>
    <w:rsid w:val="0006203D"/>
    <w:rsid w:val="00090A9C"/>
    <w:rsid w:val="000938E1"/>
    <w:rsid w:val="000A1C41"/>
    <w:rsid w:val="000A4FCD"/>
    <w:rsid w:val="000B3234"/>
    <w:rsid w:val="000B4C97"/>
    <w:rsid w:val="000C0DCF"/>
    <w:rsid w:val="000C2E85"/>
    <w:rsid w:val="000E29C5"/>
    <w:rsid w:val="000E5FE2"/>
    <w:rsid w:val="000E7161"/>
    <w:rsid w:val="00104242"/>
    <w:rsid w:val="00106A8B"/>
    <w:rsid w:val="00113F85"/>
    <w:rsid w:val="00114B5C"/>
    <w:rsid w:val="00120A08"/>
    <w:rsid w:val="00120FCE"/>
    <w:rsid w:val="001237B7"/>
    <w:rsid w:val="0012666B"/>
    <w:rsid w:val="00140508"/>
    <w:rsid w:val="00166649"/>
    <w:rsid w:val="001837E7"/>
    <w:rsid w:val="001841C8"/>
    <w:rsid w:val="001C5D73"/>
    <w:rsid w:val="001E29E4"/>
    <w:rsid w:val="001E77FE"/>
    <w:rsid w:val="00204F22"/>
    <w:rsid w:val="002202A9"/>
    <w:rsid w:val="00221DC1"/>
    <w:rsid w:val="00227D37"/>
    <w:rsid w:val="00231885"/>
    <w:rsid w:val="0024601A"/>
    <w:rsid w:val="002A1D2F"/>
    <w:rsid w:val="002B003F"/>
    <w:rsid w:val="002B1BE1"/>
    <w:rsid w:val="002C0BED"/>
    <w:rsid w:val="002D04A3"/>
    <w:rsid w:val="002D66FE"/>
    <w:rsid w:val="002D6CAB"/>
    <w:rsid w:val="002E1A38"/>
    <w:rsid w:val="003056D5"/>
    <w:rsid w:val="00313C18"/>
    <w:rsid w:val="00316977"/>
    <w:rsid w:val="00325A07"/>
    <w:rsid w:val="003352B8"/>
    <w:rsid w:val="003356BA"/>
    <w:rsid w:val="003519C4"/>
    <w:rsid w:val="00356DA9"/>
    <w:rsid w:val="003617AB"/>
    <w:rsid w:val="0036320E"/>
    <w:rsid w:val="00375100"/>
    <w:rsid w:val="003817E8"/>
    <w:rsid w:val="00391B52"/>
    <w:rsid w:val="0039227B"/>
    <w:rsid w:val="0039598E"/>
    <w:rsid w:val="003A2C66"/>
    <w:rsid w:val="003A5F41"/>
    <w:rsid w:val="003B05A7"/>
    <w:rsid w:val="003B0FC9"/>
    <w:rsid w:val="003B1A12"/>
    <w:rsid w:val="003B65A9"/>
    <w:rsid w:val="003D54C1"/>
    <w:rsid w:val="003E08F1"/>
    <w:rsid w:val="003E32A7"/>
    <w:rsid w:val="003F3B71"/>
    <w:rsid w:val="00415003"/>
    <w:rsid w:val="0041779E"/>
    <w:rsid w:val="0044312A"/>
    <w:rsid w:val="0044505B"/>
    <w:rsid w:val="00447C4E"/>
    <w:rsid w:val="004507E7"/>
    <w:rsid w:val="00457F41"/>
    <w:rsid w:val="00461940"/>
    <w:rsid w:val="0046386F"/>
    <w:rsid w:val="00466A7E"/>
    <w:rsid w:val="00471B10"/>
    <w:rsid w:val="00491E19"/>
    <w:rsid w:val="00497A04"/>
    <w:rsid w:val="004C3E87"/>
    <w:rsid w:val="004C6CD5"/>
    <w:rsid w:val="004D2BBA"/>
    <w:rsid w:val="004E088F"/>
    <w:rsid w:val="00503310"/>
    <w:rsid w:val="0050419A"/>
    <w:rsid w:val="0050529E"/>
    <w:rsid w:val="00514E1D"/>
    <w:rsid w:val="00523D11"/>
    <w:rsid w:val="00526E8A"/>
    <w:rsid w:val="0054062F"/>
    <w:rsid w:val="00581EA8"/>
    <w:rsid w:val="00594E45"/>
    <w:rsid w:val="005C0665"/>
    <w:rsid w:val="005C4F3D"/>
    <w:rsid w:val="005E159C"/>
    <w:rsid w:val="006010A0"/>
    <w:rsid w:val="00605EEC"/>
    <w:rsid w:val="0061111C"/>
    <w:rsid w:val="0062639A"/>
    <w:rsid w:val="00635C64"/>
    <w:rsid w:val="006450F4"/>
    <w:rsid w:val="0064799B"/>
    <w:rsid w:val="00653070"/>
    <w:rsid w:val="00655A1E"/>
    <w:rsid w:val="0067570C"/>
    <w:rsid w:val="00680F7B"/>
    <w:rsid w:val="006859BB"/>
    <w:rsid w:val="00691196"/>
    <w:rsid w:val="00697820"/>
    <w:rsid w:val="006A0C2D"/>
    <w:rsid w:val="006A65F5"/>
    <w:rsid w:val="006C2DFE"/>
    <w:rsid w:val="006D69CC"/>
    <w:rsid w:val="006E7EED"/>
    <w:rsid w:val="0070436A"/>
    <w:rsid w:val="007338BB"/>
    <w:rsid w:val="00735343"/>
    <w:rsid w:val="00743C2B"/>
    <w:rsid w:val="00743F09"/>
    <w:rsid w:val="007450B3"/>
    <w:rsid w:val="00751083"/>
    <w:rsid w:val="007630F8"/>
    <w:rsid w:val="0077797E"/>
    <w:rsid w:val="00777CE4"/>
    <w:rsid w:val="0078452B"/>
    <w:rsid w:val="007862B6"/>
    <w:rsid w:val="007A1081"/>
    <w:rsid w:val="007C69B8"/>
    <w:rsid w:val="007D1C97"/>
    <w:rsid w:val="007D243E"/>
    <w:rsid w:val="007D442D"/>
    <w:rsid w:val="007E24BC"/>
    <w:rsid w:val="007E36C8"/>
    <w:rsid w:val="00800561"/>
    <w:rsid w:val="00803CD9"/>
    <w:rsid w:val="008048B5"/>
    <w:rsid w:val="0080491E"/>
    <w:rsid w:val="008073E8"/>
    <w:rsid w:val="008106AB"/>
    <w:rsid w:val="008157E3"/>
    <w:rsid w:val="00821591"/>
    <w:rsid w:val="008243B9"/>
    <w:rsid w:val="008365E9"/>
    <w:rsid w:val="008419C0"/>
    <w:rsid w:val="00844B48"/>
    <w:rsid w:val="00856953"/>
    <w:rsid w:val="00860DE1"/>
    <w:rsid w:val="00872D9B"/>
    <w:rsid w:val="008A7B6C"/>
    <w:rsid w:val="008B32C6"/>
    <w:rsid w:val="008C203E"/>
    <w:rsid w:val="008C49E7"/>
    <w:rsid w:val="008C77D7"/>
    <w:rsid w:val="008D20C4"/>
    <w:rsid w:val="008D56B0"/>
    <w:rsid w:val="008E6AB7"/>
    <w:rsid w:val="008F125F"/>
    <w:rsid w:val="008F647A"/>
    <w:rsid w:val="0090136B"/>
    <w:rsid w:val="0090665E"/>
    <w:rsid w:val="00912CE1"/>
    <w:rsid w:val="00916508"/>
    <w:rsid w:val="00923051"/>
    <w:rsid w:val="00924C26"/>
    <w:rsid w:val="009272CD"/>
    <w:rsid w:val="009273CC"/>
    <w:rsid w:val="00933941"/>
    <w:rsid w:val="009416DF"/>
    <w:rsid w:val="009425B9"/>
    <w:rsid w:val="00946AA6"/>
    <w:rsid w:val="009664C7"/>
    <w:rsid w:val="0097586F"/>
    <w:rsid w:val="00980BDD"/>
    <w:rsid w:val="009A59C4"/>
    <w:rsid w:val="009B018F"/>
    <w:rsid w:val="009B517A"/>
    <w:rsid w:val="009B61C7"/>
    <w:rsid w:val="009C4487"/>
    <w:rsid w:val="009C7704"/>
    <w:rsid w:val="009D5174"/>
    <w:rsid w:val="009E0F6F"/>
    <w:rsid w:val="009E172B"/>
    <w:rsid w:val="009E4401"/>
    <w:rsid w:val="009F1DDF"/>
    <w:rsid w:val="009F2D86"/>
    <w:rsid w:val="00A00BDB"/>
    <w:rsid w:val="00A02C7C"/>
    <w:rsid w:val="00A07823"/>
    <w:rsid w:val="00A12D17"/>
    <w:rsid w:val="00A203E8"/>
    <w:rsid w:val="00A22542"/>
    <w:rsid w:val="00A233E8"/>
    <w:rsid w:val="00A2717F"/>
    <w:rsid w:val="00A44DBD"/>
    <w:rsid w:val="00A81660"/>
    <w:rsid w:val="00A95465"/>
    <w:rsid w:val="00AB11AB"/>
    <w:rsid w:val="00AB3C07"/>
    <w:rsid w:val="00AC1803"/>
    <w:rsid w:val="00AD18BF"/>
    <w:rsid w:val="00AD41A3"/>
    <w:rsid w:val="00AE0540"/>
    <w:rsid w:val="00AE1D48"/>
    <w:rsid w:val="00AE55CB"/>
    <w:rsid w:val="00AF3F3E"/>
    <w:rsid w:val="00AF69A2"/>
    <w:rsid w:val="00B10FFB"/>
    <w:rsid w:val="00B119A7"/>
    <w:rsid w:val="00B11DD8"/>
    <w:rsid w:val="00B13007"/>
    <w:rsid w:val="00B13E45"/>
    <w:rsid w:val="00B37E76"/>
    <w:rsid w:val="00B40FFE"/>
    <w:rsid w:val="00B43DAA"/>
    <w:rsid w:val="00B64700"/>
    <w:rsid w:val="00B6509B"/>
    <w:rsid w:val="00B652A8"/>
    <w:rsid w:val="00B67ED0"/>
    <w:rsid w:val="00B83E37"/>
    <w:rsid w:val="00BA7AF0"/>
    <w:rsid w:val="00BB68D6"/>
    <w:rsid w:val="00BC5F4C"/>
    <w:rsid w:val="00BD4C20"/>
    <w:rsid w:val="00BD5931"/>
    <w:rsid w:val="00BF7C5E"/>
    <w:rsid w:val="00C01597"/>
    <w:rsid w:val="00C17217"/>
    <w:rsid w:val="00C212A8"/>
    <w:rsid w:val="00C36E6F"/>
    <w:rsid w:val="00C50255"/>
    <w:rsid w:val="00C57989"/>
    <w:rsid w:val="00C66419"/>
    <w:rsid w:val="00C829D3"/>
    <w:rsid w:val="00C83F99"/>
    <w:rsid w:val="00CA38A1"/>
    <w:rsid w:val="00CA7031"/>
    <w:rsid w:val="00CB7AAE"/>
    <w:rsid w:val="00CD652F"/>
    <w:rsid w:val="00CE39C2"/>
    <w:rsid w:val="00D206EF"/>
    <w:rsid w:val="00D22041"/>
    <w:rsid w:val="00D245DD"/>
    <w:rsid w:val="00D24E81"/>
    <w:rsid w:val="00D25597"/>
    <w:rsid w:val="00D347BA"/>
    <w:rsid w:val="00D35AA6"/>
    <w:rsid w:val="00D364F0"/>
    <w:rsid w:val="00D47DCB"/>
    <w:rsid w:val="00D604F2"/>
    <w:rsid w:val="00D6346F"/>
    <w:rsid w:val="00D701FA"/>
    <w:rsid w:val="00D71019"/>
    <w:rsid w:val="00D73299"/>
    <w:rsid w:val="00D73CEE"/>
    <w:rsid w:val="00D74537"/>
    <w:rsid w:val="00D811B7"/>
    <w:rsid w:val="00D82DB8"/>
    <w:rsid w:val="00D91089"/>
    <w:rsid w:val="00D92A13"/>
    <w:rsid w:val="00D94D10"/>
    <w:rsid w:val="00DA4D2C"/>
    <w:rsid w:val="00DA523D"/>
    <w:rsid w:val="00DB283E"/>
    <w:rsid w:val="00DB6B40"/>
    <w:rsid w:val="00DD6C22"/>
    <w:rsid w:val="00DE64F5"/>
    <w:rsid w:val="00DE6CD8"/>
    <w:rsid w:val="00DF053F"/>
    <w:rsid w:val="00E06083"/>
    <w:rsid w:val="00E10062"/>
    <w:rsid w:val="00E114CF"/>
    <w:rsid w:val="00E314A1"/>
    <w:rsid w:val="00E32851"/>
    <w:rsid w:val="00E539EB"/>
    <w:rsid w:val="00E56E7C"/>
    <w:rsid w:val="00E57E8E"/>
    <w:rsid w:val="00E60495"/>
    <w:rsid w:val="00E763EF"/>
    <w:rsid w:val="00E95C04"/>
    <w:rsid w:val="00EB2D18"/>
    <w:rsid w:val="00EB4640"/>
    <w:rsid w:val="00EC31C2"/>
    <w:rsid w:val="00EC5144"/>
    <w:rsid w:val="00ED3609"/>
    <w:rsid w:val="00EE4EE5"/>
    <w:rsid w:val="00EF081E"/>
    <w:rsid w:val="00EF3D5E"/>
    <w:rsid w:val="00F023C0"/>
    <w:rsid w:val="00F1329A"/>
    <w:rsid w:val="00F1568E"/>
    <w:rsid w:val="00F206C7"/>
    <w:rsid w:val="00F22AC8"/>
    <w:rsid w:val="00F464B1"/>
    <w:rsid w:val="00F51AB3"/>
    <w:rsid w:val="00F56749"/>
    <w:rsid w:val="00F57ED2"/>
    <w:rsid w:val="00F7296C"/>
    <w:rsid w:val="00F74426"/>
    <w:rsid w:val="00F77EDF"/>
    <w:rsid w:val="00F81E97"/>
    <w:rsid w:val="00F8727B"/>
    <w:rsid w:val="00FA3387"/>
    <w:rsid w:val="00FB10D5"/>
    <w:rsid w:val="00FB3AE0"/>
    <w:rsid w:val="00FB6FD0"/>
    <w:rsid w:val="00FD15F2"/>
    <w:rsid w:val="00FD49CF"/>
    <w:rsid w:val="00FE694B"/>
    <w:rsid w:val="01A96E84"/>
    <w:rsid w:val="01B94540"/>
    <w:rsid w:val="020D00EB"/>
    <w:rsid w:val="0241666B"/>
    <w:rsid w:val="02C1163D"/>
    <w:rsid w:val="042C0C2D"/>
    <w:rsid w:val="04C04651"/>
    <w:rsid w:val="04CF6D53"/>
    <w:rsid w:val="054C029E"/>
    <w:rsid w:val="057F2D42"/>
    <w:rsid w:val="05861E9A"/>
    <w:rsid w:val="05BA713A"/>
    <w:rsid w:val="073E4FCD"/>
    <w:rsid w:val="074626F4"/>
    <w:rsid w:val="080E13C8"/>
    <w:rsid w:val="08C5036F"/>
    <w:rsid w:val="09717152"/>
    <w:rsid w:val="098B1786"/>
    <w:rsid w:val="0A31672A"/>
    <w:rsid w:val="0A7573CC"/>
    <w:rsid w:val="0B38479D"/>
    <w:rsid w:val="0B541E14"/>
    <w:rsid w:val="0BB32E87"/>
    <w:rsid w:val="0BB53BB2"/>
    <w:rsid w:val="0BD1724F"/>
    <w:rsid w:val="0C8D5E0A"/>
    <w:rsid w:val="0D11352C"/>
    <w:rsid w:val="0FFB1887"/>
    <w:rsid w:val="11351637"/>
    <w:rsid w:val="11E04A6F"/>
    <w:rsid w:val="11E53653"/>
    <w:rsid w:val="12617EA5"/>
    <w:rsid w:val="12A96F8A"/>
    <w:rsid w:val="12C83CC1"/>
    <w:rsid w:val="133E5660"/>
    <w:rsid w:val="135D79C9"/>
    <w:rsid w:val="13D65901"/>
    <w:rsid w:val="14F62392"/>
    <w:rsid w:val="1530624D"/>
    <w:rsid w:val="163F5B13"/>
    <w:rsid w:val="17146CFF"/>
    <w:rsid w:val="17C12EBE"/>
    <w:rsid w:val="1957359F"/>
    <w:rsid w:val="1A4E57F7"/>
    <w:rsid w:val="1AC918C5"/>
    <w:rsid w:val="1B984988"/>
    <w:rsid w:val="1C505397"/>
    <w:rsid w:val="1CB203BA"/>
    <w:rsid w:val="1CDA7935"/>
    <w:rsid w:val="1D571EEE"/>
    <w:rsid w:val="1E9359F9"/>
    <w:rsid w:val="1EC10CA5"/>
    <w:rsid w:val="1F2E3638"/>
    <w:rsid w:val="1F305052"/>
    <w:rsid w:val="1F73002C"/>
    <w:rsid w:val="20570007"/>
    <w:rsid w:val="20E97670"/>
    <w:rsid w:val="21995CA3"/>
    <w:rsid w:val="21BA52BB"/>
    <w:rsid w:val="24186122"/>
    <w:rsid w:val="25500CB6"/>
    <w:rsid w:val="25F437C4"/>
    <w:rsid w:val="2669260E"/>
    <w:rsid w:val="26B83EE8"/>
    <w:rsid w:val="290F5538"/>
    <w:rsid w:val="29A00675"/>
    <w:rsid w:val="29B437CA"/>
    <w:rsid w:val="29CA17BC"/>
    <w:rsid w:val="2A5761B0"/>
    <w:rsid w:val="2AB40FCF"/>
    <w:rsid w:val="2BC15A06"/>
    <w:rsid w:val="2BC244B5"/>
    <w:rsid w:val="2C9F7F1C"/>
    <w:rsid w:val="2EB63986"/>
    <w:rsid w:val="2EFD7A4A"/>
    <w:rsid w:val="2F7C3F2B"/>
    <w:rsid w:val="30BF5F2F"/>
    <w:rsid w:val="318170F1"/>
    <w:rsid w:val="31C4340A"/>
    <w:rsid w:val="323632FE"/>
    <w:rsid w:val="323C2143"/>
    <w:rsid w:val="32491FE1"/>
    <w:rsid w:val="32A602D6"/>
    <w:rsid w:val="32C32A22"/>
    <w:rsid w:val="32D945E1"/>
    <w:rsid w:val="33126FD8"/>
    <w:rsid w:val="33435682"/>
    <w:rsid w:val="33D025FE"/>
    <w:rsid w:val="345D14FB"/>
    <w:rsid w:val="35213843"/>
    <w:rsid w:val="3540552A"/>
    <w:rsid w:val="357A29AF"/>
    <w:rsid w:val="35BD51FD"/>
    <w:rsid w:val="35FB1568"/>
    <w:rsid w:val="36CD33E9"/>
    <w:rsid w:val="3864103B"/>
    <w:rsid w:val="388E59FF"/>
    <w:rsid w:val="38E602F7"/>
    <w:rsid w:val="38E64220"/>
    <w:rsid w:val="3A3D2F3F"/>
    <w:rsid w:val="3A755A90"/>
    <w:rsid w:val="3A820021"/>
    <w:rsid w:val="3A934575"/>
    <w:rsid w:val="3AF37FE8"/>
    <w:rsid w:val="3B3D50F8"/>
    <w:rsid w:val="3B623D8B"/>
    <w:rsid w:val="3B8B0928"/>
    <w:rsid w:val="3D96095B"/>
    <w:rsid w:val="3DE309ED"/>
    <w:rsid w:val="3E61771E"/>
    <w:rsid w:val="3EB73267"/>
    <w:rsid w:val="3ED466B9"/>
    <w:rsid w:val="3EDC152C"/>
    <w:rsid w:val="3F0567C5"/>
    <w:rsid w:val="3F4D148D"/>
    <w:rsid w:val="408422AB"/>
    <w:rsid w:val="416220F5"/>
    <w:rsid w:val="41B3398A"/>
    <w:rsid w:val="424170D8"/>
    <w:rsid w:val="43A35541"/>
    <w:rsid w:val="448F499C"/>
    <w:rsid w:val="44B71859"/>
    <w:rsid w:val="44D5493B"/>
    <w:rsid w:val="459A78C1"/>
    <w:rsid w:val="475C74F4"/>
    <w:rsid w:val="47E140BD"/>
    <w:rsid w:val="48A564F0"/>
    <w:rsid w:val="48C939A6"/>
    <w:rsid w:val="4A703A6E"/>
    <w:rsid w:val="4AF80F27"/>
    <w:rsid w:val="4B475068"/>
    <w:rsid w:val="4CEA6C37"/>
    <w:rsid w:val="4D1A2642"/>
    <w:rsid w:val="4D90127E"/>
    <w:rsid w:val="4FE56ECA"/>
    <w:rsid w:val="50155A95"/>
    <w:rsid w:val="50914467"/>
    <w:rsid w:val="512602D5"/>
    <w:rsid w:val="5201523A"/>
    <w:rsid w:val="52A862A5"/>
    <w:rsid w:val="53876298"/>
    <w:rsid w:val="53B6353E"/>
    <w:rsid w:val="53D2770D"/>
    <w:rsid w:val="550A7C1C"/>
    <w:rsid w:val="56205E0D"/>
    <w:rsid w:val="562C29BD"/>
    <w:rsid w:val="56457138"/>
    <w:rsid w:val="594E2681"/>
    <w:rsid w:val="5B3842B4"/>
    <w:rsid w:val="5B781A2F"/>
    <w:rsid w:val="5B8C2B73"/>
    <w:rsid w:val="5BD96FAA"/>
    <w:rsid w:val="5C833E46"/>
    <w:rsid w:val="5CD324FB"/>
    <w:rsid w:val="5D4D75BC"/>
    <w:rsid w:val="5DB518DF"/>
    <w:rsid w:val="5DDD2102"/>
    <w:rsid w:val="5EE41189"/>
    <w:rsid w:val="5EFA27BD"/>
    <w:rsid w:val="60115697"/>
    <w:rsid w:val="60C75D9E"/>
    <w:rsid w:val="61216D7E"/>
    <w:rsid w:val="62A3019C"/>
    <w:rsid w:val="62B76C0E"/>
    <w:rsid w:val="63073826"/>
    <w:rsid w:val="63BE6976"/>
    <w:rsid w:val="64E14C73"/>
    <w:rsid w:val="65792C6C"/>
    <w:rsid w:val="66DC1F89"/>
    <w:rsid w:val="66E147D5"/>
    <w:rsid w:val="68365442"/>
    <w:rsid w:val="691F5E7B"/>
    <w:rsid w:val="6A657A75"/>
    <w:rsid w:val="6A914257"/>
    <w:rsid w:val="6C787959"/>
    <w:rsid w:val="6D7979CD"/>
    <w:rsid w:val="6F743E3E"/>
    <w:rsid w:val="703C4730"/>
    <w:rsid w:val="71004565"/>
    <w:rsid w:val="72126DC5"/>
    <w:rsid w:val="73384CAD"/>
    <w:rsid w:val="73CD08A9"/>
    <w:rsid w:val="73E61324"/>
    <w:rsid w:val="750A5839"/>
    <w:rsid w:val="77660F63"/>
    <w:rsid w:val="77671D4D"/>
    <w:rsid w:val="77962521"/>
    <w:rsid w:val="77BE4804"/>
    <w:rsid w:val="78575722"/>
    <w:rsid w:val="7963500C"/>
    <w:rsid w:val="79DC4129"/>
    <w:rsid w:val="79DE044B"/>
    <w:rsid w:val="7A5B52D9"/>
    <w:rsid w:val="7A78266E"/>
    <w:rsid w:val="7AD10530"/>
    <w:rsid w:val="7B5D2C3E"/>
    <w:rsid w:val="7CEC401A"/>
    <w:rsid w:val="7D222FA7"/>
    <w:rsid w:val="7D2C0D17"/>
    <w:rsid w:val="7DAB21B0"/>
    <w:rsid w:val="7EDE73CF"/>
    <w:rsid w:val="7F093E52"/>
    <w:rsid w:val="7F1452E5"/>
    <w:rsid w:val="7FF9DB97"/>
    <w:rsid w:val="EAD8F431"/>
    <w:rsid w:val="FCA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10">
    <w:name w:val="Emphasis"/>
    <w:basedOn w:val="9"/>
    <w:qFormat/>
    <w:uiPriority w:val="0"/>
    <w:rPr>
      <w:rFonts w:ascii="Times New Roman" w:hAnsi="Times New Roman" w:eastAsia="楷体_GB2312"/>
      <w:b/>
      <w:sz w:val="24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unhideWhenUsed/>
    <w:qFormat/>
    <w:uiPriority w:val="99"/>
    <w:rPr>
      <w:vertAlign w:val="superscript"/>
    </w:rPr>
  </w:style>
  <w:style w:type="paragraph" w:customStyle="1" w:styleId="13">
    <w:name w:val="正文1"/>
    <w:basedOn w:val="1"/>
    <w:qFormat/>
    <w:uiPriority w:val="0"/>
    <w:pPr>
      <w:spacing w:line="360" w:lineRule="auto"/>
      <w:ind w:firstLine="640" w:firstLineChars="200"/>
    </w:pPr>
    <w:rPr>
      <w:sz w:val="24"/>
    </w:rPr>
  </w:style>
  <w:style w:type="character" w:customStyle="1" w:styleId="14">
    <w:name w:val="批注文字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407</Words>
  <Characters>2320</Characters>
  <Lines>19</Lines>
  <Paragraphs>5</Paragraphs>
  <TotalTime>11</TotalTime>
  <ScaleCrop>false</ScaleCrop>
  <LinksUpToDate>false</LinksUpToDate>
  <CharactersWithSpaces>2722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2021-05-28T22:56:00Z</dcterms:created>
  <dc:creator>徐杰</dc:creator>
  <cp:lastModifiedBy>张晗</cp:lastModifiedBy>
  <dcterms:modified xsi:type="dcterms:W3CDTF">2023-01-12T09:42:22Z</dcterms:modified>
  <dc:title>通用说明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119D54A876CD4F299CBB6F5D6695B263</vt:lpwstr>
  </property>
</Properties>
</file>