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58"/>
        </w:tabs>
        <w:ind w:firstLine="0" w:firstLineChars="0"/>
        <w:rPr>
          <w:rFonts w:ascii="黑体" w:hAnsi="黑体" w:eastAsia="黑体" w:cs="黑体"/>
          <w:color w:val="000000" w:themeColor="text1"/>
          <w:szCs w:val="32"/>
          <w14:textFill>
            <w14:solidFill>
              <w14:schemeClr w14:val="tx1"/>
            </w14:solidFill>
          </w14:textFill>
        </w:rPr>
      </w:pPr>
    </w:p>
    <w:p>
      <w:pPr>
        <w:ind w:firstLine="0" w:firstLineChars="0"/>
        <w:jc w:val="center"/>
        <w:rPr>
          <w:rFonts w:ascii="方正小标宋简体" w:hAnsi="方正小标宋简体" w:eastAsia="方正小标宋简体" w:cs="方正小标宋简体"/>
          <w:color w:val="000000" w:themeColor="text1"/>
          <w:sz w:val="52"/>
          <w:szCs w:val="40"/>
          <w14:textFill>
            <w14:solidFill>
              <w14:schemeClr w14:val="tx1"/>
            </w14:solidFill>
          </w14:textFill>
        </w:rPr>
      </w:pPr>
    </w:p>
    <w:p>
      <w:pPr>
        <w:ind w:firstLine="0" w:firstLineChars="0"/>
        <w:jc w:val="center"/>
        <w:rPr>
          <w:rFonts w:ascii="方正小标宋简体" w:hAnsi="方正小标宋简体" w:eastAsia="方正小标宋简体" w:cs="方正小标宋简体"/>
          <w:color w:val="000000" w:themeColor="text1"/>
          <w:sz w:val="52"/>
          <w:szCs w:val="40"/>
          <w14:textFill>
            <w14:solidFill>
              <w14:schemeClr w14:val="tx1"/>
            </w14:solidFill>
          </w14:textFill>
        </w:rPr>
      </w:pP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方正小标宋简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方正小标宋简体"/>
          <w:color w:val="000000" w:themeColor="text1"/>
          <w:sz w:val="52"/>
          <w:szCs w:val="52"/>
          <w14:textFill>
            <w14:solidFill>
              <w14:schemeClr w14:val="tx1"/>
            </w14:solidFill>
          </w14:textFill>
        </w:rPr>
      </w:pPr>
    </w:p>
    <w:p>
      <w:pPr>
        <w:spacing w:line="240" w:lineRule="auto"/>
        <w:ind w:firstLine="0" w:firstLineChars="0"/>
        <w:jc w:val="center"/>
        <w:rPr>
          <w:rFonts w:ascii="黑体" w:hAnsi="黑体" w:eastAsia="黑体" w:cs="黑体"/>
          <w:color w:val="000000"/>
          <w:sz w:val="36"/>
          <w:szCs w:val="36"/>
        </w:rPr>
      </w:pPr>
      <w:r>
        <w:rPr>
          <w:rFonts w:hint="eastAsia" w:ascii="黑体" w:hAnsi="黑体" w:eastAsia="黑体" w:cs="黑体"/>
          <w:color w:val="000000"/>
          <w:sz w:val="36"/>
          <w:szCs w:val="36"/>
        </w:rPr>
        <w:t>中国银保监会保险业监管数据标准化规范</w:t>
      </w:r>
    </w:p>
    <w:p>
      <w:pPr>
        <w:spacing w:line="240" w:lineRule="auto"/>
        <w:ind w:firstLine="0" w:firstLineChars="0"/>
        <w:jc w:val="center"/>
        <w:rPr>
          <w:rFonts w:ascii="黑体" w:hAnsi="黑体" w:eastAsia="黑体" w:cs="黑体"/>
          <w:color w:val="000000"/>
          <w:sz w:val="36"/>
          <w:szCs w:val="36"/>
        </w:rPr>
      </w:pPr>
      <w:r>
        <w:rPr>
          <w:rFonts w:hint="eastAsia" w:ascii="黑体" w:hAnsi="黑体" w:eastAsia="黑体" w:cs="黑体"/>
          <w:color w:val="000000"/>
          <w:sz w:val="36"/>
          <w:szCs w:val="36"/>
        </w:rPr>
        <w:t>（保险资产管理公司版）</w:t>
      </w: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2022年9月</w:t>
      </w:r>
    </w:p>
    <w:p>
      <w:pPr>
        <w:tabs>
          <w:tab w:val="left" w:pos="2840"/>
          <w:tab w:val="center" w:pos="4422"/>
        </w:tabs>
        <w:ind w:firstLine="0" w:firstLineChars="0"/>
        <w:jc w:val="left"/>
        <w:rPr>
          <w:rFonts w:ascii="黑体" w:hAnsi="黑体" w:eastAsia="黑体" w:cs="黑体"/>
          <w:color w:val="000000" w:themeColor="text1"/>
          <w:sz w:val="36"/>
          <w:szCs w:val="36"/>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2154" w:right="1474" w:bottom="1984" w:left="1588" w:header="851" w:footer="1021" w:gutter="0"/>
          <w:pgNumType w:fmt="numberInDash" w:start="1"/>
          <w:cols w:space="720" w:num="1"/>
          <w:titlePg/>
          <w:docGrid w:type="lines" w:linePitch="312" w:charSpace="0"/>
        </w:sectPr>
      </w:pPr>
    </w:p>
    <w:p>
      <w:pPr>
        <w:tabs>
          <w:tab w:val="left" w:pos="2840"/>
          <w:tab w:val="center" w:pos="4422"/>
        </w:tabs>
        <w:ind w:firstLine="0" w:firstLineChars="0"/>
        <w:jc w:val="left"/>
        <w:rPr>
          <w:rFonts w:ascii="黑体" w:hAnsi="黑体" w:eastAsia="黑体" w:cs="黑体"/>
          <w:color w:val="000000" w:themeColor="text1"/>
          <w:sz w:val="36"/>
          <w:szCs w:val="36"/>
          <w14:textFill>
            <w14:solidFill>
              <w14:schemeClr w14:val="tx1"/>
            </w14:solidFill>
          </w14:textFill>
        </w:rPr>
      </w:pPr>
      <w:r>
        <w:rPr>
          <w:rFonts w:ascii="黑体" w:hAnsi="黑体" w:eastAsia="黑体" w:cs="黑体"/>
          <w:color w:val="000000" w:themeColor="text1"/>
          <w:sz w:val="36"/>
          <w:szCs w:val="36"/>
          <w14:textFill>
            <w14:solidFill>
              <w14:schemeClr w14:val="tx1"/>
            </w14:solidFill>
          </w14:textFill>
        </w:rPr>
        <w:tab/>
      </w:r>
      <w:r>
        <w:rPr>
          <w:rFonts w:ascii="黑体" w:hAnsi="黑体" w:eastAsia="黑体" w:cs="黑体"/>
          <w:color w:val="000000" w:themeColor="text1"/>
          <w:sz w:val="36"/>
          <w:szCs w:val="36"/>
          <w14:textFill>
            <w14:solidFill>
              <w14:schemeClr w14:val="tx1"/>
            </w14:solidFill>
          </w14:textFill>
        </w:rPr>
        <w:tab/>
      </w:r>
      <w:r>
        <w:rPr>
          <w:rFonts w:hint="eastAsia" w:ascii="黑体" w:hAnsi="黑体" w:eastAsia="黑体" w:cs="黑体"/>
          <w:color w:val="000000" w:themeColor="text1"/>
          <w:sz w:val="36"/>
          <w:szCs w:val="36"/>
          <w14:textFill>
            <w14:solidFill>
              <w14:schemeClr w14:val="tx1"/>
            </w14:solidFill>
          </w14:textFill>
        </w:rPr>
        <w:t>目录</w:t>
      </w:r>
    </w:p>
    <w:p>
      <w:pPr>
        <w:pStyle w:val="12"/>
        <w:tabs>
          <w:tab w:val="right" w:leader="dot" w:pos="8306"/>
        </w:tabs>
        <w:spacing w:line="240" w:lineRule="auto"/>
        <w:ind w:left="1200" w:leftChars="400" w:firstLine="0" w:firstLineChars="0"/>
        <w:jc w:val="both"/>
        <w:rPr>
          <w:rFonts w:ascii="Calibri" w:hAnsi="Calibri" w:eastAsia="宋体"/>
          <w:sz w:val="21"/>
          <w:szCs w:val="22"/>
        </w:rPr>
      </w:pPr>
      <w:r>
        <w:rPr>
          <w:rFonts w:hint="eastAsia" w:ascii="Calibri" w:hAnsi="Calibri" w:eastAsia="宋体"/>
          <w:sz w:val="21"/>
          <w:szCs w:val="22"/>
        </w:rPr>
        <w:fldChar w:fldCharType="begin"/>
      </w:r>
      <w:r>
        <w:rPr>
          <w:rFonts w:hint="eastAsia" w:ascii="Calibri" w:hAnsi="Calibri" w:eastAsia="宋体"/>
          <w:sz w:val="21"/>
          <w:szCs w:val="22"/>
        </w:rPr>
        <w:instrText xml:space="preserve">TOC \o "1-2" \h \u </w:instrText>
      </w:r>
      <w:r>
        <w:rPr>
          <w:rFonts w:hint="eastAsia" w:ascii="Calibri" w:hAnsi="Calibri" w:eastAsia="宋体"/>
          <w:sz w:val="21"/>
          <w:szCs w:val="22"/>
        </w:rPr>
        <w:fldChar w:fldCharType="separate"/>
      </w:r>
      <w:r>
        <w:fldChar w:fldCharType="begin"/>
      </w:r>
      <w:r>
        <w:instrText xml:space="preserve"> HYPERLINK \l "_Toc14214" </w:instrText>
      </w:r>
      <w:r>
        <w:fldChar w:fldCharType="separate"/>
      </w:r>
      <w:r>
        <w:rPr>
          <w:rFonts w:hint="eastAsia" w:ascii="Calibri" w:hAnsi="Calibri" w:eastAsia="宋体"/>
          <w:sz w:val="21"/>
          <w:szCs w:val="22"/>
        </w:rPr>
        <w:t>一、 概述</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_Toc14214 </w:instrText>
      </w:r>
      <w:r>
        <w:rPr>
          <w:rFonts w:hint="eastAsia" w:ascii="Calibri" w:hAnsi="Calibri" w:eastAsia="宋体"/>
          <w:sz w:val="21"/>
          <w:szCs w:val="22"/>
        </w:rPr>
        <w:fldChar w:fldCharType="separate"/>
      </w:r>
      <w:r>
        <w:rPr>
          <w:rFonts w:hint="eastAsia" w:ascii="Calibri" w:hAnsi="Calibri" w:eastAsia="宋体"/>
          <w:sz w:val="21"/>
          <w:szCs w:val="22"/>
        </w:rPr>
        <w:t>- 1 -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"_Toc7733" </w:instrText>
      </w:r>
      <w:r>
        <w:fldChar w:fldCharType="separate"/>
      </w:r>
      <w:r>
        <w:rPr>
          <w:rFonts w:hint="eastAsia" w:ascii="Calibri" w:hAnsi="Calibri" w:eastAsia="宋体"/>
          <w:sz w:val="21"/>
          <w:szCs w:val="22"/>
        </w:rPr>
        <w:t>二、 引用标准</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_Toc7733 </w:instrText>
      </w:r>
      <w:r>
        <w:rPr>
          <w:rFonts w:hint="eastAsia" w:ascii="Calibri" w:hAnsi="Calibri" w:eastAsia="宋体"/>
          <w:sz w:val="21"/>
          <w:szCs w:val="22"/>
        </w:rPr>
        <w:fldChar w:fldCharType="separate"/>
      </w:r>
      <w:r>
        <w:rPr>
          <w:rFonts w:hint="eastAsia" w:ascii="Calibri" w:hAnsi="Calibri" w:eastAsia="宋体"/>
          <w:sz w:val="21"/>
          <w:szCs w:val="22"/>
        </w:rPr>
        <w:t>- 1 -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"_Toc1509" </w:instrText>
      </w:r>
      <w:r>
        <w:fldChar w:fldCharType="separate"/>
      </w:r>
      <w:r>
        <w:rPr>
          <w:rFonts w:hint="eastAsia" w:ascii="Calibri" w:hAnsi="Calibri" w:eastAsia="宋体"/>
          <w:sz w:val="21"/>
          <w:szCs w:val="22"/>
        </w:rPr>
        <w:t>三、 数据结构</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_Toc1509 </w:instrText>
      </w:r>
      <w:r>
        <w:rPr>
          <w:rFonts w:hint="eastAsia" w:ascii="Calibri" w:hAnsi="Calibri" w:eastAsia="宋体"/>
          <w:sz w:val="21"/>
          <w:szCs w:val="22"/>
        </w:rPr>
        <w:fldChar w:fldCharType="separate"/>
      </w:r>
      <w:r>
        <w:rPr>
          <w:rFonts w:hint="eastAsia" w:ascii="Calibri" w:hAnsi="Calibri" w:eastAsia="宋体"/>
          <w:sz w:val="21"/>
          <w:szCs w:val="22"/>
        </w:rPr>
        <w:t>- 2 -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"_Toc26252" </w:instrText>
      </w:r>
      <w:r>
        <w:fldChar w:fldCharType="separate"/>
      </w:r>
      <w:r>
        <w:rPr>
          <w:rFonts w:hint="eastAsia" w:ascii="Calibri" w:hAnsi="Calibri" w:eastAsia="宋体"/>
          <w:sz w:val="21"/>
          <w:szCs w:val="22"/>
        </w:rPr>
        <w:t>（一） 数据结构单元</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_Toc26252 </w:instrText>
      </w:r>
      <w:r>
        <w:rPr>
          <w:rFonts w:hint="eastAsia" w:ascii="Calibri" w:hAnsi="Calibri" w:eastAsia="宋体"/>
          <w:sz w:val="21"/>
          <w:szCs w:val="22"/>
        </w:rPr>
        <w:fldChar w:fldCharType="separate"/>
      </w:r>
      <w:r>
        <w:rPr>
          <w:rFonts w:hint="eastAsia" w:ascii="Calibri" w:hAnsi="Calibri" w:eastAsia="宋体"/>
          <w:sz w:val="21"/>
          <w:szCs w:val="22"/>
        </w:rPr>
        <w:t>- 2 -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"_Toc30334" </w:instrText>
      </w:r>
      <w:r>
        <w:fldChar w:fldCharType="separate"/>
      </w:r>
      <w:r>
        <w:rPr>
          <w:rFonts w:hint="eastAsia" w:ascii="Calibri" w:hAnsi="Calibri" w:eastAsia="宋体"/>
          <w:sz w:val="21"/>
          <w:szCs w:val="22"/>
        </w:rPr>
        <w:t>（二） 数据项格式</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_Toc30334 </w:instrText>
      </w:r>
      <w:r>
        <w:rPr>
          <w:rFonts w:hint="eastAsia" w:ascii="Calibri" w:hAnsi="Calibri" w:eastAsia="宋体"/>
          <w:sz w:val="21"/>
          <w:szCs w:val="22"/>
        </w:rPr>
        <w:fldChar w:fldCharType="separate"/>
      </w:r>
      <w:r>
        <w:rPr>
          <w:rFonts w:hint="eastAsia" w:ascii="Calibri" w:hAnsi="Calibri" w:eastAsia="宋体"/>
          <w:sz w:val="21"/>
          <w:szCs w:val="22"/>
        </w:rPr>
        <w:t>- 2 -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"_Toc26955" </w:instrText>
      </w:r>
      <w:r>
        <w:fldChar w:fldCharType="separate"/>
      </w:r>
      <w:r>
        <w:rPr>
          <w:rFonts w:hint="eastAsia" w:ascii="Calibri" w:hAnsi="Calibri" w:eastAsia="宋体"/>
          <w:sz w:val="21"/>
          <w:szCs w:val="22"/>
        </w:rPr>
        <w:t>（三） 数据结构目录</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_Toc26955 </w:instrText>
      </w:r>
      <w:r>
        <w:rPr>
          <w:rFonts w:hint="eastAsia" w:ascii="Calibri" w:hAnsi="Calibri" w:eastAsia="宋体"/>
          <w:sz w:val="21"/>
          <w:szCs w:val="22"/>
        </w:rPr>
        <w:fldChar w:fldCharType="separate"/>
      </w:r>
      <w:r>
        <w:rPr>
          <w:rFonts w:hint="eastAsia" w:ascii="Calibri" w:hAnsi="Calibri" w:eastAsia="宋体"/>
          <w:sz w:val="21"/>
          <w:szCs w:val="22"/>
        </w:rPr>
        <w:t>- 2 -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"_Toc17928" </w:instrText>
      </w:r>
      <w:r>
        <w:fldChar w:fldCharType="separate"/>
      </w:r>
      <w:r>
        <w:rPr>
          <w:rFonts w:hint="eastAsia" w:ascii="Calibri" w:hAnsi="Calibri" w:eastAsia="宋体"/>
          <w:sz w:val="21"/>
          <w:szCs w:val="22"/>
        </w:rPr>
        <w:t>四、 数据项描述</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_Toc17928 </w:instrText>
      </w:r>
      <w:r>
        <w:rPr>
          <w:rFonts w:hint="eastAsia" w:ascii="Calibri" w:hAnsi="Calibri" w:eastAsia="宋体"/>
          <w:sz w:val="21"/>
          <w:szCs w:val="22"/>
        </w:rPr>
        <w:fldChar w:fldCharType="separate"/>
      </w:r>
      <w:r>
        <w:rPr>
          <w:rFonts w:hint="eastAsia" w:ascii="Calibri" w:hAnsi="Calibri" w:eastAsia="宋体"/>
          <w:sz w:val="21"/>
          <w:szCs w:val="22"/>
        </w:rPr>
        <w:t>- 11 -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"_Toc5591" </w:instrText>
      </w:r>
      <w:r>
        <w:fldChar w:fldCharType="separate"/>
      </w:r>
      <w:r>
        <w:rPr>
          <w:rFonts w:hint="eastAsia" w:ascii="Calibri" w:hAnsi="Calibri" w:eastAsia="宋体"/>
          <w:sz w:val="21"/>
          <w:szCs w:val="22"/>
        </w:rPr>
        <w:t>（一） 公司治理</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_Toc5591 </w:instrText>
      </w:r>
      <w:r>
        <w:rPr>
          <w:rFonts w:hint="eastAsia" w:ascii="Calibri" w:hAnsi="Calibri" w:eastAsia="宋体"/>
          <w:sz w:val="21"/>
          <w:szCs w:val="22"/>
        </w:rPr>
        <w:fldChar w:fldCharType="separate"/>
      </w:r>
      <w:r>
        <w:rPr>
          <w:rFonts w:hint="eastAsia" w:ascii="Calibri" w:hAnsi="Calibri" w:eastAsia="宋体"/>
          <w:sz w:val="21"/>
          <w:szCs w:val="22"/>
        </w:rPr>
        <w:t>- 11 -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"_Toc9217" </w:instrText>
      </w:r>
      <w:r>
        <w:fldChar w:fldCharType="separate"/>
      </w:r>
      <w:r>
        <w:rPr>
          <w:rFonts w:hint="eastAsia" w:ascii="Calibri" w:hAnsi="Calibri" w:eastAsia="宋体"/>
          <w:sz w:val="21"/>
          <w:szCs w:val="22"/>
        </w:rPr>
        <w:t>（二） 公司财务</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_Toc9217 </w:instrText>
      </w:r>
      <w:r>
        <w:rPr>
          <w:rFonts w:hint="eastAsia" w:ascii="Calibri" w:hAnsi="Calibri" w:eastAsia="宋体"/>
          <w:sz w:val="21"/>
          <w:szCs w:val="22"/>
        </w:rPr>
        <w:fldChar w:fldCharType="separate"/>
      </w:r>
      <w:r>
        <w:rPr>
          <w:rFonts w:hint="eastAsia" w:ascii="Calibri" w:hAnsi="Calibri" w:eastAsia="宋体"/>
          <w:sz w:val="21"/>
          <w:szCs w:val="22"/>
        </w:rPr>
        <w:t>- 28 -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"_Toc12717" </w:instrText>
      </w:r>
      <w:r>
        <w:fldChar w:fldCharType="separate"/>
      </w:r>
      <w:r>
        <w:rPr>
          <w:rFonts w:hint="eastAsia" w:ascii="Calibri" w:hAnsi="Calibri" w:eastAsia="宋体"/>
          <w:sz w:val="21"/>
          <w:szCs w:val="22"/>
        </w:rPr>
        <w:t>（三） 保险资产管理公司自有资金投资业务</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_Toc12717 </w:instrText>
      </w:r>
      <w:r>
        <w:rPr>
          <w:rFonts w:hint="eastAsia" w:ascii="Calibri" w:hAnsi="Calibri" w:eastAsia="宋体"/>
          <w:sz w:val="21"/>
          <w:szCs w:val="22"/>
        </w:rPr>
        <w:fldChar w:fldCharType="separate"/>
      </w:r>
      <w:r>
        <w:rPr>
          <w:rFonts w:hint="eastAsia" w:ascii="Calibri" w:hAnsi="Calibri" w:eastAsia="宋体"/>
          <w:sz w:val="21"/>
          <w:szCs w:val="22"/>
        </w:rPr>
        <w:t>- 36 -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"_Toc3422" </w:instrText>
      </w:r>
      <w:r>
        <w:fldChar w:fldCharType="separate"/>
      </w:r>
      <w:r>
        <w:rPr>
          <w:rFonts w:hint="eastAsia" w:ascii="Calibri" w:hAnsi="Calibri" w:eastAsia="宋体"/>
          <w:sz w:val="21"/>
          <w:szCs w:val="22"/>
        </w:rPr>
        <w:t>（四） 保险资产管理公司受托投资业务</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_Toc3422 </w:instrText>
      </w:r>
      <w:r>
        <w:rPr>
          <w:rFonts w:hint="eastAsia" w:ascii="Calibri" w:hAnsi="Calibri" w:eastAsia="宋体"/>
          <w:sz w:val="21"/>
          <w:szCs w:val="22"/>
        </w:rPr>
        <w:fldChar w:fldCharType="separate"/>
      </w:r>
      <w:r>
        <w:rPr>
          <w:rFonts w:hint="eastAsia" w:ascii="Calibri" w:hAnsi="Calibri" w:eastAsia="宋体"/>
          <w:sz w:val="21"/>
          <w:szCs w:val="22"/>
        </w:rPr>
        <w:t>- 47 -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"_Toc9377" </w:instrText>
      </w:r>
      <w:r>
        <w:fldChar w:fldCharType="separate"/>
      </w:r>
      <w:r>
        <w:rPr>
          <w:rFonts w:hint="eastAsia" w:ascii="Calibri" w:hAnsi="Calibri" w:eastAsia="宋体"/>
          <w:sz w:val="21"/>
          <w:szCs w:val="22"/>
        </w:rPr>
        <w:t>（五） 保险资产管理公司产品管理业务</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_Toc9377 </w:instrText>
      </w:r>
      <w:r>
        <w:rPr>
          <w:rFonts w:hint="eastAsia" w:ascii="Calibri" w:hAnsi="Calibri" w:eastAsia="宋体"/>
          <w:sz w:val="21"/>
          <w:szCs w:val="22"/>
        </w:rPr>
        <w:fldChar w:fldCharType="separate"/>
      </w:r>
      <w:r>
        <w:rPr>
          <w:rFonts w:hint="eastAsia" w:ascii="Calibri" w:hAnsi="Calibri" w:eastAsia="宋体"/>
          <w:sz w:val="21"/>
          <w:szCs w:val="22"/>
        </w:rPr>
        <w:t>- 59 -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"_Toc16536" </w:instrText>
      </w:r>
      <w:r>
        <w:fldChar w:fldCharType="separate"/>
      </w:r>
      <w:r>
        <w:rPr>
          <w:rFonts w:hint="eastAsia" w:ascii="Calibri" w:hAnsi="Calibri" w:eastAsia="宋体"/>
          <w:sz w:val="21"/>
          <w:szCs w:val="22"/>
        </w:rPr>
        <w:t>（六） 投资资产信息</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_Toc16536 </w:instrText>
      </w:r>
      <w:r>
        <w:rPr>
          <w:rFonts w:hint="eastAsia" w:ascii="Calibri" w:hAnsi="Calibri" w:eastAsia="宋体"/>
          <w:sz w:val="21"/>
          <w:szCs w:val="22"/>
        </w:rPr>
        <w:fldChar w:fldCharType="separate"/>
      </w:r>
      <w:r>
        <w:rPr>
          <w:rFonts w:hint="eastAsia" w:ascii="Calibri" w:hAnsi="Calibri" w:eastAsia="宋体"/>
          <w:sz w:val="21"/>
          <w:szCs w:val="22"/>
        </w:rPr>
        <w:t>- 135 -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"_Toc21395" </w:instrText>
      </w:r>
      <w:r>
        <w:fldChar w:fldCharType="separate"/>
      </w:r>
      <w:r>
        <w:rPr>
          <w:rFonts w:hint="eastAsia" w:ascii="Calibri" w:hAnsi="Calibri" w:eastAsia="宋体"/>
          <w:sz w:val="21"/>
          <w:szCs w:val="22"/>
        </w:rPr>
        <w:t>（七） 关联交易信息</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_Toc21395 </w:instrText>
      </w:r>
      <w:r>
        <w:rPr>
          <w:rFonts w:hint="eastAsia" w:ascii="Calibri" w:hAnsi="Calibri" w:eastAsia="宋体"/>
          <w:sz w:val="21"/>
          <w:szCs w:val="22"/>
        </w:rPr>
        <w:fldChar w:fldCharType="separate"/>
      </w:r>
      <w:r>
        <w:rPr>
          <w:rFonts w:hint="eastAsia" w:ascii="Calibri" w:hAnsi="Calibri" w:eastAsia="宋体"/>
          <w:sz w:val="21"/>
          <w:szCs w:val="22"/>
        </w:rPr>
        <w:t>- 163 -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"_Toc22450" </w:instrText>
      </w:r>
      <w:r>
        <w:fldChar w:fldCharType="separate"/>
      </w:r>
      <w:r>
        <w:rPr>
          <w:rFonts w:hint="eastAsia" w:ascii="Calibri" w:hAnsi="Calibri" w:eastAsia="宋体"/>
          <w:sz w:val="21"/>
          <w:szCs w:val="22"/>
        </w:rPr>
        <w:t>五、 数据元说明</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_Toc22450 </w:instrText>
      </w:r>
      <w:r>
        <w:rPr>
          <w:rFonts w:hint="eastAsia" w:ascii="Calibri" w:hAnsi="Calibri" w:eastAsia="宋体"/>
          <w:sz w:val="21"/>
          <w:szCs w:val="22"/>
        </w:rPr>
        <w:fldChar w:fldCharType="separate"/>
      </w:r>
      <w:r>
        <w:rPr>
          <w:rFonts w:hint="eastAsia" w:ascii="Calibri" w:hAnsi="Calibri" w:eastAsia="宋体"/>
          <w:sz w:val="21"/>
          <w:szCs w:val="22"/>
        </w:rPr>
        <w:t>- 175 -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"_Toc29219" </w:instrText>
      </w:r>
      <w:r>
        <w:fldChar w:fldCharType="separate"/>
      </w:r>
      <w:r>
        <w:rPr>
          <w:rFonts w:hint="eastAsia" w:ascii="Calibri" w:hAnsi="Calibri" w:eastAsia="宋体"/>
          <w:sz w:val="21"/>
          <w:szCs w:val="22"/>
        </w:rPr>
        <w:t>（一） 数据元描述规则</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_Toc29219 </w:instrText>
      </w:r>
      <w:r>
        <w:rPr>
          <w:rFonts w:hint="eastAsia" w:ascii="Calibri" w:hAnsi="Calibri" w:eastAsia="宋体"/>
          <w:sz w:val="21"/>
          <w:szCs w:val="22"/>
        </w:rPr>
        <w:fldChar w:fldCharType="separate"/>
      </w:r>
      <w:r>
        <w:rPr>
          <w:rFonts w:hint="eastAsia" w:ascii="Calibri" w:hAnsi="Calibri" w:eastAsia="宋体"/>
          <w:sz w:val="21"/>
          <w:szCs w:val="22"/>
        </w:rPr>
        <w:t>- 175 -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"_Toc4822" </w:instrText>
      </w:r>
      <w:r>
        <w:fldChar w:fldCharType="separate"/>
      </w:r>
      <w:r>
        <w:rPr>
          <w:rFonts w:hint="eastAsia" w:ascii="Calibri" w:hAnsi="Calibri" w:eastAsia="宋体"/>
          <w:sz w:val="21"/>
          <w:szCs w:val="22"/>
        </w:rPr>
        <w:t>（二） 数据元细目</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_Toc4822 </w:instrText>
      </w:r>
      <w:r>
        <w:rPr>
          <w:rFonts w:hint="eastAsia" w:ascii="Calibri" w:hAnsi="Calibri" w:eastAsia="宋体"/>
          <w:sz w:val="21"/>
          <w:szCs w:val="22"/>
        </w:rPr>
        <w:fldChar w:fldCharType="separate"/>
      </w:r>
      <w:r>
        <w:rPr>
          <w:rFonts w:hint="eastAsia" w:ascii="Calibri" w:hAnsi="Calibri" w:eastAsia="宋体"/>
          <w:sz w:val="21"/>
          <w:szCs w:val="22"/>
        </w:rPr>
        <w:t>- 176 -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pPr>
      <w:r>
        <w:rPr>
          <w:rFonts w:hint="eastAsia" w:ascii="Calibri" w:hAnsi="Calibri" w:eastAsia="宋体"/>
          <w:sz w:val="21"/>
          <w:szCs w:val="22"/>
        </w:rPr>
        <w:fldChar w:fldCharType="end"/>
      </w:r>
    </w:p>
    <w:p>
      <w:pPr>
        <w:ind w:firstLine="0" w:firstLineChars="0"/>
        <w:jc w:val="center"/>
        <w:rPr>
          <w:rFonts w:ascii="宋体" w:hAnsi="宋体" w:eastAsia="宋体" w:cs="黑体"/>
          <w:color w:val="000000" w:themeColor="text1"/>
          <w:sz w:val="21"/>
          <w:szCs w:val="24"/>
          <w14:textFill>
            <w14:solidFill>
              <w14:schemeClr w14:val="tx1"/>
            </w14:solidFill>
          </w14:textFill>
        </w:rPr>
      </w:pPr>
    </w:p>
    <w:p>
      <w:pPr>
        <w:ind w:firstLine="0" w:firstLineChars="0"/>
        <w:jc w:val="center"/>
        <w:rPr>
          <w:rFonts w:ascii="宋体" w:hAnsi="宋体" w:eastAsia="宋体" w:cs="黑体"/>
          <w:color w:val="000000" w:themeColor="text1"/>
          <w:sz w:val="21"/>
          <w:szCs w:val="24"/>
          <w14:textFill>
            <w14:solidFill>
              <w14:schemeClr w14:val="tx1"/>
            </w14:solidFill>
          </w14:textFill>
        </w:rPr>
        <w:sectPr>
          <w:footerReference r:id="rId12" w:type="first"/>
          <w:footerReference r:id="rId11" w:type="default"/>
          <w:pgSz w:w="11906" w:h="16838"/>
          <w:pgMar w:top="2154" w:right="1474" w:bottom="1984" w:left="1588" w:header="851" w:footer="1021" w:gutter="0"/>
          <w:pgNumType w:fmt="numberInDash" w:start="1"/>
          <w:cols w:space="720" w:num="1"/>
          <w:titlePg/>
          <w:docGrid w:type="lines" w:linePitch="312" w:charSpace="0"/>
        </w:sectPr>
      </w:pPr>
    </w:p>
    <w:p>
      <w:pPr>
        <w:keepNext/>
        <w:keepLines/>
        <w:numPr>
          <w:ilvl w:val="0"/>
          <w:numId w:val="1"/>
        </w:numPr>
        <w:ind w:left="0" w:firstLine="600" w:firstLineChars="0"/>
        <w:outlineLvl w:val="0"/>
        <w:rPr>
          <w:rFonts w:ascii="黑体" w:hAnsi="黑体" w:eastAsia="黑体"/>
          <w:kern w:val="44"/>
          <w:szCs w:val="30"/>
        </w:rPr>
      </w:pPr>
      <w:bookmarkStart w:id="0" w:name="_Toc16126"/>
      <w:bookmarkStart w:id="1" w:name="_Toc73958554"/>
      <w:bookmarkStart w:id="2" w:name="_Toc8288"/>
      <w:bookmarkStart w:id="3" w:name="_Toc12197"/>
      <w:bookmarkStart w:id="4" w:name="_Toc26827"/>
      <w:bookmarkStart w:id="5" w:name="_Toc14214"/>
      <w:bookmarkStart w:id="6" w:name="_Toc14403"/>
      <w:bookmarkStart w:id="7" w:name="_Toc7476"/>
      <w:bookmarkStart w:id="8" w:name="_Toc7430"/>
      <w:bookmarkStart w:id="9" w:name="_Toc21521"/>
      <w:r>
        <w:rPr>
          <w:rFonts w:hint="eastAsia" w:ascii="黑体" w:hAnsi="黑体" w:eastAsia="黑体"/>
          <w:kern w:val="44"/>
          <w:szCs w:val="30"/>
        </w:rPr>
        <w:t>概述</w:t>
      </w:r>
    </w:p>
    <w:p>
      <w:pPr>
        <w:ind w:firstLine="600"/>
        <w:rPr>
          <w:rFonts w:ascii="仿宋" w:hAnsi="仿宋" w:eastAsia="仿宋" w:cs="仿宋_GB2312"/>
          <w:color w:val="000000" w:themeColor="text1"/>
          <w:szCs w:val="30"/>
          <w14:textFill>
            <w14:solidFill>
              <w14:schemeClr w14:val="tx1"/>
            </w14:solidFill>
          </w14:textFill>
        </w:rPr>
      </w:pPr>
      <w:r>
        <w:rPr>
          <w:rFonts w:hint="eastAsia" w:ascii="仿宋" w:hAnsi="仿宋" w:eastAsia="仿宋" w:cs="仿宋_GB2312"/>
          <w:color w:val="000000" w:themeColor="text1"/>
          <w:szCs w:val="30"/>
          <w14:textFill>
            <w14:solidFill>
              <w14:schemeClr w14:val="tx1"/>
            </w14:solidFill>
          </w14:textFill>
        </w:rPr>
        <w:t>《中国银保监会保险业监管数据标准化规范》（保险资产管理公司版）（以下简称《规范》）立足于保险资产管理公司监管工作需要，遵循监管数据标准化的工作惯例和工作要求，将保险资产管理公司数据结构映射成统一的标准化监管数据格式，以便于数据采集、分析、挖掘。《规范》包括</w:t>
      </w:r>
      <w:r>
        <w:rPr>
          <w:rFonts w:hint="eastAsia" w:ascii="仿宋" w:hAnsi="仿宋" w:eastAsia="仿宋" w:cs="仿宋_GB2312"/>
          <w:bCs/>
          <w:szCs w:val="30"/>
        </w:rPr>
        <w:t>公司治理、公司财务、保险资产管理公司自有资金投资业务、保险资产管理公司受托投资业务、保险资产管理公司产品管理业务、投资资产信息、关联交易信息等七个主题域</w:t>
      </w:r>
      <w:r>
        <w:rPr>
          <w:rFonts w:hint="eastAsia" w:ascii="仿宋" w:hAnsi="仿宋" w:eastAsia="仿宋" w:cs="仿宋_GB2312"/>
          <w:color w:val="000000" w:themeColor="text1"/>
          <w:szCs w:val="30"/>
          <w14:textFill>
            <w14:solidFill>
              <w14:schemeClr w14:val="tx1"/>
            </w14:solidFill>
          </w14:textFill>
        </w:rPr>
        <w:t>，</w:t>
      </w:r>
      <w:r>
        <w:rPr>
          <w:rFonts w:hint="eastAsia" w:ascii="仿宋" w:hAnsi="仿宋" w:eastAsia="仿宋" w:cs="仿宋_GB2312"/>
          <w:bCs/>
          <w:szCs w:val="30"/>
        </w:rPr>
        <w:t>基本覆盖了保险资产管理公司有关业务数据范围，并在架构设计上预留了扩展空间。</w:t>
      </w:r>
    </w:p>
    <w:bookmarkEnd w:id="0"/>
    <w:bookmarkEnd w:id="1"/>
    <w:bookmarkEnd w:id="2"/>
    <w:bookmarkEnd w:id="3"/>
    <w:bookmarkEnd w:id="4"/>
    <w:bookmarkEnd w:id="5"/>
    <w:bookmarkEnd w:id="6"/>
    <w:bookmarkEnd w:id="7"/>
    <w:bookmarkEnd w:id="8"/>
    <w:bookmarkEnd w:id="9"/>
    <w:p>
      <w:pPr>
        <w:ind w:firstLine="600"/>
        <w:rPr>
          <w:rFonts w:ascii="仿宋" w:hAnsi="仿宋" w:eastAsia="仿宋" w:cs="仿宋_GB2312"/>
          <w:bCs/>
          <w:szCs w:val="30"/>
        </w:rPr>
      </w:pPr>
      <w:r>
        <w:rPr>
          <w:rFonts w:hint="eastAsia" w:ascii="仿宋" w:hAnsi="仿宋" w:eastAsia="仿宋" w:cs="仿宋_GB2312"/>
          <w:bCs/>
          <w:szCs w:val="30"/>
        </w:rPr>
        <w:t>本《规范》适用于在中华人民共和国境内依法设立的保险资产管理公司。</w:t>
      </w:r>
    </w:p>
    <w:p>
      <w:pPr>
        <w:keepNext/>
        <w:keepLines/>
        <w:numPr>
          <w:ilvl w:val="0"/>
          <w:numId w:val="1"/>
        </w:numPr>
        <w:ind w:left="0" w:firstLine="600" w:firstLineChars="0"/>
        <w:outlineLvl w:val="0"/>
        <w:rPr>
          <w:rFonts w:ascii="黑体" w:hAnsi="黑体" w:eastAsia="黑体"/>
          <w:kern w:val="44"/>
          <w:szCs w:val="30"/>
        </w:rPr>
      </w:pPr>
      <w:bookmarkStart w:id="10" w:name="_Toc73958555"/>
      <w:bookmarkStart w:id="11" w:name="_Toc15844"/>
      <w:bookmarkStart w:id="12" w:name="_Toc22528"/>
      <w:bookmarkStart w:id="13" w:name="_Toc4305"/>
      <w:bookmarkStart w:id="14" w:name="_Toc7696"/>
      <w:bookmarkStart w:id="15" w:name="_Toc28004"/>
      <w:bookmarkStart w:id="16" w:name="_Toc15152"/>
      <w:bookmarkStart w:id="17" w:name="_Toc7733"/>
      <w:bookmarkStart w:id="18" w:name="_Toc21950"/>
      <w:bookmarkStart w:id="19" w:name="_Toc5836"/>
      <w:r>
        <w:rPr>
          <w:rFonts w:hint="eastAsia" w:ascii="黑体" w:hAnsi="黑体" w:eastAsia="黑体"/>
          <w:kern w:val="44"/>
          <w:szCs w:val="30"/>
        </w:rPr>
        <w:t>引用标准</w:t>
      </w:r>
      <w:bookmarkEnd w:id="10"/>
      <w:bookmarkEnd w:id="11"/>
      <w:bookmarkEnd w:id="12"/>
      <w:bookmarkEnd w:id="13"/>
      <w:bookmarkEnd w:id="14"/>
      <w:bookmarkEnd w:id="15"/>
      <w:bookmarkEnd w:id="16"/>
      <w:bookmarkEnd w:id="17"/>
      <w:bookmarkEnd w:id="18"/>
      <w:bookmarkEnd w:id="19"/>
    </w:p>
    <w:p>
      <w:pPr>
        <w:ind w:firstLine="600"/>
        <w:rPr>
          <w:rFonts w:ascii="仿宋" w:hAnsi="仿宋" w:eastAsia="仿宋" w:cs="仿宋_GB2312"/>
          <w:szCs w:val="30"/>
        </w:rPr>
      </w:pPr>
      <w:r>
        <w:rPr>
          <w:rFonts w:hint="eastAsia" w:ascii="仿宋" w:hAnsi="仿宋" w:eastAsia="仿宋" w:cs="仿宋_GB2312"/>
          <w:szCs w:val="30"/>
        </w:rPr>
        <w:t>下列标准中的条款通过本规范的引用而成为本规范的条款，凡是不注日期的引用文件，其最新版本适用于本规范。</w:t>
      </w:r>
    </w:p>
    <w:p>
      <w:pPr>
        <w:ind w:firstLine="600"/>
        <w:rPr>
          <w:rFonts w:ascii="仿宋" w:hAnsi="仿宋" w:eastAsia="仿宋" w:cs="仿宋_GB2312"/>
          <w:szCs w:val="30"/>
        </w:rPr>
      </w:pPr>
      <w:r>
        <w:rPr>
          <w:rFonts w:ascii="仿宋" w:hAnsi="仿宋" w:eastAsia="仿宋" w:cs="仿宋_GB2312"/>
          <w:szCs w:val="30"/>
        </w:rPr>
        <w:t>ISO/IEC 10646 Information Technology -- Universal Coded Character Set (UCS)</w:t>
      </w:r>
    </w:p>
    <w:p>
      <w:pPr>
        <w:ind w:firstLine="600"/>
        <w:rPr>
          <w:rFonts w:ascii="仿宋" w:hAnsi="仿宋" w:eastAsia="仿宋" w:cs="仿宋_GB2312"/>
          <w:szCs w:val="30"/>
        </w:rPr>
      </w:pPr>
      <w:r>
        <w:rPr>
          <w:rFonts w:hint="eastAsia" w:ascii="仿宋" w:hAnsi="仿宋" w:eastAsia="仿宋" w:cs="仿宋_GB2312"/>
          <w:szCs w:val="30"/>
        </w:rPr>
        <w:t>GB 32100-2015 法人和其他组织统一社会信用代码编码规则</w:t>
      </w:r>
    </w:p>
    <w:p>
      <w:pPr>
        <w:ind w:firstLine="600"/>
        <w:rPr>
          <w:rFonts w:ascii="仿宋" w:hAnsi="仿宋" w:eastAsia="仿宋" w:cs="仿宋_GB2312"/>
          <w:szCs w:val="30"/>
        </w:rPr>
      </w:pPr>
      <w:r>
        <w:rPr>
          <w:rFonts w:hint="eastAsia" w:ascii="仿宋" w:hAnsi="仿宋" w:eastAsia="仿宋" w:cs="仿宋_GB2312"/>
          <w:szCs w:val="30"/>
        </w:rPr>
        <w:t>GB 11714-1997 全国组织机构代码编制规则</w:t>
      </w:r>
    </w:p>
    <w:p>
      <w:pPr>
        <w:ind w:firstLine="600"/>
        <w:rPr>
          <w:rFonts w:ascii="仿宋" w:hAnsi="仿宋" w:eastAsia="仿宋" w:cs="仿宋_GB2312"/>
          <w:szCs w:val="30"/>
        </w:rPr>
      </w:pPr>
      <w:r>
        <w:rPr>
          <w:rFonts w:hint="eastAsia" w:ascii="仿宋" w:hAnsi="仿宋" w:eastAsia="仿宋" w:cs="仿宋_GB2312"/>
          <w:szCs w:val="30"/>
        </w:rPr>
        <w:t>GB 11643-1999 公民身份号码</w:t>
      </w:r>
    </w:p>
    <w:p>
      <w:pPr>
        <w:ind w:firstLine="600"/>
        <w:rPr>
          <w:rFonts w:ascii="仿宋" w:hAnsi="仿宋" w:eastAsia="仿宋" w:cs="仿宋_GB2312"/>
          <w:szCs w:val="30"/>
        </w:rPr>
      </w:pPr>
      <w:r>
        <w:rPr>
          <w:rFonts w:hint="eastAsia" w:ascii="仿宋" w:hAnsi="仿宋" w:eastAsia="仿宋" w:cs="仿宋_GB2312"/>
          <w:szCs w:val="30"/>
        </w:rPr>
        <w:t>GB/T 4754 国民经济行业分类</w:t>
      </w:r>
    </w:p>
    <w:p>
      <w:pPr>
        <w:ind w:firstLine="600"/>
        <w:rPr>
          <w:rFonts w:ascii="仿宋" w:hAnsi="仿宋" w:eastAsia="仿宋" w:cs="仿宋_GB2312"/>
          <w:szCs w:val="30"/>
        </w:rPr>
      </w:pPr>
      <w:r>
        <w:rPr>
          <w:rFonts w:hint="eastAsia" w:ascii="仿宋" w:hAnsi="仿宋" w:eastAsia="仿宋" w:cs="仿宋_GB2312"/>
          <w:szCs w:val="30"/>
        </w:rPr>
        <w:t>GB/T 12406-2008 表示货币和资金的代码（ISO 4217:2001，IDT）</w:t>
      </w:r>
    </w:p>
    <w:p>
      <w:pPr>
        <w:ind w:firstLine="600"/>
        <w:rPr>
          <w:rFonts w:ascii="仿宋" w:hAnsi="仿宋" w:eastAsia="仿宋" w:cs="仿宋_GB2312"/>
          <w:szCs w:val="30"/>
        </w:rPr>
      </w:pPr>
      <w:r>
        <w:rPr>
          <w:rFonts w:hint="eastAsia" w:ascii="仿宋" w:hAnsi="仿宋" w:eastAsia="仿宋" w:cs="仿宋_GB2312"/>
          <w:szCs w:val="30"/>
        </w:rPr>
        <w:t xml:space="preserve">GB/T </w:t>
      </w:r>
      <w:r>
        <w:rPr>
          <w:rFonts w:ascii="仿宋" w:hAnsi="仿宋" w:eastAsia="仿宋" w:cs="仿宋_GB2312"/>
          <w:szCs w:val="30"/>
        </w:rPr>
        <w:t xml:space="preserve">2659-2000 </w:t>
      </w:r>
      <w:r>
        <w:rPr>
          <w:rFonts w:hint="eastAsia" w:ascii="仿宋" w:hAnsi="仿宋" w:eastAsia="仿宋" w:cs="仿宋_GB2312"/>
          <w:szCs w:val="30"/>
        </w:rPr>
        <w:t>世界各国和地区名称代码</w:t>
      </w:r>
    </w:p>
    <w:p>
      <w:pPr>
        <w:ind w:firstLine="600"/>
        <w:rPr>
          <w:rFonts w:ascii="仿宋" w:hAnsi="仿宋" w:eastAsia="仿宋" w:cs="仿宋_GB2312"/>
          <w:szCs w:val="30"/>
        </w:rPr>
      </w:pPr>
      <w:r>
        <w:rPr>
          <w:rFonts w:hint="eastAsia" w:ascii="仿宋" w:hAnsi="仿宋" w:eastAsia="仿宋" w:cs="仿宋_GB2312"/>
          <w:szCs w:val="30"/>
        </w:rPr>
        <w:t>GB/T</w:t>
      </w:r>
      <w:r>
        <w:rPr>
          <w:rFonts w:ascii="仿宋" w:hAnsi="仿宋" w:eastAsia="仿宋" w:cs="仿宋_GB2312"/>
          <w:szCs w:val="30"/>
        </w:rPr>
        <w:t xml:space="preserve"> </w:t>
      </w:r>
      <w:r>
        <w:rPr>
          <w:rFonts w:hint="eastAsia" w:ascii="仿宋" w:hAnsi="仿宋" w:eastAsia="仿宋" w:cs="仿宋_GB2312"/>
          <w:szCs w:val="30"/>
        </w:rPr>
        <w:t>2260-2007 中华人民共和国行政区划代码</w:t>
      </w:r>
    </w:p>
    <w:p>
      <w:pPr>
        <w:ind w:firstLine="600"/>
        <w:rPr>
          <w:rFonts w:ascii="仿宋" w:hAnsi="仿宋" w:eastAsia="仿宋" w:cs="仿宋_GB2312"/>
          <w:szCs w:val="30"/>
        </w:rPr>
      </w:pPr>
      <w:r>
        <w:rPr>
          <w:rFonts w:ascii="仿宋" w:hAnsi="仿宋" w:eastAsia="仿宋" w:cs="仿宋_GB2312"/>
          <w:szCs w:val="30"/>
        </w:rPr>
        <w:t>GB/T 3304</w:t>
      </w:r>
      <w:r>
        <w:rPr>
          <w:rFonts w:hint="eastAsia" w:ascii="仿宋" w:hAnsi="仿宋" w:eastAsia="仿宋" w:cs="仿宋_GB2312"/>
          <w:szCs w:val="30"/>
        </w:rPr>
        <w:t>-1991</w:t>
      </w:r>
      <w:r>
        <w:rPr>
          <w:rFonts w:ascii="仿宋" w:hAnsi="仿宋" w:eastAsia="仿宋" w:cs="仿宋_GB2312"/>
          <w:szCs w:val="30"/>
        </w:rPr>
        <w:t xml:space="preserve"> </w:t>
      </w:r>
      <w:r>
        <w:rPr>
          <w:rFonts w:hint="eastAsia" w:ascii="仿宋" w:hAnsi="仿宋" w:eastAsia="仿宋" w:cs="仿宋_GB2312"/>
          <w:szCs w:val="30"/>
        </w:rPr>
        <w:t>中国各民族名称的罗马字母拼写法和代码</w:t>
      </w:r>
    </w:p>
    <w:p>
      <w:pPr>
        <w:ind w:firstLine="640"/>
        <w:rPr>
          <w:rFonts w:ascii="仿宋" w:hAnsi="仿宋" w:eastAsia="仿宋" w:cs="仿宋_GB2312"/>
          <w:sz w:val="32"/>
          <w:szCs w:val="32"/>
        </w:rPr>
      </w:pPr>
    </w:p>
    <w:p>
      <w:pPr>
        <w:keepNext/>
        <w:keepLines/>
        <w:numPr>
          <w:ilvl w:val="0"/>
          <w:numId w:val="1"/>
        </w:numPr>
        <w:ind w:left="0" w:firstLine="600" w:firstLineChars="0"/>
        <w:outlineLvl w:val="0"/>
        <w:rPr>
          <w:rFonts w:ascii="黑体" w:hAnsi="黑体" w:eastAsia="黑体"/>
          <w:kern w:val="44"/>
          <w:szCs w:val="30"/>
        </w:rPr>
      </w:pPr>
      <w:bookmarkStart w:id="20" w:name="_Toc1509"/>
      <w:bookmarkStart w:id="21" w:name="_Toc26217"/>
      <w:bookmarkStart w:id="22" w:name="_Toc32761"/>
      <w:bookmarkStart w:id="23" w:name="_Toc1167"/>
      <w:bookmarkStart w:id="24" w:name="_Toc29570"/>
      <w:bookmarkStart w:id="25" w:name="_Toc18845"/>
      <w:bookmarkStart w:id="26" w:name="_Toc73958556"/>
      <w:bookmarkStart w:id="27" w:name="_Toc817"/>
      <w:bookmarkStart w:id="28" w:name="_Toc14671"/>
      <w:bookmarkStart w:id="29" w:name="_Toc31360"/>
      <w:r>
        <w:rPr>
          <w:rFonts w:hint="eastAsia" w:ascii="黑体" w:hAnsi="黑体" w:eastAsia="黑体"/>
          <w:kern w:val="44"/>
          <w:szCs w:val="30"/>
        </w:rPr>
        <w:t>数据结构</w:t>
      </w:r>
      <w:bookmarkEnd w:id="20"/>
      <w:bookmarkEnd w:id="21"/>
      <w:bookmarkEnd w:id="22"/>
      <w:bookmarkEnd w:id="23"/>
      <w:bookmarkEnd w:id="24"/>
      <w:bookmarkEnd w:id="25"/>
      <w:bookmarkEnd w:id="26"/>
      <w:bookmarkEnd w:id="27"/>
      <w:bookmarkEnd w:id="28"/>
      <w:bookmarkEnd w:id="29"/>
    </w:p>
    <w:p>
      <w:pPr>
        <w:keepNext/>
        <w:keepLines/>
        <w:numPr>
          <w:ilvl w:val="0"/>
          <w:numId w:val="5"/>
        </w:numPr>
        <w:ind w:left="0" w:firstLine="602" w:firstLineChars="0"/>
        <w:outlineLvl w:val="1"/>
        <w:rPr>
          <w:rFonts w:ascii="Arial" w:hAnsi="Arial" w:eastAsia="楷体"/>
          <w:b/>
          <w:szCs w:val="30"/>
        </w:rPr>
      </w:pPr>
      <w:bookmarkStart w:id="30" w:name="_Toc9427"/>
      <w:bookmarkStart w:id="31" w:name="_Toc26252"/>
      <w:bookmarkStart w:id="32" w:name="_Toc23384"/>
      <w:bookmarkStart w:id="33" w:name="_Toc13467"/>
      <w:bookmarkStart w:id="34" w:name="_Toc31468"/>
      <w:bookmarkStart w:id="35" w:name="_Toc4741"/>
      <w:bookmarkStart w:id="36" w:name="_Toc31559"/>
      <w:bookmarkStart w:id="37" w:name="_Toc73958557"/>
      <w:bookmarkStart w:id="38" w:name="_Toc13047"/>
      <w:bookmarkStart w:id="39" w:name="_Toc14876"/>
      <w:r>
        <w:rPr>
          <w:rFonts w:hint="eastAsia" w:ascii="Arial" w:hAnsi="Arial" w:eastAsia="楷体"/>
          <w:b/>
          <w:szCs w:val="30"/>
        </w:rPr>
        <w:t>数据结构单元</w:t>
      </w:r>
      <w:bookmarkEnd w:id="30"/>
      <w:bookmarkEnd w:id="31"/>
      <w:bookmarkEnd w:id="32"/>
      <w:bookmarkEnd w:id="33"/>
      <w:bookmarkEnd w:id="34"/>
      <w:bookmarkEnd w:id="35"/>
      <w:bookmarkEnd w:id="36"/>
      <w:bookmarkEnd w:id="37"/>
      <w:bookmarkEnd w:id="38"/>
      <w:bookmarkEnd w:id="39"/>
    </w:p>
    <w:p>
      <w:pPr>
        <w:ind w:firstLine="600"/>
        <w:rPr>
          <w:rFonts w:ascii="仿宋" w:hAnsi="仿宋" w:eastAsia="仿宋"/>
          <w:szCs w:val="30"/>
        </w:rPr>
      </w:pPr>
      <w:r>
        <w:rPr>
          <w:rFonts w:hint="eastAsia" w:ascii="仿宋" w:hAnsi="仿宋" w:eastAsia="仿宋"/>
          <w:szCs w:val="30"/>
        </w:rPr>
        <w:t>规范内容的结构单元如下表所示：</w:t>
      </w:r>
    </w:p>
    <w:tbl>
      <w:tblPr>
        <w:tblStyle w:val="25"/>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09" w:type="dxa"/>
            <w:shd w:val="clear" w:color="auto" w:fill="D8D8D8" w:themeFill="background1" w:themeFillShade="D9"/>
            <w:vAlign w:val="center"/>
          </w:tcPr>
          <w:p>
            <w:pPr>
              <w:spacing w:line="288" w:lineRule="auto"/>
              <w:ind w:firstLine="0" w:firstLineChars="0"/>
              <w:jc w:val="center"/>
              <w:rPr>
                <w:rFonts w:ascii="宋体" w:hAnsi="宋体" w:eastAsia="宋体" w:cstheme="minorEastAsia"/>
                <w:b/>
                <w:bCs/>
                <w:color w:val="000000" w:themeColor="text1"/>
                <w:sz w:val="21"/>
                <w:szCs w:val="21"/>
                <w14:textFill>
                  <w14:solidFill>
                    <w14:schemeClr w14:val="tx1"/>
                  </w14:solidFill>
                </w14:textFill>
              </w:rPr>
            </w:pPr>
            <w:r>
              <w:rPr>
                <w:rFonts w:hint="eastAsia" w:ascii="宋体" w:hAnsi="宋体" w:eastAsia="宋体" w:cstheme="minorEastAsia"/>
                <w:b/>
                <w:bCs/>
                <w:color w:val="000000" w:themeColor="text1"/>
                <w:sz w:val="21"/>
                <w:szCs w:val="21"/>
                <w14:textFill>
                  <w14:solidFill>
                    <w14:schemeClr w14:val="tx1"/>
                  </w14:solidFill>
                </w14:textFill>
              </w:rPr>
              <w:t>结构单元</w:t>
            </w:r>
          </w:p>
        </w:tc>
        <w:tc>
          <w:tcPr>
            <w:tcW w:w="6816" w:type="dxa"/>
            <w:shd w:val="clear" w:color="auto" w:fill="D8D8D8" w:themeFill="background1" w:themeFillShade="D9"/>
            <w:vAlign w:val="center"/>
          </w:tcPr>
          <w:p>
            <w:pPr>
              <w:spacing w:line="288" w:lineRule="auto"/>
              <w:ind w:firstLine="0" w:firstLineChars="0"/>
              <w:jc w:val="center"/>
              <w:rPr>
                <w:rFonts w:ascii="宋体" w:hAnsi="宋体" w:eastAsia="宋体" w:cstheme="minorEastAsia"/>
                <w:b/>
                <w:bCs/>
                <w:color w:val="000000" w:themeColor="text1"/>
                <w:sz w:val="21"/>
                <w:szCs w:val="21"/>
                <w14:textFill>
                  <w14:solidFill>
                    <w14:schemeClr w14:val="tx1"/>
                  </w14:solidFill>
                </w14:textFill>
              </w:rPr>
            </w:pPr>
            <w:r>
              <w:rPr>
                <w:rFonts w:hint="eastAsia" w:ascii="宋体" w:hAnsi="宋体" w:eastAsia="宋体" w:cstheme="minorEastAsia"/>
                <w:b/>
                <w:bCs/>
                <w:color w:val="000000" w:themeColor="text1"/>
                <w:sz w:val="21"/>
                <w:szCs w:val="21"/>
                <w14:textFill>
                  <w14:solidFill>
                    <w14:schemeClr w14:val="tx1"/>
                  </w14:solidFill>
                </w14:textFill>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88" w:lineRule="auto"/>
              <w:ind w:firstLine="0" w:firstLineChars="0"/>
              <w:jc w:val="left"/>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主题域</w:t>
            </w:r>
          </w:p>
        </w:tc>
        <w:tc>
          <w:tcPr>
            <w:tcW w:w="6816" w:type="dxa"/>
            <w:vAlign w:val="center"/>
          </w:tcPr>
          <w:p>
            <w:pPr>
              <w:spacing w:line="288" w:lineRule="auto"/>
              <w:ind w:firstLine="0" w:firstLineChars="0"/>
              <w:jc w:val="left"/>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用于划分监管关注领域大类。分公司治理、公司财务、保险资产管理公司自有资金投资业务、保险资产管理公司受托投资业务、保险资产管理公司产品管理业务、投资资产信息、关联交易信息7个主题域。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88" w:lineRule="auto"/>
              <w:ind w:firstLine="0" w:firstLineChars="0"/>
              <w:jc w:val="left"/>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表</w:t>
            </w:r>
          </w:p>
        </w:tc>
        <w:tc>
          <w:tcPr>
            <w:tcW w:w="6816" w:type="dxa"/>
            <w:vAlign w:val="center"/>
          </w:tcPr>
          <w:p>
            <w:pPr>
              <w:spacing w:line="288" w:lineRule="auto"/>
              <w:ind w:firstLine="0" w:firstLineChars="0"/>
              <w:jc w:val="left"/>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即关系型数据表格，承载具体业务数据，一个主题域有多个表。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88" w:lineRule="auto"/>
              <w:ind w:firstLine="0" w:firstLineChars="0"/>
              <w:jc w:val="left"/>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数据项（列）</w:t>
            </w:r>
          </w:p>
        </w:tc>
        <w:tc>
          <w:tcPr>
            <w:tcW w:w="6816" w:type="dxa"/>
            <w:vAlign w:val="center"/>
          </w:tcPr>
          <w:p>
            <w:pPr>
              <w:spacing w:line="288" w:lineRule="auto"/>
              <w:ind w:firstLine="0" w:firstLineChars="0"/>
              <w:jc w:val="left"/>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表内有一个或多个数据项（列），即数据的基本单位。每个数据项的释义见“</w:t>
            </w:r>
            <w:r>
              <w:rPr>
                <w:rFonts w:ascii="宋体" w:hAnsi="宋体" w:eastAsia="宋体" w:cstheme="minorEastAsia"/>
                <w:color w:val="000000" w:themeColor="text1"/>
                <w:sz w:val="21"/>
                <w:szCs w:val="21"/>
                <w14:textFill>
                  <w14:solidFill>
                    <w14:schemeClr w14:val="tx1"/>
                  </w14:solidFill>
                </w14:textFill>
              </w:rPr>
              <w:t>数据项说明</w:t>
            </w:r>
            <w:r>
              <w:rPr>
                <w:rFonts w:hint="eastAsia" w:ascii="宋体" w:hAnsi="宋体" w:eastAsia="宋体"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288" w:lineRule="auto"/>
              <w:ind w:firstLine="0" w:firstLineChars="0"/>
              <w:jc w:val="left"/>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sz w:val="21"/>
                <w:szCs w:val="21"/>
              </w:rPr>
              <w:t>数据实例（行）</w:t>
            </w:r>
          </w:p>
        </w:tc>
        <w:tc>
          <w:tcPr>
            <w:tcW w:w="6816" w:type="dxa"/>
          </w:tcPr>
          <w:p>
            <w:pPr>
              <w:spacing w:line="288" w:lineRule="auto"/>
              <w:ind w:firstLine="0" w:firstLineChars="0"/>
              <w:jc w:val="left"/>
              <w:rPr>
                <w:rFonts w:ascii="宋体" w:hAnsi="宋体" w:eastAsia="宋体" w:cstheme="minorEastAsia"/>
                <w:color w:val="000000" w:themeColor="text1"/>
                <w:sz w:val="21"/>
                <w:szCs w:val="21"/>
                <w14:textFill>
                  <w14:solidFill>
                    <w14:schemeClr w14:val="tx1"/>
                  </w14:solidFill>
                </w14:textFill>
              </w:rPr>
            </w:pPr>
            <w:r>
              <w:rPr>
                <w:rFonts w:ascii="宋体" w:hAnsi="宋体" w:eastAsia="宋体"/>
                <w:sz w:val="21"/>
                <w:szCs w:val="21"/>
              </w:rPr>
              <w:t>每一个数据实例包含且仅包含一行所有数据项（列）定义的数据，是数据存储和报送的基本单位。数据实例遵循关系型数据库第二范式，即数据实例在同一表中不重复。</w:t>
            </w:r>
          </w:p>
        </w:tc>
      </w:tr>
    </w:tbl>
    <w:p>
      <w:pPr>
        <w:keepNext/>
        <w:keepLines/>
        <w:numPr>
          <w:ilvl w:val="0"/>
          <w:numId w:val="5"/>
        </w:numPr>
        <w:ind w:left="0" w:firstLine="602" w:firstLineChars="0"/>
        <w:outlineLvl w:val="1"/>
        <w:rPr>
          <w:rFonts w:ascii="Arial" w:hAnsi="Arial" w:eastAsia="楷体"/>
          <w:b/>
          <w:szCs w:val="30"/>
        </w:rPr>
      </w:pPr>
      <w:bookmarkStart w:id="40" w:name="_Toc10043"/>
      <w:bookmarkStart w:id="41" w:name="_Toc10927"/>
      <w:bookmarkStart w:id="42" w:name="_Toc73958558"/>
      <w:bookmarkStart w:id="43" w:name="_Toc24054"/>
      <w:bookmarkStart w:id="44" w:name="_Toc30334"/>
      <w:bookmarkStart w:id="45" w:name="_Toc20905"/>
      <w:bookmarkStart w:id="46" w:name="_Toc14621"/>
      <w:bookmarkStart w:id="47" w:name="_Toc23888"/>
      <w:bookmarkStart w:id="48" w:name="_Toc7171"/>
      <w:bookmarkStart w:id="49" w:name="_Toc21707"/>
      <w:r>
        <w:rPr>
          <w:rFonts w:hint="eastAsia" w:ascii="Arial" w:hAnsi="Arial" w:eastAsia="楷体"/>
          <w:b/>
          <w:szCs w:val="30"/>
        </w:rPr>
        <w:t>数据项格式</w:t>
      </w:r>
      <w:bookmarkEnd w:id="40"/>
      <w:bookmarkEnd w:id="41"/>
      <w:bookmarkEnd w:id="42"/>
      <w:bookmarkEnd w:id="43"/>
      <w:bookmarkEnd w:id="44"/>
      <w:bookmarkEnd w:id="45"/>
      <w:bookmarkEnd w:id="46"/>
      <w:bookmarkEnd w:id="47"/>
      <w:bookmarkEnd w:id="48"/>
      <w:bookmarkEnd w:id="49"/>
    </w:p>
    <w:p>
      <w:pPr>
        <w:ind w:firstLine="600"/>
        <w:rPr>
          <w:rFonts w:ascii="仿宋" w:hAnsi="仿宋" w:eastAsia="仿宋"/>
          <w:szCs w:val="30"/>
        </w:rPr>
      </w:pPr>
      <w:bookmarkStart w:id="50" w:name="_Toc8817"/>
      <w:bookmarkStart w:id="51" w:name="_Toc31440"/>
      <w:bookmarkStart w:id="52" w:name="_Toc29319"/>
      <w:bookmarkStart w:id="53" w:name="_Toc73958559"/>
      <w:bookmarkStart w:id="54" w:name="_Toc3525"/>
      <w:bookmarkStart w:id="55" w:name="_Toc17248"/>
      <w:bookmarkStart w:id="56" w:name="_Toc25305"/>
      <w:bookmarkStart w:id="57" w:name="_Toc26955"/>
      <w:bookmarkStart w:id="58" w:name="_Toc8089"/>
      <w:bookmarkStart w:id="59" w:name="_Toc9919"/>
      <w:r>
        <w:rPr>
          <w:rFonts w:hint="eastAsia" w:ascii="仿宋" w:hAnsi="仿宋" w:eastAsia="仿宋"/>
          <w:szCs w:val="30"/>
        </w:rPr>
        <w:t>数据项格式是数据标准项在精度、长度、形态上的规范，包括所允许的最大和/或最小字符长度、数据的表示格式等。数据格式及详细描述如下表所示：</w:t>
      </w:r>
    </w:p>
    <w:tbl>
      <w:tblPr>
        <w:tblStyle w:val="25"/>
        <w:tblW w:w="8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6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821" w:type="dxa"/>
            <w:shd w:val="clear" w:color="auto" w:fill="D7D7D7" w:themeFill="background1" w:themeFillShade="D8"/>
            <w:vAlign w:val="center"/>
          </w:tcPr>
          <w:p>
            <w:pPr>
              <w:spacing w:line="288" w:lineRule="auto"/>
              <w:ind w:firstLine="0" w:firstLineChars="0"/>
              <w:jc w:val="center"/>
              <w:rPr>
                <w:rFonts w:ascii="宋体" w:hAnsi="宋体" w:eastAsia="宋体" w:cstheme="majorEastAsia"/>
                <w:b/>
                <w:color w:val="000000" w:themeColor="text1"/>
                <w:sz w:val="21"/>
                <w:szCs w:val="21"/>
                <w14:textFill>
                  <w14:solidFill>
                    <w14:schemeClr w14:val="tx1"/>
                  </w14:solidFill>
                </w14:textFill>
              </w:rPr>
            </w:pPr>
            <w:r>
              <w:rPr>
                <w:rFonts w:hint="eastAsia" w:ascii="宋体" w:hAnsi="宋体" w:eastAsia="宋体" w:cstheme="majorEastAsia"/>
                <w:b/>
                <w:color w:val="000000" w:themeColor="text1"/>
                <w:sz w:val="21"/>
                <w:szCs w:val="21"/>
                <w14:textFill>
                  <w14:solidFill>
                    <w14:schemeClr w14:val="tx1"/>
                  </w14:solidFill>
                </w14:textFill>
              </w:rPr>
              <w:t>数据格式</w:t>
            </w:r>
          </w:p>
        </w:tc>
        <w:tc>
          <w:tcPr>
            <w:tcW w:w="6833" w:type="dxa"/>
            <w:shd w:val="clear" w:color="auto" w:fill="D7D7D7" w:themeFill="background1" w:themeFillShade="D8"/>
            <w:vAlign w:val="center"/>
          </w:tcPr>
          <w:p>
            <w:pPr>
              <w:spacing w:line="288" w:lineRule="auto"/>
              <w:ind w:firstLine="0" w:firstLineChars="0"/>
              <w:jc w:val="center"/>
              <w:rPr>
                <w:rFonts w:ascii="宋体" w:hAnsi="宋体" w:eastAsia="宋体" w:cstheme="majorEastAsia"/>
                <w:b/>
                <w:color w:val="000000" w:themeColor="text1"/>
                <w:sz w:val="21"/>
                <w:szCs w:val="21"/>
                <w14:textFill>
                  <w14:solidFill>
                    <w14:schemeClr w14:val="tx1"/>
                  </w14:solidFill>
                </w14:textFill>
              </w:rPr>
            </w:pPr>
            <w:r>
              <w:rPr>
                <w:rFonts w:hint="eastAsia" w:ascii="宋体" w:hAnsi="宋体" w:eastAsia="宋体" w:cstheme="majorEastAsia"/>
                <w:b/>
                <w:color w:val="000000" w:themeColor="text1"/>
                <w:sz w:val="21"/>
                <w:szCs w:val="21"/>
                <w14:textFill>
                  <w14:solidFill>
                    <w14:schemeClr w14:val="tx1"/>
                  </w14:solidFill>
                </w14:textFill>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字母字符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n</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数字字符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an</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字母数字字符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anc</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字母数字汉字字符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M、N</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自然数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M!a</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M位字母字符，定长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 xml:space="preserve">M!n </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M位数字字符，定长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M!an</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M位字母数字字符，定长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 xml:space="preserve">M!anc  </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M位字母数字汉字字符，定长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a..M</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最多为M位字母字符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n..M</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最多为M位数字字符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an..M</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最多为M位字母数字字符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anc..M</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最多为M位字母数字汉字字符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aM..</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最少为M位字母字符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nM..</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最少为M位数字字符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anM..</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最少为M位字母数字字符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ancM..</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最少为M位字母数字汉字字符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aM..N</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最少为M位最多为N位字母字符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nM..N</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最少为M位最多为N位数字字符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anM..N</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最少为M位最多为N位字母数字字符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ancM..N</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最少为M位最多为N位字母数字汉字字符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 xml:space="preserve">M(N) </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M位数字字符，其中包括小数点和N个小数位（M&gt;N+1）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YYYY-MM-DD</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日期格式，表示年月日。Y表示时间元素“年”所使用的数字，M表示时间元素“月”所使用的数字，D表示时间元素“日”所使用的数字。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HH:MM:SS</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时间格式（24小时制），表示时分秒。H表示时间元素“小时”所使用的数字，M表示时间元素“分钟”所使用的数字，S表示时间元素“秒”所使用的数字。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YYYY-MM-DDTHH:MM:SS</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日期时间格式，表示某年某月某日某时某分某秒。T为时间标识符，在日期和时间组合表达式中，用以标识该日的时间表示法的开始。</w:t>
            </w:r>
          </w:p>
        </w:tc>
      </w:tr>
    </w:tbl>
    <w:p>
      <w:pPr>
        <w:ind w:firstLine="600"/>
        <w:rPr>
          <w:rFonts w:ascii="仿宋" w:hAnsi="仿宋" w:eastAsia="仿宋"/>
          <w:szCs w:val="30"/>
        </w:rPr>
      </w:pPr>
      <w:r>
        <w:rPr>
          <w:rFonts w:hint="eastAsia" w:ascii="仿宋" w:hAnsi="仿宋" w:eastAsia="仿宋"/>
          <w:szCs w:val="30"/>
        </w:rPr>
        <w:t>示例:</w:t>
      </w:r>
    </w:p>
    <w:p>
      <w:pPr>
        <w:ind w:firstLine="600"/>
        <w:rPr>
          <w:rFonts w:ascii="仿宋" w:hAnsi="仿宋" w:eastAsia="仿宋"/>
          <w:szCs w:val="30"/>
        </w:rPr>
      </w:pPr>
      <w:r>
        <w:rPr>
          <w:rFonts w:hint="eastAsia" w:ascii="仿宋" w:hAnsi="仿宋" w:eastAsia="仿宋"/>
          <w:szCs w:val="30"/>
        </w:rPr>
        <w:t>7!an 表示定长7位字母数字字符。</w:t>
      </w:r>
    </w:p>
    <w:p>
      <w:pPr>
        <w:ind w:firstLine="600"/>
        <w:rPr>
          <w:rFonts w:ascii="仿宋" w:hAnsi="仿宋" w:eastAsia="仿宋"/>
          <w:szCs w:val="30"/>
        </w:rPr>
      </w:pPr>
      <w:r>
        <w:rPr>
          <w:rFonts w:hint="eastAsia" w:ascii="仿宋" w:hAnsi="仿宋" w:eastAsia="仿宋"/>
          <w:szCs w:val="30"/>
        </w:rPr>
        <w:t>anc3..8 表示最小长度为３，最大长度为８的不定长字母数字汉字字符。</w:t>
      </w:r>
    </w:p>
    <w:p>
      <w:pPr>
        <w:ind w:firstLine="600"/>
        <w:rPr>
          <w:rFonts w:ascii="仿宋" w:hAnsi="仿宋" w:eastAsia="仿宋"/>
          <w:szCs w:val="30"/>
        </w:rPr>
      </w:pPr>
      <w:r>
        <w:rPr>
          <w:rFonts w:hint="eastAsia" w:ascii="仿宋" w:hAnsi="仿宋" w:eastAsia="仿宋"/>
          <w:szCs w:val="30"/>
        </w:rPr>
        <w:t>12n(2) 表示12位数字字符，其中包括小数点和2个小数位。</w:t>
      </w:r>
    </w:p>
    <w:p>
      <w:pPr>
        <w:keepNext/>
        <w:keepLines/>
        <w:numPr>
          <w:ilvl w:val="0"/>
          <w:numId w:val="5"/>
        </w:numPr>
        <w:ind w:left="0" w:firstLine="602" w:firstLineChars="0"/>
        <w:outlineLvl w:val="1"/>
        <w:rPr>
          <w:rFonts w:ascii="Arial" w:hAnsi="Arial" w:eastAsia="楷体"/>
          <w:b/>
          <w:szCs w:val="30"/>
        </w:rPr>
      </w:pPr>
      <w:r>
        <w:rPr>
          <w:rFonts w:hint="eastAsia" w:ascii="Arial" w:hAnsi="Arial" w:eastAsia="楷体"/>
          <w:b/>
          <w:szCs w:val="30"/>
        </w:rPr>
        <w:t>数据结构目录</w:t>
      </w:r>
      <w:bookmarkEnd w:id="50"/>
      <w:bookmarkEnd w:id="51"/>
      <w:bookmarkEnd w:id="52"/>
      <w:bookmarkEnd w:id="53"/>
      <w:bookmarkEnd w:id="54"/>
      <w:bookmarkEnd w:id="55"/>
      <w:bookmarkEnd w:id="56"/>
      <w:bookmarkEnd w:id="57"/>
      <w:bookmarkEnd w:id="58"/>
      <w:bookmarkEnd w:id="59"/>
    </w:p>
    <w:p>
      <w:pPr>
        <w:ind w:firstLine="600"/>
        <w:rPr>
          <w:rFonts w:cs="仿宋_GB2312"/>
          <w:color w:val="000000" w:themeColor="text1"/>
          <w:szCs w:val="30"/>
          <w14:textFill>
            <w14:solidFill>
              <w14:schemeClr w14:val="tx1"/>
            </w14:solidFill>
          </w14:textFill>
        </w:rPr>
      </w:pPr>
      <w:r>
        <w:rPr>
          <w:rFonts w:hint="eastAsia" w:ascii="仿宋" w:hAnsi="仿宋" w:eastAsia="仿宋"/>
          <w:szCs w:val="30"/>
        </w:rPr>
        <w:t>数据结构目录是按照监管关注及业务维度对具体数据表的分类，分为</w:t>
      </w:r>
      <w:r>
        <w:rPr>
          <w:rFonts w:hint="eastAsia" w:ascii="仿宋" w:hAnsi="仿宋" w:eastAsia="仿宋" w:cs="仿宋_GB2312"/>
          <w:bCs/>
          <w:szCs w:val="30"/>
        </w:rPr>
        <w:t>公司治理、公司财务、保险资产管理公司自有资金投资业务、保险资产管理公司受托投资业务、保险资产管理公司产品管理业务、投资资产信息、关联交易信息七个主题域，及相关二级子域，具体如下：</w:t>
      </w:r>
    </w:p>
    <w:tbl>
      <w:tblPr>
        <w:tblStyle w:val="25"/>
        <w:tblW w:w="8834" w:type="dxa"/>
        <w:tblInd w:w="0" w:type="dxa"/>
        <w:tblLayout w:type="fixed"/>
        <w:tblCellMar>
          <w:top w:w="0" w:type="dxa"/>
          <w:left w:w="108" w:type="dxa"/>
          <w:bottom w:w="0" w:type="dxa"/>
          <w:right w:w="108" w:type="dxa"/>
        </w:tblCellMar>
      </w:tblPr>
      <w:tblGrid>
        <w:gridCol w:w="1129"/>
        <w:gridCol w:w="1138"/>
        <w:gridCol w:w="991"/>
        <w:gridCol w:w="2125"/>
        <w:gridCol w:w="850"/>
        <w:gridCol w:w="2601"/>
      </w:tblGrid>
      <w:tr>
        <w:tblPrEx>
          <w:tblCellMar>
            <w:top w:w="0" w:type="dxa"/>
            <w:left w:w="108" w:type="dxa"/>
            <w:bottom w:w="0" w:type="dxa"/>
            <w:right w:w="108" w:type="dxa"/>
          </w:tblCellMar>
        </w:tblPrEx>
        <w:trPr>
          <w:trHeight w:val="300" w:hRule="atLeast"/>
          <w:tblHeader/>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主题域</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子域</w:t>
            </w:r>
          </w:p>
        </w:tc>
        <w:tc>
          <w:tcPr>
            <w:tcW w:w="9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21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26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表说明</w:t>
            </w:r>
          </w:p>
        </w:tc>
      </w:tr>
      <w:tr>
        <w:tblPrEx>
          <w:tblCellMar>
            <w:top w:w="0" w:type="dxa"/>
            <w:left w:w="108" w:type="dxa"/>
            <w:bottom w:w="0" w:type="dxa"/>
            <w:right w:w="108" w:type="dxa"/>
          </w:tblCellMar>
        </w:tblPrEx>
        <w:trPr>
          <w:trHeight w:val="28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公司治理</w:t>
            </w:r>
          </w:p>
        </w:tc>
        <w:tc>
          <w:tcPr>
            <w:tcW w:w="1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公司治理</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JGJBXXB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机构基本信息表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A0101</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本表报送机构的基本信息。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GQXXB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股权信息表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A0102</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本表报送机构所有股权组成信息，对于上市公司仅报送前10大股东信息。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TZGLNLXXB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投资管理能力信息表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A0103</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本表报送机构投资管理能力，多项能力需要分开报送。</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KGCGJGXXB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控股参股机构信息表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A0104</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本表报送机构直接投资未上市股权的机构信息。</w:t>
            </w:r>
          </w:p>
        </w:tc>
      </w:tr>
      <w:tr>
        <w:tblPrEx>
          <w:tblCellMar>
            <w:top w:w="0" w:type="dxa"/>
            <w:left w:w="108" w:type="dxa"/>
            <w:bottom w:w="0" w:type="dxa"/>
            <w:right w:w="108" w:type="dxa"/>
          </w:tblCellMar>
        </w:tblPrEx>
        <w:trPr>
          <w:trHeight w:val="8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YGXXB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A0105</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本表报送所有与机构签订劳动合同的员工信息，包括在岗和离职员工，董事、监事、高管人员信息也应包含在内。首次报送时，对于报送期间内的离职员工信息也需要报送。</w:t>
            </w:r>
          </w:p>
        </w:tc>
      </w:tr>
      <w:tr>
        <w:tblPrEx>
          <w:tblCellMar>
            <w:top w:w="0" w:type="dxa"/>
            <w:left w:w="108" w:type="dxa"/>
            <w:bottom w:w="0" w:type="dxa"/>
            <w:right w:w="108" w:type="dxa"/>
          </w:tblCellMar>
        </w:tblPrEx>
        <w:trPr>
          <w:trHeight w:val="56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YGWZXXB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员工问责信息表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A0106</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本表报送本机构员工因违法、违反党纪等被本机构公开问责的情况，人员包括董事、监事、高管及其他员工，同一人受到多次问责的应分别填报。</w:t>
            </w:r>
          </w:p>
        </w:tc>
      </w:tr>
      <w:tr>
        <w:tblPrEx>
          <w:tblCellMar>
            <w:top w:w="0" w:type="dxa"/>
            <w:left w:w="108" w:type="dxa"/>
            <w:bottom w:w="0" w:type="dxa"/>
            <w:right w:w="108" w:type="dxa"/>
          </w:tblCellMar>
        </w:tblPrEx>
        <w:trPr>
          <w:trHeight w:val="56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DJGLZXXB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董监高履职信息表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A0107</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本表报送机构董事、监事、高管范围人员的履职情况信息，如董事、监事、高管兼任多个职务，需要分开报送。</w:t>
            </w:r>
          </w:p>
        </w:tc>
      </w:tr>
      <w:tr>
        <w:tblPrEx>
          <w:tblCellMar>
            <w:top w:w="0" w:type="dxa"/>
            <w:left w:w="108" w:type="dxa"/>
            <w:bottom w:w="0" w:type="dxa"/>
            <w:right w:w="108" w:type="dxa"/>
          </w:tblCellMar>
        </w:tblPrEx>
        <w:trPr>
          <w:trHeight w:val="8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DJGCFXXB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董监高处罚信息表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A0108</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本表报送保险资产管理公司内所有属于银保监会监管的董事、监事、高管范围的处罚信息，如董事、监事、高管兼任多个职务或受到多个处罚，需要分开报送。</w:t>
            </w:r>
          </w:p>
        </w:tc>
      </w:tr>
      <w:tr>
        <w:tblPrEx>
          <w:tblCellMar>
            <w:top w:w="0" w:type="dxa"/>
            <w:left w:w="108" w:type="dxa"/>
            <w:bottom w:w="0" w:type="dxa"/>
            <w:right w:w="108" w:type="dxa"/>
          </w:tblCellMar>
        </w:tblPrEx>
        <w:trPr>
          <w:trHeight w:val="84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公司财务</w:t>
            </w:r>
          </w:p>
        </w:tc>
        <w:tc>
          <w:tcPr>
            <w:tcW w:w="1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公司财务</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NBKMDZB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内部科目对照表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B0101</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本表报送机构总账会计全科目每一级科目由下级科目或明细账生成的关系，需要报送全量一级到最末级的会计科目。上级科目编号必须在该表中存在且具有唯一性。</w:t>
            </w:r>
          </w:p>
        </w:tc>
      </w:tr>
      <w:tr>
        <w:tblPrEx>
          <w:tblCellMar>
            <w:top w:w="0" w:type="dxa"/>
            <w:left w:w="108" w:type="dxa"/>
            <w:bottom w:w="0" w:type="dxa"/>
            <w:right w:w="108" w:type="dxa"/>
          </w:tblCellMar>
        </w:tblPrEx>
        <w:trPr>
          <w:trHeight w:val="56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ZZKJQKMB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总账会计全科目表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B0102</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本表报送机构全科目报表数据，币种包括人民币汇总、外币分币种汇总。此表与内部科目对照表关系一致。</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KJPZXXB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会计凭证信息表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B0103</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本表报送机构当期所有会计凭证。填报全科目凭证信息。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YHZHXXB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银行账户信息表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B0104</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本表报送机构所有银行账户信息，包含自有、受托及产品银行账户。</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CWXXTJB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财务信息统计表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B0105</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本表报送机构财务信息统计指标。</w:t>
            </w:r>
          </w:p>
        </w:tc>
      </w:tr>
      <w:tr>
        <w:tblPrEx>
          <w:tblCellMar>
            <w:top w:w="0" w:type="dxa"/>
            <w:left w:w="108" w:type="dxa"/>
            <w:bottom w:w="0" w:type="dxa"/>
            <w:right w:w="108" w:type="dxa"/>
          </w:tblCellMar>
        </w:tblPrEx>
        <w:trPr>
          <w:trHeight w:val="56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保险资产管理公司自有资金投资业务</w:t>
            </w:r>
          </w:p>
        </w:tc>
        <w:tc>
          <w:tcPr>
            <w:tcW w:w="1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自有资金投资业务</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ZYZJTZZHXXB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自有资金投资账户信息表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C0101</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本表报送保险资产管理公司自有资金在交易市场开立的投资账户信息，包括账户性质、账户基本信息、账户运作信息等信息。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ZYZJTZZHKMYEB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自有资金投资账户科目余额表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C0102</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本表报送保险资产管理公司自有资金投资账户科目余额表信息。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ZYZJTZZHKJPZMXB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自有资金投资账户会计凭证明细表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C0103</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本表报送保险资产管理公司当期自有资金投资账户会计凭证明细。</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ZYZJTZZHZCFZTJB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自有资金投资账户资产负债统计表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C0104</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本表报送保险资产管理公司自有资金投资账户资产负债统计信息。</w:t>
            </w:r>
          </w:p>
        </w:tc>
      </w:tr>
      <w:tr>
        <w:tblPrEx>
          <w:tblCellMar>
            <w:top w:w="0" w:type="dxa"/>
            <w:left w:w="108" w:type="dxa"/>
            <w:bottom w:w="0" w:type="dxa"/>
            <w:right w:w="108" w:type="dxa"/>
          </w:tblCellMar>
        </w:tblPrEx>
        <w:trPr>
          <w:trHeight w:val="56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ZYZJTZJYLSB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自有资金投资交易流水表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C0105</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本表报送保险资产管理公司当期自有资金投资交易流水，包括投资资产类型、投资资产名称、交易对手、交易金额等信息。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ZYZJTZCCB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自有资金投资持仓表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C0106</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本表报送保险资产管理公司自有资金投资持仓信息。</w:t>
            </w:r>
          </w:p>
        </w:tc>
      </w:tr>
      <w:tr>
        <w:tblPrEx>
          <w:tblCellMar>
            <w:top w:w="0" w:type="dxa"/>
            <w:left w:w="108" w:type="dxa"/>
            <w:bottom w:w="0" w:type="dxa"/>
            <w:right w:w="108" w:type="dxa"/>
          </w:tblCellMar>
        </w:tblPrEx>
        <w:trPr>
          <w:trHeight w:val="56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保险资产管理公司受托投资业务</w:t>
            </w:r>
          </w:p>
        </w:tc>
        <w:tc>
          <w:tcPr>
            <w:tcW w:w="1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受托投资业务</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STTZZHXXB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受托投资账户信息表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D0101</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本表报送保险资产管理公司受托资金在交易市场开立的投资账户信息，包括账户性质、账户基本信息、账户运作信息等信息。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STTZZHKMYEB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受托投资账户科目余额表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D0102</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本表报送保险资产管理公司受托投资账户科目余额表信息。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STTZZHKJPZMXB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受托投资账户会计凭证明细表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D0103</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本表报送保险资产管理公司当期受托投资账户总账会计凭证明细。</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STTZZHZCFZTJB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受托投资账户资产负债统计表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D0104</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本表报送保险资产管理公司受托投资账户资产负债统计信息。</w:t>
            </w:r>
          </w:p>
        </w:tc>
      </w:tr>
      <w:tr>
        <w:tblPrEx>
          <w:tblCellMar>
            <w:top w:w="0" w:type="dxa"/>
            <w:left w:w="108" w:type="dxa"/>
            <w:bottom w:w="0" w:type="dxa"/>
            <w:right w:w="108" w:type="dxa"/>
          </w:tblCellMar>
        </w:tblPrEx>
        <w:trPr>
          <w:trHeight w:val="56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STTZJYLSB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受托投资交易流水表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D0105</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本表报送保险资产管理公司当期受托投资交易流水，包括投资资产类型、投资资产名称、交易对手、交易金额等信息。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STTZCCB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受托投资持仓表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D0106</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本表报送保险资产管理公司受托投资持仓信息。</w:t>
            </w:r>
          </w:p>
        </w:tc>
      </w:tr>
      <w:tr>
        <w:tblPrEx>
          <w:tblCellMar>
            <w:top w:w="0" w:type="dxa"/>
            <w:left w:w="108" w:type="dxa"/>
            <w:bottom w:w="0" w:type="dxa"/>
            <w:right w:w="108" w:type="dxa"/>
          </w:tblCellMar>
        </w:tblPrEx>
        <w:trPr>
          <w:trHeight w:val="56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保险资产管理公司产品管理业务</w:t>
            </w:r>
          </w:p>
        </w:tc>
        <w:tc>
          <w:tcPr>
            <w:tcW w:w="1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产品管理业务</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CPZHXXB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产品账户信息表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E0101</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本表报送保险资产管理公司产品在交易市场开立的投资账户信息，包括账户性质、账户基本信息、账户运作信息等信息。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CPZHKMYEB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产品账户科目余额表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E0102</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本表报送保险资产管理公司产品账户科目余额表数据。</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CPZHKJPZMXB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产品账户会计凭证明细表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E0103</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本表报送保险资产管理公司当期产品账户会计凭证明细。</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CPZHZCFZTJB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产品账户资产负债统计表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E0104</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本表报送保险资产管理公司产品账户资产负债统计信息。</w:t>
            </w:r>
          </w:p>
        </w:tc>
      </w:tr>
      <w:tr>
        <w:tblPrEx>
          <w:tblCellMar>
            <w:top w:w="0" w:type="dxa"/>
            <w:left w:w="108" w:type="dxa"/>
            <w:bottom w:w="0" w:type="dxa"/>
            <w:right w:w="108" w:type="dxa"/>
          </w:tblCellMar>
        </w:tblPrEx>
        <w:trPr>
          <w:trHeight w:val="56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CPJYLSB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产品交易流水表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E0105</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本表报送保险资产管理公司当期产品交易流水，包括投资资产类型、投资资产名称、交易对手、交易金额等信息。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CPCCB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产品持仓表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E0106</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本表报送保险资产管理公司产品管理持仓信息。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债权投资计划</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ZQTZJHCPXXB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债权投资计划产品信息表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E0201</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本表报送保险资产管理公司管理债权计划基本信息。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ZQTZJHCPCYRXXB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债权投资计划产品持有人信息表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E0202</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本表报送保险资产管理公司管理债权计划持有人及变动情况信息。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ZQTZJHXMXXB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债权投资计划项目信息表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E0203</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本表报送保险资产管理公司管理债权计划所投资项目基础信息。多个项目逐条填报。</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ZQTZJHZXQKB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债权投资计划资信情况表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E0204</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本表报送保险资产管理公司管理债权计划相关主体及项目资信信息。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ZQTZJHZYFWJGXXB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债权投资计划专业服务机构信息表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E0205</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本表报送保险资产管理公司管理债权计划相关专业服务机构信息，如法律顾问、财务顾问、投资顾问、评估机构等。</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股权投资计划</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GQTZJHCPXXB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股权投资计划产品信息表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E0301</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本表报送保险资产管理公司管理股权计划基本信息。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GQTZJHCPCYRXXB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股权投资计划产品持有人信息表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E0302</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本表报送保险资产管理公司管理股权计划持有人及变动情况信息。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GQTZJHTZZCXXB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股权投资计划投资资产信息表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E0303</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本表报送保险资产管理公司管理股权计划投资资产信息。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GQTZJHZYFWJGXXB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股权投资计划专业服务机构信息表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E0304</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本表报送保险资产管理公司管理股权计划相关专业服务机构信息，如法律顾问、财务顾问、投资顾问、评估机构等。</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组合类保险资产管理产品</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ZHLCPJBXXB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组合类产品基本信息表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E0401</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本表报送保险资产管理公司管理组合类产品基本信息。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ZHLCPCYRMXB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组合类产品持有人明细表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E0402</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本表报送保险资产管理公司管理组合类产品持有人及变动情况信息。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资产支持计划</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ZCZCJHCPJBXXB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资产支持计划产品基本信息表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E0501</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本表报送保险资产管理公司管理资产支持计划产品基本信息。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ZCZCJHCPFJXXB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资产支持计划产品分级信息表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E0502</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本表报送保险资产管理公司管理资产支持计划分级产品信息。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ZCZCJHCYRXXB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资产支持计划持有人信息表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E0503</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本表报送保险资产管理公司管理资产支持计划持有人及变动情况信息。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ZCZCJHJCZCXXB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资产支持计划基础资产信息表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E0504</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本表报送保险资产管理公司管理资产支持计划投资基础资产信息。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ZCZCJHZXQKB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资产支持计划资信情况表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E0505</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本表报送保险资产管理公司管理资产支持计划相关主体及项目资信信息。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ZCZCJHZYFWJGXXB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资产支持计划专业服务机构信息表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E0506</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本表报送保险资产管理公司管理资产支持计划相关专业服务机构信息。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保险私募基金</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BXSMJJJBXXB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保险私募基金基本信息表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E0601</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本表报送保险资产管理公司管理保险私募基金基本信息，如法律顾问、财务顾问、投资顾问、评估机构等。</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BXSMJJCYRXXB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保险私募基金持有人信息表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E0602</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本表报送保险资产管理公司管理保险私募基金持有人及变动情况信息。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BXSMJJTZZCXXB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保险私募基金投资资产信息表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E0603</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本表报送保险资产管理公司管理保险私募基金投资资产信息。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BXSMJJZYFWJGXXB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保险私募基金专业服务机构信息表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E0604</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本表报送保险资产管理公司管理保险私募基金相关专业服务机构信息，如法律顾问、财务顾问、投资顾问、评估机构等。</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专项产品</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ZXCPJBXXB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专项产品基本信息表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E0701</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本表报送保险资产管理公司管理专项产品基本信息。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ZXCPCYRXXB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专项产品持有人信息表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E0702</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本表报送保险资产管理公司管理专项产品持有人及变动情况信息。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养老金产品</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YLJCPJBXXB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养老金产品基本信息表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E0801</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本表报送保险资产管理公司管理养老金产品基本信息。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YLJCPCYRXXB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养老金产品持有人信息表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E0802</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本表报送保险资产管理公司管理养老金产品持有人及变动情况信息。</w:t>
            </w:r>
          </w:p>
        </w:tc>
      </w:tr>
      <w:tr>
        <w:tblPrEx>
          <w:tblCellMar>
            <w:top w:w="0" w:type="dxa"/>
            <w:left w:w="108" w:type="dxa"/>
            <w:bottom w:w="0" w:type="dxa"/>
            <w:right w:w="108" w:type="dxa"/>
          </w:tblCellMar>
        </w:tblPrEx>
        <w:trPr>
          <w:trHeight w:val="280" w:hRule="atLeast"/>
        </w:trPr>
        <w:tc>
          <w:tcPr>
            <w:tcW w:w="112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投资资产信息</w:t>
            </w:r>
          </w:p>
        </w:tc>
        <w:tc>
          <w:tcPr>
            <w:tcW w:w="1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信托计划</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XTJHJBXXB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信托计划基本信息表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F0101</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本表报送机构持有信托计划基本信息。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XTJHRZRXXB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信托计划融资人信息表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FF"/>
                <w:kern w:val="0"/>
                <w:sz w:val="21"/>
                <w:szCs w:val="21"/>
                <w:u w:val="single"/>
              </w:rPr>
            </w:pPr>
            <w:r>
              <w:rPr>
                <w:rFonts w:ascii="宋体" w:hAnsi="宋体" w:eastAsia="宋体"/>
                <w:sz w:val="21"/>
                <w:szCs w:val="21"/>
              </w:rPr>
              <w:t>F0102</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本表报送机构持有信托计划融资人相关信息。</w:t>
            </w:r>
          </w:p>
        </w:tc>
      </w:tr>
      <w:tr>
        <w:tblPrEx>
          <w:tblCellMar>
            <w:top w:w="0" w:type="dxa"/>
            <w:left w:w="108" w:type="dxa"/>
            <w:bottom w:w="0" w:type="dxa"/>
            <w:right w:w="108" w:type="dxa"/>
          </w:tblCellMar>
        </w:tblPrEx>
        <w:trPr>
          <w:trHeight w:val="560" w:hRule="atLeast"/>
        </w:trPr>
        <w:tc>
          <w:tcPr>
            <w:tcW w:w="112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银行存款</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CKZSSXXB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存款证实书信息表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F0201</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本表报送机构持有存款证实书基本信息、信用风险、交易规模以及质押相关信息。不包含活期存款。</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其他资产</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LCCPXXB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理财产品信息表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F0301</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本表报送机构持有的银行及银行理财子公司理财产品信息。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ZQGSZXZGJHXXB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证券公司专项资管计划信息表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F0302</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本表报送机构持有证券公司专项资管计划信息。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XDZCZCZQXXB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信贷资产支持证券信息表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F0303</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本表报送机构持有信贷资产支持证券信息。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ZJGQTZXXB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直接股权投资信息表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F0304</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本表报送机构持有直接股权投资相关信息。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SMTZJJXXB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私募投资基金信息表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F0305</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本表报送机构持有私募投资基金相关信息。</w:t>
            </w:r>
          </w:p>
        </w:tc>
      </w:tr>
      <w:tr>
        <w:tblPrEx>
          <w:tblCellMar>
            <w:top w:w="0" w:type="dxa"/>
            <w:left w:w="108" w:type="dxa"/>
            <w:bottom w:w="0" w:type="dxa"/>
            <w:right w:w="108" w:type="dxa"/>
          </w:tblCellMar>
        </w:tblPrEx>
        <w:trPr>
          <w:trHeight w:val="280" w:hRule="atLeast"/>
        </w:trPr>
        <w:tc>
          <w:tcPr>
            <w:tcW w:w="112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ZJTZBDCXXB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直接投资不动产信息表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F0306</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本表报送机构直接投资不动产相关信息。</w:t>
            </w:r>
          </w:p>
        </w:tc>
      </w:tr>
      <w:tr>
        <w:tblPrEx>
          <w:tblCellMar>
            <w:top w:w="0" w:type="dxa"/>
            <w:left w:w="108" w:type="dxa"/>
            <w:bottom w:w="0" w:type="dxa"/>
            <w:right w:w="108" w:type="dxa"/>
          </w:tblCellMar>
        </w:tblPrEx>
        <w:trPr>
          <w:trHeight w:val="56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关联交易信息</w:t>
            </w:r>
          </w:p>
        </w:tc>
        <w:tc>
          <w:tcPr>
            <w:tcW w:w="1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关联方档案</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FRHQTZZGLFXXB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法人或其他组织关联方信息表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G0101</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本表报送法人或其他组织关联方基础信息。在进行关联方认定时，应按照实质重于形式的原则认定。</w:t>
            </w:r>
          </w:p>
        </w:tc>
      </w:tr>
      <w:tr>
        <w:tblPrEx>
          <w:tblCellMar>
            <w:top w:w="0" w:type="dxa"/>
            <w:left w:w="108" w:type="dxa"/>
            <w:bottom w:w="0" w:type="dxa"/>
            <w:right w:w="108" w:type="dxa"/>
          </w:tblCellMar>
        </w:tblPrEx>
        <w:trPr>
          <w:trHeight w:val="56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ZRRGLFXXB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自然人关联方信息表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G0102</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本表报送自然人关联方数据。在进行关联方认定时，应按照实质重于形式的原则认定。</w:t>
            </w:r>
          </w:p>
        </w:tc>
      </w:tr>
      <w:tr>
        <w:tblPrEx>
          <w:tblCellMar>
            <w:top w:w="0" w:type="dxa"/>
            <w:left w:w="108" w:type="dxa"/>
            <w:bottom w:w="0" w:type="dxa"/>
            <w:right w:w="108" w:type="dxa"/>
          </w:tblCellMar>
        </w:tblPrEx>
        <w:trPr>
          <w:trHeight w:val="8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JRCPXXB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金融产品信息表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G0103</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在关联方认定或关联交易中涉及的金融产品，以便向上识别产品的最终投资者，向下识别产品的底层资产，包含但不限于以下情况：关联方发行的金融产品、金融产品基础资产涉及关联方、与关联方共同投资。</w:t>
            </w:r>
          </w:p>
        </w:tc>
      </w:tr>
      <w:tr>
        <w:tblPrEx>
          <w:tblCellMar>
            <w:top w:w="0" w:type="dxa"/>
            <w:left w:w="108" w:type="dxa"/>
            <w:bottom w:w="0" w:type="dxa"/>
            <w:right w:w="108" w:type="dxa"/>
          </w:tblCellMar>
        </w:tblPrEx>
        <w:trPr>
          <w:trHeight w:val="17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GLGXTP</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关联关系图谱</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G0104</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本表报送形成自然人关联方、法人及其他组织的关联关系，出于关联方穿透管理的需要，通过金融产品持股或施加重大影响形成的关联方，将相应金融产品作为关联方中间节点进行报送。</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数据报送以填报机构为最前一层关联方逐步向后扩展；两个关联方之间同一关联关系填报时，仅填报一个方向即可；自然人股东的近亲属持有或控制填报机构股份，持有或控制的股份应与自然人股东持有或控制填报机构股份分别填报。</w:t>
            </w:r>
          </w:p>
        </w:tc>
      </w:tr>
      <w:tr>
        <w:tblPrEx>
          <w:tblCellMar>
            <w:top w:w="0" w:type="dxa"/>
            <w:left w:w="108" w:type="dxa"/>
            <w:bottom w:w="0" w:type="dxa"/>
            <w:right w:w="108" w:type="dxa"/>
          </w:tblCellMar>
        </w:tblPrEx>
        <w:trPr>
          <w:trHeight w:val="88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关联交易详情</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ZDGLJYMXB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重大关联交易明细表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G0201</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本表报送报告期内填报机构与关联方之间发生的各类重大关联交易，其中累计达到重大关联交易的情形需填报累计过程所有交易信息，《银行保险机构关联交易管理办法》中明确的豁免事项免于报送。</w:t>
            </w:r>
          </w:p>
        </w:tc>
      </w:tr>
      <w:tr>
        <w:tblPrEx>
          <w:tblCellMar>
            <w:top w:w="0" w:type="dxa"/>
            <w:left w:w="108" w:type="dxa"/>
            <w:bottom w:w="0" w:type="dxa"/>
            <w:right w:w="108" w:type="dxa"/>
          </w:tblCellMar>
        </w:tblPrEx>
        <w:trPr>
          <w:trHeight w:val="56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1138"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1"/>
                <w:szCs w:val="21"/>
              </w:rPr>
            </w:pP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YBGLJYTJB</w:t>
            </w:r>
          </w:p>
        </w:tc>
        <w:tc>
          <w:tcPr>
            <w:tcW w:w="2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一般关联交易统计表</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563C1"/>
                <w:kern w:val="0"/>
                <w:sz w:val="21"/>
                <w:szCs w:val="21"/>
                <w:u w:val="single"/>
              </w:rPr>
            </w:pPr>
            <w:r>
              <w:rPr>
                <w:rFonts w:ascii="宋体" w:hAnsi="宋体" w:eastAsia="宋体"/>
                <w:sz w:val="21"/>
                <w:szCs w:val="21"/>
              </w:rPr>
              <w:t>G0202</w:t>
            </w:r>
          </w:p>
        </w:tc>
        <w:tc>
          <w:tcPr>
            <w:tcW w:w="2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本表报送报告期内填报机构与关联方之间发生的各类一般关联交易，《银行保险机构关联交易管理办法》中明确的豁免事项免于报送。</w:t>
            </w:r>
          </w:p>
        </w:tc>
      </w:tr>
    </w:tbl>
    <w:p>
      <w:pPr>
        <w:keepNext/>
        <w:keepLines/>
        <w:numPr>
          <w:ilvl w:val="0"/>
          <w:numId w:val="1"/>
        </w:numPr>
        <w:ind w:left="0" w:firstLine="600" w:firstLineChars="0"/>
        <w:outlineLvl w:val="0"/>
        <w:rPr>
          <w:rFonts w:ascii="黑体" w:hAnsi="黑体" w:eastAsia="黑体"/>
          <w:kern w:val="44"/>
          <w:szCs w:val="30"/>
        </w:rPr>
      </w:pPr>
      <w:bookmarkStart w:id="60" w:name="_Toc23747"/>
      <w:bookmarkStart w:id="61" w:name="_Toc4985"/>
      <w:bookmarkStart w:id="62" w:name="_Toc1073"/>
      <w:bookmarkStart w:id="63" w:name="_Toc14514"/>
      <w:bookmarkStart w:id="64" w:name="_Toc5760"/>
      <w:bookmarkStart w:id="65" w:name="_Toc13528"/>
      <w:bookmarkStart w:id="66" w:name="_Toc23586"/>
      <w:bookmarkStart w:id="67" w:name="_Toc3576"/>
      <w:bookmarkStart w:id="68" w:name="_Toc10922"/>
      <w:bookmarkStart w:id="69" w:name="_Toc5557"/>
      <w:bookmarkStart w:id="70" w:name="_Toc30137"/>
      <w:bookmarkStart w:id="71" w:name="_Toc12004"/>
      <w:bookmarkStart w:id="72" w:name="_Toc32744"/>
      <w:bookmarkStart w:id="73" w:name="_Toc10556"/>
      <w:bookmarkStart w:id="74" w:name="_Toc1046"/>
      <w:bookmarkStart w:id="75" w:name="_Toc7534"/>
      <w:bookmarkStart w:id="76" w:name="_Toc23342"/>
      <w:bookmarkStart w:id="77" w:name="_Toc3834"/>
      <w:bookmarkStart w:id="78" w:name="_Toc23769"/>
      <w:bookmarkStart w:id="79" w:name="_Toc10549"/>
      <w:bookmarkStart w:id="80" w:name="_Toc22274"/>
      <w:bookmarkStart w:id="81" w:name="_Toc19317"/>
      <w:bookmarkStart w:id="82" w:name="_Toc23875"/>
      <w:bookmarkStart w:id="83" w:name="_Toc16745"/>
      <w:bookmarkStart w:id="84" w:name="_Toc6133"/>
      <w:bookmarkStart w:id="85" w:name="_Toc57476175"/>
      <w:bookmarkStart w:id="86" w:name="_Toc4413"/>
      <w:bookmarkStart w:id="87" w:name="_Toc2509"/>
      <w:bookmarkStart w:id="88" w:name="_Toc3917"/>
      <w:bookmarkStart w:id="89" w:name="_Toc57495013"/>
      <w:bookmarkStart w:id="90" w:name="_Toc8138"/>
      <w:bookmarkStart w:id="91" w:name="_Toc4443"/>
      <w:bookmarkStart w:id="92" w:name="_Toc27300"/>
      <w:bookmarkStart w:id="93" w:name="_Toc24187"/>
      <w:bookmarkStart w:id="94" w:name="_Toc12239"/>
      <w:bookmarkStart w:id="95" w:name="_Toc12015"/>
      <w:bookmarkStart w:id="96" w:name="_Toc30063"/>
      <w:bookmarkStart w:id="97" w:name="_Toc1948"/>
      <w:bookmarkStart w:id="98" w:name="_Toc73958560"/>
      <w:bookmarkStart w:id="99" w:name="_Toc17928"/>
      <w:bookmarkStart w:id="100" w:name="_Toc26438"/>
      <w:bookmarkStart w:id="101" w:name="_Toc15982"/>
      <w:bookmarkStart w:id="102" w:name="_Toc22181"/>
      <w:bookmarkStart w:id="103" w:name="_Toc5398"/>
      <w:r>
        <w:rPr>
          <w:rFonts w:hint="eastAsia" w:ascii="黑体" w:hAnsi="黑体" w:eastAsia="黑体"/>
          <w:kern w:val="44"/>
          <w:szCs w:val="30"/>
        </w:rPr>
        <w:t>数据</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黑体" w:hAnsi="黑体" w:eastAsia="黑体"/>
          <w:kern w:val="44"/>
          <w:szCs w:val="30"/>
        </w:rPr>
        <w:t>项</w:t>
      </w:r>
      <w:bookmarkEnd w:id="85"/>
      <w:bookmarkEnd w:id="86"/>
      <w:bookmarkEnd w:id="87"/>
      <w:bookmarkEnd w:id="88"/>
      <w:bookmarkEnd w:id="89"/>
      <w:bookmarkEnd w:id="90"/>
      <w:bookmarkEnd w:id="91"/>
      <w:bookmarkEnd w:id="92"/>
      <w:bookmarkEnd w:id="93"/>
      <w:r>
        <w:rPr>
          <w:rFonts w:hint="eastAsia" w:ascii="黑体" w:hAnsi="黑体" w:eastAsia="黑体"/>
          <w:kern w:val="44"/>
          <w:szCs w:val="30"/>
        </w:rPr>
        <w:t>描述</w:t>
      </w:r>
      <w:bookmarkEnd w:id="94"/>
      <w:bookmarkEnd w:id="95"/>
      <w:bookmarkEnd w:id="96"/>
      <w:bookmarkEnd w:id="97"/>
      <w:bookmarkEnd w:id="98"/>
      <w:bookmarkEnd w:id="99"/>
      <w:bookmarkEnd w:id="100"/>
      <w:bookmarkEnd w:id="101"/>
      <w:bookmarkEnd w:id="102"/>
      <w:bookmarkEnd w:id="103"/>
    </w:p>
    <w:p>
      <w:pPr>
        <w:pStyle w:val="3"/>
        <w:numPr>
          <w:ilvl w:val="0"/>
          <w:numId w:val="6"/>
        </w:numPr>
        <w:ind w:left="0"/>
        <w:rPr>
          <w:szCs w:val="30"/>
        </w:rPr>
      </w:pPr>
      <w:bookmarkStart w:id="104" w:name="_Toc25645"/>
      <w:bookmarkStart w:id="105" w:name="_Toc24536"/>
      <w:bookmarkStart w:id="106" w:name="_Toc73958561"/>
      <w:bookmarkStart w:id="107" w:name="_Toc30238"/>
      <w:bookmarkStart w:id="108" w:name="_Toc57495014"/>
      <w:bookmarkStart w:id="109" w:name="_Toc32683"/>
      <w:bookmarkStart w:id="110" w:name="_Toc30029"/>
      <w:bookmarkStart w:id="111" w:name="_Toc31209"/>
      <w:bookmarkStart w:id="112" w:name="_Toc57476176"/>
      <w:bookmarkStart w:id="113" w:name="_Toc20977"/>
      <w:bookmarkStart w:id="114" w:name="_Toc5591"/>
      <w:bookmarkStart w:id="115" w:name="_Toc24545"/>
      <w:bookmarkStart w:id="116" w:name="_Toc19506"/>
      <w:bookmarkStart w:id="117" w:name="_Toc30246"/>
      <w:r>
        <w:rPr>
          <w:rFonts w:hint="eastAsia"/>
          <w:szCs w:val="30"/>
        </w:rPr>
        <w:t>公司治理</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pStyle w:val="4"/>
        <w:tabs>
          <w:tab w:val="left" w:pos="709"/>
          <w:tab w:val="left" w:pos="993"/>
        </w:tabs>
        <w:ind w:left="0" w:firstLine="602"/>
        <w:rPr>
          <w:rFonts w:ascii="仿宋" w:hAnsi="仿宋" w:eastAsia="仿宋"/>
          <w:szCs w:val="30"/>
        </w:rPr>
      </w:pPr>
      <w:bookmarkStart w:id="118" w:name="_Toc73958562"/>
      <w:bookmarkStart w:id="119" w:name="_Toc5838"/>
      <w:bookmarkStart w:id="120" w:name="_Toc23940"/>
      <w:bookmarkStart w:id="121" w:name="_Toc57476177"/>
      <w:bookmarkStart w:id="122" w:name="_Toc28525"/>
      <w:bookmarkStart w:id="123" w:name="_Toc14706"/>
      <w:bookmarkStart w:id="124" w:name="_Toc15512"/>
      <w:bookmarkStart w:id="125" w:name="_Toc57538954"/>
      <w:bookmarkStart w:id="126" w:name="_Toc28416"/>
      <w:bookmarkStart w:id="127" w:name="_Toc57495031"/>
      <w:bookmarkStart w:id="128" w:name="_Toc57477515"/>
      <w:r>
        <w:rPr>
          <w:rFonts w:hint="eastAsia" w:ascii="仿宋" w:hAnsi="仿宋" w:eastAsia="仿宋"/>
          <w:szCs w:val="30"/>
        </w:rPr>
        <w:t>机构基本信息表</w:t>
      </w:r>
      <w:bookmarkEnd w:id="118"/>
      <w:bookmarkEnd w:id="119"/>
      <w:bookmarkEnd w:id="120"/>
      <w:bookmarkEnd w:id="121"/>
      <w:bookmarkEnd w:id="122"/>
      <w:bookmarkEnd w:id="123"/>
      <w:bookmarkEnd w:id="124"/>
      <w:bookmarkEnd w:id="125"/>
      <w:bookmarkEnd w:id="126"/>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JGJBXXB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机构基本信息表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A0101</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本表报送机构的基本信息。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LEI编码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LEIBM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olor w:val="000000"/>
                <w:sz w:val="21"/>
                <w:szCs w:val="21"/>
              </w:rPr>
            </w:pPr>
            <w:r>
              <w:rPr>
                <w:rFonts w:hint="eastAsia" w:ascii="宋体" w:hAnsi="宋体" w:eastAsia="宋体"/>
                <w:color w:val="000000"/>
                <w:sz w:val="21"/>
                <w:szCs w:val="21"/>
              </w:rPr>
              <w:t>填报机构的全球法人识别编码（LEI），法人识别编码是按照国际标准化组织的《金融服务法人机构识别编码》（ISO17442：2012）标准为法人机构分配的由20位数字和字母组成的唯一编码，可以用于标识与国际金融交易相关联的法人机构。</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工商注册日期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GSZCRQ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olor w:val="000000"/>
                <w:sz w:val="21"/>
                <w:szCs w:val="21"/>
              </w:rPr>
            </w:pPr>
            <w:r>
              <w:rPr>
                <w:rFonts w:hint="eastAsia" w:ascii="宋体" w:hAnsi="宋体" w:eastAsia="宋体"/>
                <w:color w:val="000000"/>
                <w:sz w:val="21"/>
                <w:szCs w:val="21"/>
              </w:rPr>
              <w:t>以工商注册的成立日期为准。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批复日期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PFRQ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填报保险资管公司开业批复文件的日期。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批复文号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PFWH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填报保险资管公司开业批复文件的文号。</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经营范围</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JYFW</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应与工商注册中的经营范围一致。</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注册资本</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JCZB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应与工商注册中的注册资本一致。若注册资本存在外币的情况，公司应自行换算成人民币进行填报。单位：元。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注册地区</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ZCDQ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注册地行政区划的名称，参照业务代码表《行政区划代码》，境内地区至少精确到省、自治区、直辖市、特别行政区，应逐级填写完整地域名称，如“河北省石家庄市长安区”。如无法区分，填报“其他”。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注册地址</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ZCDZ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按照工商注册信息中的注册地填报。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是否有分支机构</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SFYFZJG</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法定代表人法定名称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BZ_FDDBRFDMC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填写法定代表人姓名，应与工商注册的姓名一致。</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法定代表人证件类型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BZ_FDDBRZJLX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法定代表人证件类型。</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法定代表人证件号码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BZ_FDDBRZJHM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法定代表人证件号码。隐私，保险资产管理公司变形。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法定代表人证件到期日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BZ_FDDBRZJDQR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法定代表人证件到期日。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投资管理规模</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TZGLGM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填写报告期内机构管理规模（包括机构自有资金投资规模、委受托资金规模和发行产品规模）合计金额。单位：元。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是否有实际控制人</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SFYSJKZR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实际控制人指通过投资关系、协议或者其他安排，能够实际支配公司行为的人。枚举值为“是；否”。</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实际控制人类型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SJKZRLX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“是否有实际控制人”为“是”时必填。填报实际控制人类型，枚举值为“自然人；境内金融机构；境内企业法人；境内有限合伙企业；境内事业单位、社会团体；境外金融机构；特定目的载体；其他”。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实际控制人法定名称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BZ_SJKZRFDMC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“是否有实际控制人”为“是”时必填。填报实际控制人名称。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实际控制人证件类型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BZ_SJKZRZJLX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“是否有实际控制人”为“是”时必填。填报实际控制人证件类型。对自然人，优先选填控制人居民身份证；对机构，优先选填统一社会信用代码。参照业务代码表《证件类型代码》，填报名称。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实际控制人证件号码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BZ_SJKZRZJHM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“是否有实际控制人”为“是”时必填。填报有效证件号码。若为自然人证件号码，隐私，保险资产管理公司变形。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实际控制人证件到期日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BZ_SJKZRZJDQR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实际控制人证件到期日。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许可证发放日期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XKZFFRQ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保险许可证号的发放日期。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许可证注销日期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XKZZXRQ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保险许可证号的注销日期，如未注销，填写默认值99991231。</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tabs>
          <w:tab w:val="left" w:pos="709"/>
          <w:tab w:val="left" w:pos="993"/>
        </w:tabs>
        <w:ind w:left="0" w:firstLine="602"/>
        <w:rPr>
          <w:rFonts w:ascii="仿宋" w:hAnsi="仿宋" w:eastAsia="仿宋"/>
        </w:rPr>
      </w:pPr>
      <w:bookmarkStart w:id="129" w:name="_Toc73958563"/>
      <w:bookmarkStart w:id="130" w:name="_Toc30962"/>
      <w:bookmarkStart w:id="131" w:name="_Toc57476196"/>
      <w:bookmarkStart w:id="132" w:name="_Toc14280"/>
      <w:bookmarkStart w:id="133" w:name="_Toc57538955"/>
      <w:bookmarkStart w:id="134" w:name="_Toc20674"/>
      <w:bookmarkStart w:id="135" w:name="_Toc6655"/>
      <w:bookmarkStart w:id="136" w:name="_Toc6433"/>
      <w:bookmarkStart w:id="137" w:name="_Toc24695"/>
      <w:r>
        <w:rPr>
          <w:rFonts w:hint="eastAsia" w:ascii="仿宋" w:hAnsi="仿宋" w:eastAsia="仿宋"/>
        </w:rPr>
        <w:t>股权信息表</w:t>
      </w:r>
      <w:bookmarkEnd w:id="129"/>
      <w:bookmarkEnd w:id="130"/>
      <w:bookmarkEnd w:id="131"/>
      <w:bookmarkEnd w:id="132"/>
      <w:bookmarkEnd w:id="133"/>
      <w:bookmarkEnd w:id="134"/>
      <w:bookmarkEnd w:id="135"/>
      <w:bookmarkEnd w:id="136"/>
      <w:bookmarkEnd w:id="137"/>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GQXXB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股权信息表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A0102</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本表报送机构所有股权组成信息，对于上市公司仅报送前10大股东信息。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股东编号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GDBH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公司内部自行定义的股东编号，应具有唯一性。</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股东法定名称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BZ_GDFDMC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对自然人股东，为股东姓名；对法人股东，为股东经有关部门批准正式使用的机构全称。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股东证件类型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BZ_GDZJLX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对自然人，优先选填股东居民身份证；对机构，优先选填统一社会信用代码。参照业务代码表《证件类型代码》，填报名称。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股东证件号码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BZ_GDZJHM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填写有效证件号码。若为自然人证件号码，隐私，保险资产管理公司变形。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股东证件到期日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BZ_GDZJDQR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股东证件到期日。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股东类型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GDLX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按《保险公司股权管理办法》的股东分类填报。枚举值为“财务Ⅰ类股东；财务Ⅱ类股东；战略类股东；控制类股东”。</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股东类别</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GDLB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按照股东自然人或机构属性。</w:t>
            </w:r>
            <w:r>
              <w:rPr>
                <w:rFonts w:hint="eastAsia" w:ascii="宋体" w:hAnsi="宋体" w:eastAsia="宋体"/>
                <w:color w:val="000000"/>
                <w:sz w:val="21"/>
                <w:szCs w:val="21"/>
              </w:rPr>
              <w:br w:type="textWrapping"/>
            </w:r>
            <w:r>
              <w:rPr>
                <w:rFonts w:hint="eastAsia" w:ascii="宋体" w:hAnsi="宋体" w:eastAsia="宋体"/>
                <w:color w:val="000000"/>
                <w:sz w:val="21"/>
                <w:szCs w:val="21"/>
              </w:rPr>
              <w:t>枚举值为“自然人；境内金融机构；境内企业法人；境内有限合伙企业；境内事业单位、社会团体；境外金融机构；特定目的载体；其他”。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股东国别</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GDGB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参照业务代码表《国家地区》，填报代码。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LEI编码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LEIBM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股东机构的全球法人机构识别编码，LEI是按照国际标准化组织ISO 17442标准为全球法人分配的唯一识别编码，LEI编码是由20位数字和字母组成的唯一编码。我国LEI编码包括前缀码部分、预留位部分、机构特定部分和校验位四部分。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行业类型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HYFL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股东为非自然人时，必填。按股东所从事的生产经营活动或其他社会经济活动的性质进行行业分类，参照业务代码表《行业类型代码》，例如：农业、林业等，填报名称。如无法区分，填报“不适用”。</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持股比例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CGBL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股东在数据日期当日的持股比例，填数字，不填百分比，最少保留两位小数，比如12.34%填写为12.34。</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出资日期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CZRQ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该股东最近一次持股份额变化的日期。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交易币种</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参照业务代码表《币种代码》填报代码。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交易币认缴金额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JYBRJJE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交易币认缴金额。</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本位币认缴金额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BWBRJJE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交易币按照既定规则的汇率折成的本位币认缴金额。单位：元。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交易币出资金额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JYBCZJE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交易币出资金额。</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本位币出资金额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BWBCZJE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交易币按照既定规则的汇率折成的本位币出资金额。单位：元。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股东是否有效</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GDSFYX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是否有一致行动人</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SFYYZXDR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是否有一致行动人，枚举值为“是；否”。一致行动人是指投资者通过协议、其他安排，与其他投资者共同扩大其所能够支配的一个公司股份表决权数量的行为或者事实。达成一致行动的相关投资者，为一致行动人。</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3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一致行动人组别</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YZXDRZB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是否有一致行动人为“是”时为必填。</w:t>
            </w:r>
            <w:r>
              <w:rPr>
                <w:rFonts w:hint="eastAsia" w:ascii="宋体" w:hAnsi="宋体" w:eastAsia="宋体"/>
                <w:color w:val="000000"/>
                <w:sz w:val="21"/>
                <w:szCs w:val="21"/>
              </w:rPr>
              <w:br w:type="textWrapping"/>
            </w:r>
            <w:r>
              <w:rPr>
                <w:rFonts w:hint="eastAsia" w:ascii="宋体" w:hAnsi="宋体" w:eastAsia="宋体"/>
                <w:color w:val="000000"/>
                <w:sz w:val="21"/>
                <w:szCs w:val="21"/>
              </w:rPr>
              <w:t>组别用数字填写。</w:t>
            </w:r>
            <w:r>
              <w:rPr>
                <w:rFonts w:hint="eastAsia" w:ascii="宋体" w:hAnsi="宋体" w:eastAsia="宋体"/>
                <w:color w:val="000000"/>
                <w:sz w:val="21"/>
                <w:szCs w:val="21"/>
              </w:rPr>
              <w:br w:type="textWrapping"/>
            </w:r>
            <w:r>
              <w:rPr>
                <w:rFonts w:hint="eastAsia" w:ascii="宋体" w:hAnsi="宋体" w:eastAsia="宋体"/>
                <w:color w:val="000000"/>
                <w:sz w:val="21"/>
                <w:szCs w:val="21"/>
              </w:rPr>
              <w:t>例如公司有6个股东，分别是A、B、C、D、E、F，其中A、B、C三方为一致行动人，D、E两方为另一组一致行动人，则A、B、C的一致行动人组别填写1，D、E的一致行动人组别填写2。</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股权质押数量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GQZYSL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截至报送日期，股东质押的股份数量。单位：股。若无抵押，则填0。</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股权质押比例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GQZYBL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截至报送日期，股东质押的股份数量占持股数量的比例，填数字，不填百分比，最少保留两位小数，比如12.34%填写为12.34。若无抵押，则填0。</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股权冻结数量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GQDJSL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截至报送日期，股权冻结的股份数量。单位：股。若无冻结，则填0。</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股权冻结比例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GQDJBL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截至报送日期，股东股权冻结的股份数量占持股数量的比例，填数字，不填百分比，最少保留两位小数，比如12.34%填写为12.34。若无抵押，则填0。</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tabs>
          <w:tab w:val="left" w:pos="709"/>
          <w:tab w:val="left" w:pos="993"/>
        </w:tabs>
        <w:ind w:left="0" w:firstLine="602"/>
        <w:rPr>
          <w:rFonts w:ascii="仿宋" w:hAnsi="仿宋" w:eastAsia="仿宋"/>
        </w:rPr>
      </w:pPr>
      <w:bookmarkStart w:id="138" w:name="_Toc57476358"/>
      <w:bookmarkStart w:id="139" w:name="_Toc57538956"/>
      <w:bookmarkStart w:id="140" w:name="_Toc16592"/>
      <w:bookmarkStart w:id="141" w:name="_Toc73958564"/>
      <w:bookmarkStart w:id="142" w:name="_Toc986"/>
      <w:bookmarkStart w:id="143" w:name="_Toc17954"/>
      <w:bookmarkStart w:id="144" w:name="_Toc17798"/>
      <w:bookmarkStart w:id="145" w:name="_Toc11585"/>
      <w:bookmarkStart w:id="146" w:name="_Toc10810"/>
      <w:r>
        <w:rPr>
          <w:rFonts w:hint="eastAsia" w:ascii="仿宋" w:hAnsi="仿宋" w:eastAsia="仿宋"/>
        </w:rPr>
        <w:t>投资管理能力信息表</w:t>
      </w:r>
      <w:bookmarkEnd w:id="138"/>
      <w:bookmarkEnd w:id="139"/>
      <w:bookmarkEnd w:id="140"/>
      <w:bookmarkEnd w:id="141"/>
      <w:bookmarkEnd w:id="142"/>
      <w:bookmarkEnd w:id="143"/>
      <w:bookmarkEnd w:id="144"/>
      <w:bookmarkEnd w:id="145"/>
      <w:bookmarkEnd w:id="146"/>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TZGLNLXXB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投资管理能力信息表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A0103</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本表报送机构投资管理能力，多项能力需要分开报送。</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公司投资业务能力</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GSTZYWNL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001026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填报公司投资业务能力。枚举值为“信用风险管理能力；股票投资管理能力；股权投资管理能力；不动产投资管理能力；衍生品运用管理能力；债权投资计划产品管理能力；股权投资计划产品管理能力；其他”。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报告日期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BGRQ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填报保险资产管理公司上一次发生变更导致投资管理能力不符合能力标准后向监管报告的日期。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披露日期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PLRQ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填报保险资产管理公司上一次公开披露投资管理能力建设及自评估情况或出现重大变更导致投资管理能力不符合能力标准的日期。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行政责任人员工代码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XZZRRYGDM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001027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行政责任人员工代码，根据《员工信息表》中公司内部自行定义的员工代码填写，具有唯一性。如有多个需列填，用“;”隔开。</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行政责任人法定名称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BZ_XZZRRFDMC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行政责任人员工身份证或护照上的姓名。隐私，保险资产管理公司变形。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行政责任人证件类型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BZ_XZZRRZJLX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行政责任人证件类型。</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行政责任人证件号码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BZ_XZZRRZJHM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行政责任人证件号码。隐私，保险资产管理公司变形。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行政责任人证件到期日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BZ_XZZRRZJDQR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行政责任人证件到期日。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专业责任人员工代码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ZYZRRYGDM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专业责任人员工代码，根据《员工信息表》中公司内部自行定义的员工代码填写，具有唯一性。如有多个需列填，用“;”隔开。</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专业责任人法定名称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BZ_ZYZRRFDMC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专业责任人员工身份证或护照上的姓名。隐私，保险资产管理公司变形。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专业责任人证件类型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BZ_ZYZRRZJLX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专业责任人证件类型。</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专业责任人证件号码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BZ_ZYZRRZJHM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专业责任人证件号码。隐私，保险资产管理公司变形。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专业责任人证件到期日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BZ_ZYZRRZJDQR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专业责任人证件到期日。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是否开展业务</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SFKZYW</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填报是否已运用本项能力开展相关业务。枚举值为“是；否”。</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tabs>
          <w:tab w:val="left" w:pos="709"/>
          <w:tab w:val="left" w:pos="993"/>
        </w:tabs>
        <w:ind w:left="0" w:firstLine="602"/>
        <w:rPr>
          <w:rFonts w:ascii="仿宋" w:hAnsi="仿宋" w:eastAsia="仿宋"/>
        </w:rPr>
      </w:pPr>
      <w:bookmarkStart w:id="147" w:name="_Toc3953"/>
      <w:bookmarkStart w:id="148" w:name="_Toc17272"/>
      <w:bookmarkStart w:id="149" w:name="_Toc27910"/>
      <w:bookmarkStart w:id="150" w:name="_Toc57476474"/>
      <w:bookmarkStart w:id="151" w:name="_Toc20669"/>
      <w:bookmarkStart w:id="152" w:name="_Toc73958565"/>
      <w:bookmarkStart w:id="153" w:name="_Toc57538957"/>
      <w:bookmarkStart w:id="154" w:name="_Toc3172"/>
      <w:bookmarkStart w:id="155" w:name="_Toc25097"/>
      <w:r>
        <w:rPr>
          <w:rFonts w:hint="eastAsia" w:ascii="仿宋" w:hAnsi="仿宋" w:eastAsia="仿宋"/>
        </w:rPr>
        <w:t>控股参股机构信息表</w:t>
      </w:r>
      <w:bookmarkEnd w:id="147"/>
      <w:bookmarkEnd w:id="148"/>
      <w:bookmarkEnd w:id="149"/>
      <w:bookmarkEnd w:id="150"/>
      <w:bookmarkEnd w:id="151"/>
      <w:bookmarkEnd w:id="152"/>
      <w:bookmarkEnd w:id="153"/>
      <w:bookmarkEnd w:id="154"/>
      <w:bookmarkEnd w:id="155"/>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KGCGJGXXB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控股参股机构信息表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A0104</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本表报送机构直接投资未上市股权的机构信息。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控股参股公司法定名称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BZ_KGCGGSFDMC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名称应与营业执照上所使用的名称完全一致。</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控股参股公司证件类型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BZ_KGCGGSZJLX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控股参股公司证件类型。</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控股参股公司证件号码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BZ_KGCGGSZJHM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控股参股公司证件号码。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控股参股公司证件到期日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BZ_KGCGGSZJDQR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控股参股公司证件到期日。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控股参股公司国别</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KGCGGSGB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参照业务代码表《国家地区》，填报代码。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控股参股公司代码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KGCGGSDM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境内法人机构填写统一社会信用代码。境外法人机构则填写企业注册码、税务号等有效代码。如无上述代码，机构可自行定义。</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10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LEI编码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LEIBM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控股参股公司的全球法人机构识别编码，LEI是按照国际标准化组织ISO 17442标准为全球法人分配的唯一识别编码，LEI编码是由20位数字和字母组成的唯一编码。我国LEI编码包括前缀码部分、预留位部分、机构特定部分和校验位四部分。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经营范围</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JYFW</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应与工商注册中的经营范围一致。</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成立日期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CLRQ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应与工商注册中的成立日期一致。</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行业类型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HYFL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参照业务代码表《行业类型代码》，例如：农业、林业等，填报名称。如无法区分，填报“不适用”。</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注册资本</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ZCZB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应与工商注册中的注册资本一致。若注册资本存在外币的情况，公司应自行换算成人民币进行填报。单位：元。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出资日期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CZRQ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公司最近一次持股份额变化的日期。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交易币种</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参照业务代码表《币种代码》填报代码。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交易币认缴资本</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JYBRJZB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交易币认缴资本。</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本位币认缴资本</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BWBRJZB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交易币按照既定规则的汇率折成的本位币认缴资本。单位：元。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交易币实缴资本</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JYBSJZB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交易币实缴资本。</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本位币实缴资本</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BWBSJZB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交易币按照既定规则的汇率折成的本位币实缴资本。单位：元。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6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持股类型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CGLX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持股类型。枚举值为“绝对控股；相对控制；一般控制；无控制关系”。持股类型分别为：绝对控股，指持有股权50%及以上，或者出资额享有的表决权足以对该企业股东（大）会的决议产生控制性影响；相对控制，指持有股权30%及以上，但不足50%，或者出资额享有的表决权足以对该企业股东（大）会的决议产生重大影响；一般控制，指持有股权5%及以上，但不足30%；无控制关系，指持有股权不足5%。</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持股比例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CGBL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公司在数据日期当日的持股比例，填数字，不填百分比，最少保留两位小数，比如12.34%填写为12.34。</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股权质押比例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GQZYBL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截至报送日期，机构质押的股份数量占持股数量的比例，填数字，不填百分比，最少保留两位小数，比如12.34%填写为12.34。若无抵押，则填0。</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股权冻结比例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GQDJBL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截至报送日期，机构股权冻结的股份数量占持股数量的比例，填数字，不填百分比，最少保留两位小数，比如12.34%填写为12.34。若无抵押，则填0。</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管理模式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GLMS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填报机构持有参控股机构股权的管理模式。枚举值为“子公司；联营企业；合营企业”。</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是否并表</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SFBB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是否派驻董监高</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SFPZDJG</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派驻董监高人数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PZDJGRS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填写派驻董监高人数，单位：人。</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董事会表决权比例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DSHBJQBL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填写派驻董事人数占董事会表决权比例，填数字，不填百分比，最少保留两位小数，比如12.34%填写为12.34。</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tabs>
          <w:tab w:val="left" w:pos="709"/>
          <w:tab w:val="left" w:pos="993"/>
        </w:tabs>
        <w:ind w:left="0" w:firstLine="602"/>
        <w:rPr>
          <w:rFonts w:ascii="仿宋" w:hAnsi="仿宋" w:eastAsia="仿宋"/>
        </w:rPr>
      </w:pPr>
      <w:bookmarkStart w:id="156" w:name="_Toc10562"/>
      <w:bookmarkStart w:id="157" w:name="_Toc4926"/>
      <w:bookmarkStart w:id="158" w:name="_Toc57538958"/>
      <w:bookmarkStart w:id="159" w:name="_Toc8038"/>
      <w:bookmarkStart w:id="160" w:name="_Toc27787"/>
      <w:bookmarkStart w:id="161" w:name="_Toc10739"/>
      <w:bookmarkStart w:id="162" w:name="_Toc57476601"/>
      <w:bookmarkStart w:id="163" w:name="_Toc73958566"/>
      <w:bookmarkStart w:id="164" w:name="_Toc20432"/>
      <w:r>
        <w:rPr>
          <w:rFonts w:hint="eastAsia" w:ascii="仿宋" w:hAnsi="仿宋" w:eastAsia="仿宋"/>
        </w:rPr>
        <w:t>员工信息表</w:t>
      </w:r>
      <w:bookmarkEnd w:id="156"/>
      <w:bookmarkEnd w:id="157"/>
      <w:bookmarkEnd w:id="158"/>
      <w:bookmarkEnd w:id="159"/>
      <w:bookmarkEnd w:id="160"/>
      <w:bookmarkEnd w:id="161"/>
      <w:bookmarkEnd w:id="162"/>
      <w:bookmarkEnd w:id="163"/>
      <w:bookmarkEnd w:id="164"/>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YGXXB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A0105</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本表报送所有与机构签订劳动合同的员工信息，包括在岗和离职员工，董事、监事、高管人员信息也应包含在内。首次报送时，对于报送期间内的离职员工信息也需要报送。</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员工代码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YGDM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001037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公司内部自行定义的员工工号或内部编码，具有唯一性。</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员工编制</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YGBZ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001030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填报员工编制。枚举值为“正式员工；非正式员工”。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员工状态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YGZT</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001031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填报员工状态。枚举值为“待岗；在职；离职；停职；退休；长期休假；其他”。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员工法定名称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BZ_YGFDMC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员工有效身份证件上的姓名。隐私，保险资产管理公司变形。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员工证件类型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BZ_YGZJLX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参照业务代码表《证件类型代码》，填报名称。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员工证件号码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BZ_YGZJHM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身份证号、护照号等有效证件号码，隐私，保险资产管理公司变形。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员工证件到期日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BZ_YGZJDQR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员工证件到期日。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性别</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001032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填报性别。枚举值为“未知的性别；男性；女性；未说明的性别”。</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国籍</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GJ</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参照业务代码表《国家地区》，填报代码。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民族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MZ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001033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参照业务代码表《民族代码》，填报名称。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出生日期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CSRQ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员工出生日期。隐私，暂不取。公司需在本地保留原文数据，并报送99991231。</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政治面貌</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ZZMM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001034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填报政治面貌。枚举值为“中共党员；中共预备党员；共青团员；民革会员；民盟盟员；民建会员；农工党党员；九三学社社员；台盟盟员；无党派民主人士；群众”。</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参加政党日期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CJZDRQ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参加政党的年月，默认值999912。</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联系电话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LXDH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001035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员工联系电话，区号-座机电话/手机。隐私，暂不取。公司需在本地保留原文数据，并报送“隐私”。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学历</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001036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ascii="宋体" w:hAnsi="宋体" w:eastAsia="宋体"/>
                <w:color w:val="000000"/>
                <w:sz w:val="21"/>
                <w:szCs w:val="21"/>
              </w:rPr>
              <w:t>员工学历，参照《业务代码表》中的“学历代码”，填报代码。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3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职业资格证书</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ZYZGZS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001039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职业资格证书，可多选。枚举值为“法律职业资格；精算师/准精算师资格；银行从业资格；基金从业资格；证券从业资格；期货从业资格；特许金融分析师（CFA）；金融风险管理师(FRM)；注册会计师；税务师；会计专业技术资格；经济专业技术资格；审计专业技术资格；本币交易员；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董监高标志</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DJGBZ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表示是否属于银保监会监管的董事、监事、高管范围（可多选）。枚举值为“员工；董事；监事；高管”。</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时任职务</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SRZW</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001038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机构员工时任职务，填报中文描述，包括党内职务。若为董事，需区分执行董事、非执行董事和独立董事；若为监事，需区分股东监事或职工代表监事；若为高管，则参考银保监会监管的高管范围人员定义；其他人员按公司内部规定名称填写。</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所属部门</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SSBM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如为董监高以外的人员时必填。按照公司内部组织架构中的部门名称填报。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岗位名称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GWMC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如为董监高以外的人员时必填。</w:t>
            </w:r>
            <w:r>
              <w:rPr>
                <w:rFonts w:hint="eastAsia" w:ascii="宋体" w:hAnsi="宋体" w:eastAsia="宋体"/>
                <w:color w:val="000000"/>
                <w:sz w:val="21"/>
                <w:szCs w:val="21"/>
              </w:rPr>
              <w:br w:type="textWrapping"/>
            </w:r>
            <w:r>
              <w:rPr>
                <w:rFonts w:hint="eastAsia" w:ascii="宋体" w:hAnsi="宋体" w:eastAsia="宋体"/>
                <w:color w:val="000000"/>
                <w:sz w:val="21"/>
                <w:szCs w:val="21"/>
              </w:rPr>
              <w:t>按公司内部规定名称填写。</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入司日期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RSRQ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“董监高标志”为“员工”时，填报最近一次签订劳动合同的日期，其他人员则填报任职开始日期。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离司日期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“董监高标志”为“员工”时，填报离司日期，其他人员则填报任职结束日期，若未离司或仍在任职期则填默认值99991231。</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tabs>
          <w:tab w:val="left" w:pos="709"/>
          <w:tab w:val="left" w:pos="993"/>
        </w:tabs>
        <w:ind w:left="0" w:firstLine="602"/>
        <w:rPr>
          <w:rFonts w:ascii="仿宋" w:hAnsi="仿宋" w:eastAsia="仿宋"/>
        </w:rPr>
      </w:pPr>
      <w:bookmarkStart w:id="165" w:name="_Toc279"/>
      <w:bookmarkStart w:id="166" w:name="_Toc25902"/>
      <w:bookmarkStart w:id="167" w:name="_Toc8018"/>
      <w:bookmarkStart w:id="168" w:name="_Toc57538960"/>
      <w:bookmarkStart w:id="169" w:name="_Toc73958567"/>
      <w:bookmarkStart w:id="170" w:name="_Toc57476815"/>
      <w:bookmarkStart w:id="171" w:name="_Toc1936"/>
      <w:bookmarkStart w:id="172" w:name="_Toc7649"/>
      <w:bookmarkStart w:id="173" w:name="_Toc3267"/>
      <w:bookmarkStart w:id="174" w:name="_Toc28629"/>
      <w:bookmarkStart w:id="175" w:name="_Toc8655"/>
      <w:bookmarkStart w:id="176" w:name="_Toc3832"/>
      <w:bookmarkStart w:id="177" w:name="_Toc21538"/>
      <w:bookmarkStart w:id="178" w:name="_Toc22066"/>
      <w:bookmarkStart w:id="179" w:name="_Toc32581"/>
      <w:bookmarkStart w:id="180" w:name="_Toc17021"/>
      <w:bookmarkStart w:id="181" w:name="_Toc26127"/>
      <w:bookmarkStart w:id="182" w:name="_Toc26239"/>
      <w:bookmarkStart w:id="183" w:name="_Toc16883"/>
      <w:bookmarkStart w:id="184" w:name="_Toc25697"/>
      <w:bookmarkStart w:id="185" w:name="_Toc11642"/>
      <w:bookmarkStart w:id="186" w:name="_Toc23410"/>
      <w:bookmarkStart w:id="187" w:name="_Toc15858"/>
      <w:bookmarkStart w:id="188" w:name="_Toc6652"/>
      <w:bookmarkStart w:id="189" w:name="_Toc21807"/>
      <w:bookmarkStart w:id="190" w:name="_Toc24234"/>
      <w:bookmarkStart w:id="191" w:name="_Toc9949"/>
      <w:bookmarkStart w:id="192" w:name="_Toc12248"/>
      <w:bookmarkStart w:id="193" w:name="_Toc28347"/>
      <w:bookmarkStart w:id="194" w:name="_Toc22657"/>
      <w:bookmarkStart w:id="195" w:name="_Toc3939"/>
      <w:bookmarkStart w:id="196" w:name="_Toc10271"/>
      <w:bookmarkStart w:id="197" w:name="_Toc17415"/>
      <w:bookmarkStart w:id="198" w:name="_Toc1374"/>
      <w:bookmarkStart w:id="199" w:name="_Toc23943"/>
      <w:bookmarkStart w:id="200" w:name="_Toc26434"/>
      <w:bookmarkStart w:id="201" w:name="_Toc3124"/>
      <w:bookmarkStart w:id="202" w:name="_Toc4240"/>
      <w:bookmarkStart w:id="203" w:name="_Toc15710"/>
      <w:bookmarkStart w:id="204" w:name="_Toc17588"/>
      <w:bookmarkStart w:id="205" w:name="_Toc9792"/>
      <w:r>
        <w:rPr>
          <w:rFonts w:hint="eastAsia" w:ascii="仿宋" w:hAnsi="仿宋" w:eastAsia="仿宋"/>
        </w:rPr>
        <w:t>员工问责信息表</w:t>
      </w:r>
      <w:bookmarkEnd w:id="165"/>
      <w:bookmarkEnd w:id="166"/>
      <w:bookmarkEnd w:id="167"/>
      <w:bookmarkEnd w:id="168"/>
      <w:bookmarkEnd w:id="169"/>
      <w:bookmarkEnd w:id="170"/>
      <w:bookmarkEnd w:id="171"/>
      <w:bookmarkEnd w:id="172"/>
      <w:bookmarkEnd w:id="173"/>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YGWZXXB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员工问责信息表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A0106</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本表报送本机构员工因违法、违反党纪等被本机构公开问责的情况，人员包括董事、监事、高管及其他员工，同一人受到多次问责的应分别填报。</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问责文号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WZWH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填报机构对员工作出问责的文号或案号。</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被问责人员工代码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BWZRYGDM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001037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指《员工信息表》中公司内部自行定义的员工代码，具有唯一性。</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被问责员工法定名称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BZ_BWZYGFDMC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被问责员工有效身份证件上的姓名。隐私，保险资产管理公司变形。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被问责员工证件类型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BZ_BWZYGZJLX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参照业务代码表《证件类型代码》，填报名称。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被问责员工证件号码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BZ_BWZYGZJHM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身份证号、护照号等有效证件号码，隐私，保险资产管理公司变形。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被问责员工证件到期日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BZ_BWZYGZJDQR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被问责员工证件到期日。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监管处罚标志</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JGCFBZ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填报机构被问责员工是否是根据监管部门处罚要求进行的问责。枚举值为“是；否”。</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问责原因</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WZYY</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填报机构被问责员工的主要违法违纪事实和原由。</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问责依据</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WZYJ</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填报对机构员工作出问责的依据。</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问责内容</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WZNR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填报对机构员工问责的具体内容，处罚方式。</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问责日期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WZRQ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填报对机构员工作出问责的日期。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tabs>
          <w:tab w:val="left" w:pos="709"/>
          <w:tab w:val="left" w:pos="993"/>
        </w:tabs>
        <w:ind w:left="0" w:firstLine="602"/>
        <w:rPr>
          <w:rFonts w:ascii="仿宋" w:hAnsi="仿宋" w:eastAsia="仿宋"/>
        </w:rPr>
      </w:pPr>
      <w:bookmarkStart w:id="206" w:name="_Toc30198"/>
      <w:bookmarkStart w:id="207" w:name="_Toc16636"/>
      <w:bookmarkStart w:id="208" w:name="_Toc24190"/>
      <w:bookmarkStart w:id="209" w:name="_Toc20245"/>
      <w:bookmarkStart w:id="210" w:name="_Toc3265"/>
      <w:bookmarkStart w:id="211" w:name="_Toc57476843"/>
      <w:bookmarkStart w:id="212" w:name="_Toc23391"/>
      <w:bookmarkStart w:id="213" w:name="_Toc73958568"/>
      <w:bookmarkStart w:id="214" w:name="_Toc57538961"/>
      <w:r>
        <w:rPr>
          <w:rFonts w:hint="eastAsia" w:ascii="仿宋" w:hAnsi="仿宋" w:eastAsia="仿宋"/>
        </w:rPr>
        <w:t>董监高履职信息表</w:t>
      </w:r>
      <w:bookmarkEnd w:id="206"/>
      <w:bookmarkEnd w:id="207"/>
      <w:bookmarkEnd w:id="208"/>
      <w:bookmarkEnd w:id="209"/>
      <w:bookmarkEnd w:id="210"/>
      <w:bookmarkEnd w:id="211"/>
      <w:bookmarkEnd w:id="212"/>
      <w:bookmarkEnd w:id="213"/>
      <w:bookmarkEnd w:id="214"/>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DJGLZXXB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董监高履职信息表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A0107</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本表报送机构董事、监事、高管范围人员的履职情况信息，如董事、监事、高管兼任多个职务，需要分开报送。</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员工代码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YGDM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001037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指《员工信息表》中公司内部自行定义的员工代码，具有唯一性。</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员工法定名称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BZ_YGFDMC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员工有效身份证件上的姓名。隐私，保险资产管理公司变形。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员工证件类型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BZ_YGZJLX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参照业务代码表《证件类型代码》，填报名称。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员工证件号码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BZ_YGZJHM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身份证号、护照号等有效证件号码，隐私，保险资产管理公司变形。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员工证件到期日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BZ_YGZJDQR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员工证件到期日。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董监高标志</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DJGBZ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表示是否属于银保监会监管的董事、监事、高管范围（可多选）。枚举值为“董事；监事；高管”。</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批复日期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PFRQ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获得董事、监事、高管任职资格的批复日期。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批复文号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PFWH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获得董事、监事、高管任职资格的批复文号。</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批复内容</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PFNR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获得董事、监事、高管任职资格的批复内容。</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所辖部门</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SXBM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“董监高标志”含“高管”时必填，填报所管辖部门，填写公司内部组织架构中的部门名称，如有多个需列填，以英文分号“;”分隔。</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开始日期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KSRQ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填报董事、监事、高管任职开始日期。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结束日期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JSRQ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填报董事、监事、高管离任日期，若现任职则填默认值99991231。</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提名机构名称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TMJGMC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“董监高标志”为“董事”或“监事”时必填，填报提名机构名称。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外部公司任职</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WBGSRZ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填报董事、监事、高管在外部公司任职情况。</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履职评价结果</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LZPJJG</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“董监高标志”为“董事”或“监事”时必填，填报董事、监事、高管的最近年度履职评价结果，枚举值为“称职；基本称职；不称职”。</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评价结果报告日期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PJJGBGRQ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“董监高标志”为“董事”或“监事”时必填，填报最近年度公司向监管机构报告董事监事履职情况及评价结果的日期。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tabs>
          <w:tab w:val="left" w:pos="709"/>
          <w:tab w:val="left" w:pos="993"/>
        </w:tabs>
        <w:ind w:left="0" w:firstLine="602"/>
        <w:rPr>
          <w:rFonts w:ascii="仿宋" w:hAnsi="仿宋" w:eastAsia="仿宋"/>
        </w:rPr>
      </w:pPr>
      <w:bookmarkStart w:id="215" w:name="_Toc18378"/>
      <w:bookmarkStart w:id="216" w:name="_Toc73958569"/>
      <w:bookmarkStart w:id="217" w:name="_Toc21284"/>
      <w:bookmarkStart w:id="218" w:name="_Toc19253"/>
      <w:bookmarkStart w:id="219" w:name="_Toc2107"/>
      <w:bookmarkStart w:id="220" w:name="_Toc1981"/>
      <w:bookmarkStart w:id="221" w:name="_Toc8174"/>
      <w:r>
        <w:rPr>
          <w:rFonts w:hint="eastAsia" w:ascii="仿宋" w:hAnsi="仿宋" w:eastAsia="仿宋"/>
        </w:rPr>
        <w:t>董监高处罚信息表</w:t>
      </w:r>
      <w:bookmarkEnd w:id="215"/>
      <w:bookmarkEnd w:id="216"/>
      <w:bookmarkEnd w:id="217"/>
      <w:bookmarkEnd w:id="218"/>
      <w:bookmarkEnd w:id="219"/>
      <w:bookmarkEnd w:id="220"/>
      <w:bookmarkEnd w:id="221"/>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DJGCFXXB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董监高处罚信息表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A0108</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本表报送保险资产管理公司内所有属于银保监会监管的董事、监事、高管范围的处罚信息，如董事、监事、高管兼任多个职务或受到多个处罚，需要分开报送。</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员工代码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YGDM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001037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指《员工信息表》中公司内部自行定义的员工代码，具有唯一性。</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员工法定名称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BZ_YGFDMC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员工有效身份证件上的姓名。隐私，保险资产管理公司变形。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员工证件类型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BZ_YGZJLX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参照业务代码表《证件类型代码》，填报名称。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员工证件号码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BZ_YGZJHM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身份证号、护照号等有效证件号码，隐私，保险资产管理公司变形。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员工证件到期日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BZ_YGZJDQR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员工证件到期日。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处罚机关</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CFJG</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发布该人员处罚决定的，依法有权或受托实施行政处罚的监管机构主体的规范全称；包括但不限于受到人民银行、银保监会、银保监局、政府执法部门等机关的行政处罚。</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处罚文号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CFWH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填写行政处罚机关的处罚文号。</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开始日期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KSRQ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填报处罚开始日期。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结束日期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JSRQ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填报处罚结束日期，存在罚款等处罚无持续时间的情况，开始和结束日期填报同一天。</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处罚种类</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CFZL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董事、监事、高管处罚种类。枚举值为“罚款；警告；撤销任职资格；司法处理；禁止进入保险业；其他”。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处罚原因</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CFYY</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处罚原因的文字描述，若有处罚决定书，填写处罚决定书内容。</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处罚金额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CFJE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处罚金额，以人民币填报，单位：元。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Pr>
        <w:pStyle w:val="3"/>
        <w:numPr>
          <w:ilvl w:val="0"/>
          <w:numId w:val="6"/>
        </w:numPr>
        <w:ind w:left="0"/>
        <w:rPr>
          <w:szCs w:val="30"/>
        </w:rPr>
      </w:pPr>
      <w:bookmarkStart w:id="222" w:name="_Toc57538963"/>
      <w:bookmarkStart w:id="223" w:name="_Toc29689"/>
      <w:bookmarkStart w:id="224" w:name="_Toc9217"/>
      <w:bookmarkStart w:id="225" w:name="_Toc25316"/>
      <w:bookmarkStart w:id="226" w:name="_Toc23841"/>
      <w:bookmarkStart w:id="227" w:name="_Toc73958570"/>
      <w:bookmarkStart w:id="228" w:name="_Toc27372"/>
      <w:bookmarkStart w:id="229" w:name="_Toc23532"/>
      <w:bookmarkStart w:id="230" w:name="_Toc2379"/>
      <w:bookmarkStart w:id="231" w:name="_Toc13678"/>
      <w:bookmarkStart w:id="232" w:name="_Toc20605"/>
      <w:bookmarkStart w:id="233" w:name="_Toc9069"/>
      <w:bookmarkStart w:id="234" w:name="_Toc57476899"/>
      <w:bookmarkStart w:id="235" w:name="_Toc24264"/>
      <w:r>
        <w:rPr>
          <w:rFonts w:hint="eastAsia"/>
          <w:szCs w:val="30"/>
        </w:rPr>
        <w:t>公司财务</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4"/>
        <w:numPr>
          <w:ilvl w:val="0"/>
          <w:numId w:val="7"/>
        </w:numPr>
        <w:tabs>
          <w:tab w:val="left" w:pos="709"/>
          <w:tab w:val="left" w:pos="993"/>
        </w:tabs>
        <w:rPr>
          <w:rFonts w:ascii="仿宋" w:hAnsi="仿宋" w:eastAsia="仿宋"/>
          <w:szCs w:val="30"/>
        </w:rPr>
      </w:pPr>
      <w:bookmarkStart w:id="236" w:name="_Toc73958571"/>
      <w:bookmarkStart w:id="237" w:name="_Toc11991"/>
      <w:bookmarkStart w:id="238" w:name="_Toc5966"/>
      <w:bookmarkStart w:id="239" w:name="_Toc22970"/>
      <w:bookmarkStart w:id="240" w:name="_Toc19174"/>
      <w:bookmarkStart w:id="241" w:name="_Toc30378"/>
      <w:bookmarkStart w:id="242" w:name="_Toc25986"/>
      <w:r>
        <w:rPr>
          <w:rFonts w:ascii="仿宋" w:hAnsi="仿宋" w:eastAsia="仿宋"/>
          <w:szCs w:val="30"/>
        </w:rPr>
        <w:t>内部科目对照表</w:t>
      </w:r>
      <w:bookmarkEnd w:id="236"/>
      <w:bookmarkEnd w:id="237"/>
      <w:bookmarkEnd w:id="238"/>
      <w:bookmarkEnd w:id="239"/>
      <w:bookmarkEnd w:id="240"/>
      <w:bookmarkEnd w:id="241"/>
      <w:bookmarkEnd w:id="242"/>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NBKMDZB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内部科目对照表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B0101</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本表报送机构总账会计全科目每一级科目由下级科目或明细账生成的关系，需要报送全量一级到最末级的会计科目。上级科目编号必须在该表中存在且具有唯一性。</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会计科目体系名称，应具有唯一标识。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会计科目体系代码，应具有唯一标识。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会计核算方法</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KJHSFF</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适用会计准则。枚举值为“金融工具确认和计量（2006）；金融工具确认和计量（2017）”。</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总账会计科目编号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KMBH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机构实际使用的会计科目编码。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机构实际使用的会计科目名称。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会计科目级次</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KMJC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总账会计科目编号在科目结构中所对应的级次。未设置科目层级默认一级科目。</w:t>
            </w:r>
            <w:r>
              <w:rPr>
                <w:rFonts w:hint="eastAsia" w:ascii="宋体" w:hAnsi="宋体" w:eastAsia="宋体"/>
                <w:color w:val="000000"/>
                <w:sz w:val="21"/>
                <w:szCs w:val="21"/>
              </w:rPr>
              <w:br w:type="textWrapping"/>
            </w:r>
            <w:r>
              <w:rPr>
                <w:rFonts w:hint="eastAsia" w:ascii="宋体" w:hAnsi="宋体" w:eastAsia="宋体"/>
                <w:color w:val="000000"/>
                <w:sz w:val="21"/>
                <w:szCs w:val="21"/>
              </w:rPr>
              <w:t>“1-一级科目；2-二级科目；3-三级科目；4-四级科目；5-五级科目；6-六级科目”，以此类推，填报数字。</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上级科目编号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SJKMBH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上级科目名称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SJKMMC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机构实际使用的总账会计科目编码对应的名称。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总账会计科目分类。“1资产；2负债；3所有者权益；4损益；5资产负债共同类；6表外；7其他”，填报数字。</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tabs>
          <w:tab w:val="left" w:pos="709"/>
          <w:tab w:val="left" w:pos="993"/>
        </w:tabs>
        <w:ind w:left="0" w:firstLine="602"/>
        <w:rPr>
          <w:rFonts w:ascii="仿宋" w:hAnsi="仿宋" w:eastAsia="仿宋"/>
        </w:rPr>
      </w:pPr>
      <w:bookmarkStart w:id="243" w:name="_Toc13391"/>
      <w:bookmarkStart w:id="244" w:name="_Toc20429"/>
      <w:bookmarkStart w:id="245" w:name="_Toc13922"/>
      <w:bookmarkStart w:id="246" w:name="_Toc57476900"/>
      <w:bookmarkStart w:id="247" w:name="_Toc9529"/>
      <w:bookmarkStart w:id="248" w:name="_Toc6237"/>
      <w:bookmarkStart w:id="249" w:name="_Toc26533"/>
      <w:bookmarkStart w:id="250" w:name="_Toc808"/>
      <w:bookmarkStart w:id="251" w:name="_Toc4510"/>
      <w:bookmarkStart w:id="252" w:name="_Toc28037"/>
      <w:bookmarkStart w:id="253" w:name="_Toc31066"/>
      <w:bookmarkStart w:id="254" w:name="_Toc26710"/>
      <w:bookmarkStart w:id="255" w:name="_Toc13506"/>
      <w:bookmarkStart w:id="256" w:name="_Toc5746"/>
      <w:bookmarkStart w:id="257" w:name="_Toc25871"/>
      <w:bookmarkStart w:id="258" w:name="_Toc73958572"/>
      <w:bookmarkStart w:id="259" w:name="_Toc29364"/>
      <w:bookmarkStart w:id="260" w:name="_Toc15956"/>
      <w:bookmarkStart w:id="261" w:name="_Toc29347"/>
      <w:bookmarkStart w:id="262" w:name="_Toc1228"/>
      <w:bookmarkStart w:id="263" w:name="_Toc31413"/>
      <w:bookmarkStart w:id="264" w:name="_Toc24342"/>
      <w:bookmarkStart w:id="265" w:name="_Toc1865"/>
      <w:bookmarkStart w:id="266" w:name="_Toc12364"/>
      <w:bookmarkStart w:id="267" w:name="_Toc88"/>
      <w:bookmarkStart w:id="268" w:name="_Toc16409"/>
      <w:bookmarkStart w:id="269" w:name="_Toc27310"/>
      <w:bookmarkStart w:id="270" w:name="_Toc15114"/>
      <w:bookmarkStart w:id="271" w:name="_Toc21902"/>
      <w:bookmarkStart w:id="272" w:name="_Toc5958"/>
      <w:bookmarkStart w:id="273" w:name="_Toc21199"/>
      <w:bookmarkStart w:id="274" w:name="_Toc21251"/>
      <w:bookmarkStart w:id="275" w:name="_Toc18942"/>
      <w:bookmarkStart w:id="276" w:name="_Toc57538964"/>
      <w:bookmarkStart w:id="277" w:name="_Toc21049"/>
      <w:bookmarkStart w:id="278" w:name="_Toc6600"/>
      <w:bookmarkStart w:id="279" w:name="_Toc5068"/>
      <w:bookmarkStart w:id="280" w:name="_Toc25428"/>
      <w:r>
        <w:rPr>
          <w:rFonts w:hint="eastAsia" w:ascii="仿宋" w:hAnsi="仿宋" w:eastAsia="仿宋"/>
        </w:rPr>
        <w:t>总账会计全科目表</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Start w:id="281" w:name="_Toc29014"/>
      <w:bookmarkStart w:id="282" w:name="_Toc32189"/>
      <w:bookmarkStart w:id="283" w:name="_Toc7332"/>
      <w:bookmarkStart w:id="284" w:name="_Toc19694"/>
      <w:bookmarkStart w:id="285" w:name="_Toc14447"/>
      <w:bookmarkStart w:id="286" w:name="_Toc8749"/>
      <w:bookmarkStart w:id="287" w:name="_Toc14795"/>
      <w:bookmarkStart w:id="288" w:name="_Toc4066"/>
      <w:bookmarkStart w:id="289" w:name="_Toc22120"/>
      <w:bookmarkStart w:id="290" w:name="_Toc21769"/>
      <w:bookmarkStart w:id="291" w:name="_Toc18039"/>
      <w:bookmarkStart w:id="292" w:name="_Toc24208"/>
      <w:bookmarkStart w:id="293" w:name="_Toc3701"/>
      <w:bookmarkStart w:id="294" w:name="_Toc30182"/>
      <w:bookmarkStart w:id="295" w:name="_Toc19739"/>
      <w:bookmarkStart w:id="296" w:name="_Toc13454"/>
      <w:bookmarkStart w:id="297" w:name="_Toc5332"/>
      <w:bookmarkStart w:id="298" w:name="_Toc57477014"/>
      <w:bookmarkStart w:id="299" w:name="_Toc30737"/>
      <w:bookmarkStart w:id="300" w:name="_Toc16888"/>
      <w:bookmarkStart w:id="301" w:name="_Toc29556"/>
      <w:bookmarkStart w:id="302" w:name="_Toc2045"/>
      <w:bookmarkStart w:id="303" w:name="_Toc12601"/>
      <w:bookmarkStart w:id="304" w:name="_Toc28916"/>
      <w:bookmarkStart w:id="305" w:name="_Toc14182"/>
      <w:bookmarkStart w:id="306" w:name="_Toc229"/>
      <w:bookmarkStart w:id="307" w:name="_Toc17157"/>
      <w:bookmarkStart w:id="308" w:name="_Toc15730"/>
      <w:bookmarkStart w:id="309" w:name="_Toc21341"/>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ZZKJQKMB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总账会计全科目表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B0102</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本表报送机构全科目报表数据，币种包括人民币汇总、外币分币种汇总。此表与内部科目对照表关系一致。</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会计科目体系名称，应具有唯一标识。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会计科目体系代码，应具有唯一标识。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会计起始日期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KJQSRQ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会计日期。格式：YYYYMMDD。</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会计截止日期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KJJZRQ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会计日期。格式：YYYYMMDD，年度审计报告出具后报送包含审计调整的数据。</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交易币种</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报送周期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BSZQ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参照《业务代码表》中的“报送周期类型代码”，填报代码。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总账会计科目编号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KMBH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机构实际使用的总账会计科目编码对应的名称。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总账会计科目级次</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KMJC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总账会计科目编号在科目结构中所对应的级次。未设置科目层级默认一级科目。</w:t>
            </w:r>
            <w:r>
              <w:rPr>
                <w:rFonts w:hint="eastAsia" w:ascii="宋体" w:hAnsi="宋体" w:eastAsia="宋体"/>
                <w:color w:val="000000"/>
                <w:sz w:val="21"/>
                <w:szCs w:val="21"/>
              </w:rPr>
              <w:br w:type="textWrapping"/>
            </w:r>
            <w:r>
              <w:rPr>
                <w:rFonts w:hint="eastAsia" w:ascii="宋体" w:hAnsi="宋体" w:eastAsia="宋体"/>
                <w:color w:val="000000"/>
                <w:sz w:val="21"/>
                <w:szCs w:val="21"/>
              </w:rPr>
              <w:t>“1-一级科目；2-二级科目；3-三级科目；4-四级科目；5-五级科目；6-六级科目”，以此类推，填报数字。</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总账会计科目分类。“1资产；2负债；3所有者权益；4损益；5资产负债共同类；6表外；7其他”，填报数字。</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期初借方余额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QCJFYE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本年期初借方余额。若金额涉及到外币，由机构自行转换成人民币进行填报。单位：元。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期初贷方余额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QCDFYE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本年期初贷方余额。若金额涉及到外币，由机构自行转换成人民币进行填报。单位：元。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本期借方发生额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BQJFFSE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本年借方发生额。若金额涉及到外币，由机构自行转换成人民币进行填报。单位：元。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本期贷方发生额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BQDFFSE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本年贷方发生额。若金额涉及到外币，由机构自行转换成人民币进行填报。单位：元。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期末借方余额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QMJFYE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截止本期末借方余额。若金额涉及到外币，由机构自行转换成人民币进行填报。单位：元。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期末贷方余额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QMDFYE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截止本期末借方余额。若金额涉及到外币，由机构自行转换成人民币进行填报。单位：元。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Pr>
        <w:pStyle w:val="4"/>
        <w:tabs>
          <w:tab w:val="left" w:pos="709"/>
          <w:tab w:val="left" w:pos="993"/>
        </w:tabs>
        <w:ind w:left="0" w:firstLine="602"/>
        <w:rPr>
          <w:rFonts w:ascii="仿宋" w:hAnsi="仿宋" w:eastAsia="仿宋"/>
        </w:rPr>
      </w:pPr>
      <w:bookmarkStart w:id="310" w:name="_Toc4709"/>
      <w:bookmarkStart w:id="311" w:name="_Toc9576"/>
      <w:bookmarkStart w:id="312" w:name="_Toc10136"/>
      <w:bookmarkStart w:id="313" w:name="_Toc19926"/>
      <w:bookmarkStart w:id="314" w:name="_Toc73958573"/>
      <w:bookmarkStart w:id="315" w:name="_Toc27077"/>
      <w:bookmarkStart w:id="316" w:name="_Toc13199"/>
      <w:bookmarkStart w:id="317" w:name="_Toc20623"/>
      <w:bookmarkStart w:id="318" w:name="_Toc13148"/>
      <w:bookmarkStart w:id="319" w:name="_Toc24401"/>
      <w:bookmarkStart w:id="320" w:name="_Toc16412"/>
      <w:bookmarkStart w:id="321" w:name="_Toc18324"/>
      <w:bookmarkStart w:id="322" w:name="_Toc9488"/>
      <w:bookmarkStart w:id="323" w:name="_Toc28645"/>
      <w:bookmarkStart w:id="324" w:name="_Toc26171"/>
      <w:bookmarkStart w:id="325" w:name="_Toc20234"/>
      <w:bookmarkStart w:id="326" w:name="_Toc25813"/>
      <w:bookmarkStart w:id="327" w:name="_Toc14406"/>
      <w:bookmarkStart w:id="328" w:name="_Toc10509"/>
      <w:bookmarkStart w:id="329" w:name="_Toc24597"/>
      <w:bookmarkStart w:id="330" w:name="_Toc18440"/>
      <w:bookmarkStart w:id="331" w:name="_Toc23247"/>
      <w:bookmarkStart w:id="332" w:name="_Toc57477066"/>
      <w:bookmarkStart w:id="333" w:name="_Toc30233"/>
      <w:bookmarkStart w:id="334" w:name="_Toc12894"/>
      <w:bookmarkStart w:id="335" w:name="_Toc10641"/>
      <w:bookmarkStart w:id="336" w:name="_Toc21076"/>
      <w:bookmarkStart w:id="337" w:name="_Toc23621"/>
      <w:bookmarkStart w:id="338" w:name="_Toc22372"/>
      <w:bookmarkStart w:id="339" w:name="_Toc21804"/>
      <w:bookmarkStart w:id="340" w:name="_Toc30364"/>
      <w:bookmarkStart w:id="341" w:name="_Toc5360"/>
      <w:bookmarkStart w:id="342" w:name="_Toc1338"/>
      <w:bookmarkStart w:id="343" w:name="_Toc5878"/>
      <w:bookmarkStart w:id="344" w:name="_Toc32489"/>
      <w:bookmarkStart w:id="345" w:name="_Toc31707"/>
      <w:r>
        <w:rPr>
          <w:rFonts w:hint="eastAsia" w:ascii="仿宋" w:hAnsi="仿宋" w:eastAsia="仿宋"/>
        </w:rPr>
        <w:t>会计凭证信息表</w:t>
      </w:r>
      <w:bookmarkEnd w:id="310"/>
      <w:bookmarkEnd w:id="311"/>
      <w:bookmarkEnd w:id="312"/>
      <w:bookmarkEnd w:id="313"/>
      <w:bookmarkEnd w:id="314"/>
      <w:bookmarkEnd w:id="315"/>
      <w:bookmarkEnd w:id="316"/>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KJPZXXB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会计凭证信息表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B0103</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本表报送机构当期所有会计凭证。填报全科目凭证信息。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会计科目体系名称，应具有唯一标识。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会计科目体系代码，应具有唯一标识。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会计期间</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KJQJ</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归属期间。格式：YYYYMM，年度审计报告出具后报送包含审计调整的数据。</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记账日期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JZRQ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会计记账日期。格式：YYYYMMDD。</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凭证编号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PZBH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凭证编号。</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总账会计科目编号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KMBH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机构实际使用的总账会计科目编码对应的名称。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摘要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ZY</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凭证摘要。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交易币种</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交易币借方</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JYBJF</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交易币借方发生金额。</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交易币贷方</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JYBDF</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交易币贷方发生金额。</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本位币借方</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BWBJF</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交易币按照既定规则的汇率折成的本位币借方发生金额。单位：元。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本位币贷方</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BWBDF</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交易币按照既定规则的汇率折成的本位币贷方发生金额。单位：元。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Pr>
        <w:pStyle w:val="4"/>
        <w:tabs>
          <w:tab w:val="left" w:pos="709"/>
          <w:tab w:val="left" w:pos="993"/>
        </w:tabs>
        <w:ind w:left="0" w:firstLine="602"/>
        <w:rPr>
          <w:rFonts w:ascii="仿宋" w:hAnsi="仿宋" w:eastAsia="仿宋"/>
        </w:rPr>
      </w:pPr>
      <w:bookmarkStart w:id="346" w:name="_Toc23770"/>
      <w:bookmarkStart w:id="347" w:name="_Toc73958574"/>
      <w:bookmarkStart w:id="348" w:name="_Toc18930"/>
      <w:bookmarkStart w:id="349" w:name="_Toc12807"/>
      <w:bookmarkStart w:id="350" w:name="_Toc28650"/>
      <w:bookmarkStart w:id="351" w:name="_Toc8149"/>
      <w:bookmarkStart w:id="352" w:name="_Toc17460"/>
      <w:bookmarkStart w:id="353" w:name="_Toc29842"/>
      <w:bookmarkStart w:id="354" w:name="_Toc16070"/>
      <w:bookmarkStart w:id="355" w:name="_Toc223"/>
      <w:bookmarkStart w:id="356" w:name="_Toc27430"/>
      <w:bookmarkStart w:id="357" w:name="_Toc28187"/>
      <w:bookmarkStart w:id="358" w:name="_Toc13290"/>
      <w:bookmarkStart w:id="359" w:name="_Toc24299"/>
      <w:bookmarkStart w:id="360" w:name="_Toc7435"/>
      <w:bookmarkStart w:id="361" w:name="_Toc22638"/>
      <w:bookmarkStart w:id="362" w:name="_Toc18163"/>
      <w:bookmarkStart w:id="363" w:name="_Toc4577"/>
      <w:bookmarkStart w:id="364" w:name="_Toc4306"/>
      <w:bookmarkStart w:id="365" w:name="_Toc18198"/>
      <w:bookmarkStart w:id="366" w:name="_Toc57477238"/>
      <w:bookmarkStart w:id="367" w:name="_Toc27813"/>
      <w:bookmarkStart w:id="368" w:name="_Toc20917"/>
      <w:bookmarkStart w:id="369" w:name="_Toc28059"/>
      <w:bookmarkStart w:id="370" w:name="_Toc706"/>
      <w:bookmarkStart w:id="371" w:name="_Toc22780"/>
      <w:bookmarkStart w:id="372" w:name="_Toc8121"/>
      <w:bookmarkStart w:id="373" w:name="_Toc24289"/>
      <w:bookmarkStart w:id="374" w:name="_Toc13797"/>
      <w:bookmarkStart w:id="375" w:name="_Toc3908"/>
      <w:bookmarkStart w:id="376" w:name="_Toc28406"/>
      <w:bookmarkStart w:id="377" w:name="_Toc16868"/>
      <w:bookmarkStart w:id="378" w:name="_Toc10571"/>
      <w:bookmarkStart w:id="379" w:name="_Toc31398"/>
      <w:bookmarkStart w:id="380" w:name="_Toc4564"/>
      <w:bookmarkStart w:id="381" w:name="_Toc32380"/>
      <w:r>
        <w:rPr>
          <w:rFonts w:hint="eastAsia" w:ascii="仿宋" w:hAnsi="仿宋" w:eastAsia="仿宋"/>
        </w:rPr>
        <w:t>银行账户信息表</w:t>
      </w:r>
      <w:bookmarkEnd w:id="346"/>
      <w:bookmarkEnd w:id="347"/>
      <w:bookmarkEnd w:id="348"/>
      <w:bookmarkEnd w:id="349"/>
      <w:bookmarkEnd w:id="350"/>
      <w:bookmarkEnd w:id="351"/>
      <w:bookmarkEnd w:id="352"/>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YHZHXXB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银行账户信息表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B0104</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本表报送机构所有银行账户信息，包含自有、受托及产品银行账户。</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银行法定名称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GL_YHFDMC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开户行名称。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银行证件类型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GL_YHZJLX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银行证件类型，参照业务代码表《证件类型代码》，填报名称 。</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银行证件号码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GL_YHZJHM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境内银行填写统一社会信用代码。境外银行填写企业注册码、税务号等有效代码。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银行证件到期日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GL_YHZJDQR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银行证件到期日。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银行LEI编码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YHLEIBM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境外银行填写。</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银行境内外标识</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YHJNWBS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是否为境外银行。枚举值为“境内；境外”。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银行账户号码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YHZHHM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银行账号。</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银行账户名称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YHZHMC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银行账户名称。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银行账户类型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YHZHLX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枚举值为“基本户；一般户；临时户；专用户；定期账户；经常项目外汇账户；资本项目外汇账户；其他”。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银行账户状态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YHZHZT</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机构银行账户的目前状态。枚举值为“正常；冻结；注销；其他”。其他应填写备注。</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货币代码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HBDM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开户日期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KHRQ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机构银行开户日期。格式：YYYYMMDD。</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销户日期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XHRQ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机构银行销户日期。如未销户，填写默认值99991231。格式：YYYYMMDD。</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账户境内外标识</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ZHJNWBS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是否为境外账户。枚举值为“境内；境外”。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资金标识</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ZJBS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枚举值为“自有资金；受托资金；产品财产”。</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投资账户名称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TZZHMC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投资账户名称。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投资账户代码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TZZHDM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投资账户代码。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备注</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补充说明情况。</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Pr>
        <w:pStyle w:val="4"/>
        <w:tabs>
          <w:tab w:val="left" w:pos="709"/>
          <w:tab w:val="left" w:pos="993"/>
        </w:tabs>
        <w:ind w:left="0" w:firstLine="602"/>
        <w:rPr>
          <w:rFonts w:ascii="仿宋" w:hAnsi="仿宋" w:eastAsia="仿宋"/>
        </w:rPr>
      </w:pPr>
      <w:bookmarkStart w:id="382" w:name="_Toc28118"/>
      <w:bookmarkStart w:id="383" w:name="_Toc3565"/>
      <w:bookmarkStart w:id="384" w:name="_Toc73958575"/>
      <w:bookmarkStart w:id="385" w:name="_Toc19521"/>
      <w:bookmarkStart w:id="386" w:name="_Toc16763"/>
      <w:bookmarkStart w:id="387" w:name="_Toc18566"/>
      <w:bookmarkStart w:id="388" w:name="_Toc1297"/>
      <w:bookmarkStart w:id="389" w:name="_Toc1894"/>
      <w:bookmarkStart w:id="390" w:name="_Toc2337"/>
      <w:bookmarkStart w:id="391" w:name="_Toc22578"/>
      <w:bookmarkStart w:id="392" w:name="_Toc11209"/>
      <w:bookmarkStart w:id="393" w:name="_Toc7834"/>
      <w:bookmarkStart w:id="394" w:name="_Toc5317"/>
      <w:bookmarkStart w:id="395" w:name="_Toc16245"/>
      <w:bookmarkStart w:id="396" w:name="_Toc20805"/>
      <w:bookmarkStart w:id="397" w:name="_Toc3768"/>
      <w:bookmarkStart w:id="398" w:name="_Toc5318"/>
      <w:bookmarkStart w:id="399" w:name="_Toc22853"/>
      <w:bookmarkStart w:id="400" w:name="_Toc12482"/>
      <w:bookmarkStart w:id="401" w:name="_Toc17978"/>
      <w:bookmarkStart w:id="402" w:name="_Toc22890"/>
      <w:bookmarkStart w:id="403" w:name="_Toc8421"/>
      <w:bookmarkStart w:id="404" w:name="_Toc12450"/>
      <w:bookmarkStart w:id="405" w:name="_Toc4111"/>
      <w:bookmarkStart w:id="406" w:name="_Toc10709"/>
      <w:bookmarkStart w:id="407" w:name="_Toc26278"/>
      <w:bookmarkStart w:id="408" w:name="_Toc28801"/>
      <w:bookmarkStart w:id="409" w:name="_Toc18037"/>
      <w:bookmarkStart w:id="410" w:name="_Toc21322"/>
      <w:bookmarkStart w:id="411" w:name="_Toc27190"/>
      <w:bookmarkStart w:id="412" w:name="_Toc29676"/>
      <w:bookmarkStart w:id="413" w:name="_Toc13436"/>
      <w:bookmarkStart w:id="414" w:name="_Toc16608"/>
      <w:bookmarkStart w:id="415" w:name="_Toc20079"/>
      <w:bookmarkStart w:id="416" w:name="_Toc57477337"/>
      <w:bookmarkStart w:id="417" w:name="_Toc25918"/>
      <w:r>
        <w:rPr>
          <w:rFonts w:hint="eastAsia" w:ascii="仿宋" w:hAnsi="仿宋" w:eastAsia="仿宋"/>
        </w:rPr>
        <w:t>财务信息统计表</w:t>
      </w:r>
      <w:bookmarkEnd w:id="382"/>
      <w:bookmarkEnd w:id="383"/>
      <w:bookmarkEnd w:id="384"/>
      <w:bookmarkEnd w:id="385"/>
      <w:bookmarkEnd w:id="386"/>
      <w:bookmarkEnd w:id="387"/>
      <w:bookmarkEnd w:id="388"/>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CWXXTJB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财务信息统计表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B0105</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本表报送机构财务信息统计指标。</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是否主键</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资产合计</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ZCHJ</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资产合计，单位：元。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负债合计</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FZHJ</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负债合计，单位：元。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所有者权益合计</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SYZQYHJ</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所有者权益合计，单位：元。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当期营业收入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DQYYSR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当月发生额，单位：元。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当期营业支出</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DQYYZC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当月发生额，单位：元。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当期营业利润</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DQYYLR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当月发生额，单位：元。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当期利润总额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DQLRZE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当月发生额，单位：元。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当期净利润</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DQJLR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当月发生额，单位：元。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当期净资产收益率</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DQJZCSYL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填数字，不填百分比，最少保留四位小数，比如12.34%填写为0.1234。</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年营业收入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NYYSR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当年累计发生额，单位：元。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年营业支出</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NYYZC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当年累计发生额，单位：元。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年营业利润</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NYYLR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当年累计发生额，单位：元。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年利润总额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NLRZE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当年累计发生额，单位：元。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年净利润</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NJLR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当年累计发生额，单位：元。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年净资产收益率</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NJZCSYL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填数字，不填百分比，最少保留四位小数，比如12.34%填写为0.1234。</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会计期间</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KJQJ</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归属期间。格式：YYYYMM，年度审计报告出具后报送包含审计调整的数据。</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报送周期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BSZQ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参照《业务代码表》中的“报送周期类型代码”，填报代码。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bl>
    <w:p>
      <w:pPr>
        <w:ind w:firstLine="0" w:firstLineChars="0"/>
      </w:pPr>
    </w:p>
    <w:p>
      <w:pPr>
        <w:pStyle w:val="3"/>
        <w:numPr>
          <w:ilvl w:val="0"/>
          <w:numId w:val="6"/>
        </w:numPr>
        <w:ind w:left="0"/>
        <w:rPr>
          <w:szCs w:val="30"/>
        </w:rPr>
      </w:pPr>
      <w:bookmarkStart w:id="418" w:name="_Toc9078"/>
      <w:bookmarkStart w:id="419" w:name="_Toc32748"/>
      <w:bookmarkStart w:id="420" w:name="_Toc14559"/>
      <w:bookmarkStart w:id="421" w:name="_Toc3773"/>
      <w:bookmarkStart w:id="422" w:name="_Toc12115"/>
      <w:bookmarkStart w:id="423" w:name="_Toc7561"/>
      <w:bookmarkStart w:id="424" w:name="_Toc26623"/>
      <w:bookmarkStart w:id="425" w:name="_Toc26556"/>
      <w:bookmarkStart w:id="426" w:name="_Toc73958576"/>
      <w:bookmarkStart w:id="427" w:name="_Toc9972"/>
      <w:bookmarkStart w:id="428" w:name="_Toc12717"/>
      <w:bookmarkStart w:id="429" w:name="_Toc14206"/>
      <w:r>
        <w:rPr>
          <w:rFonts w:hint="eastAsia"/>
          <w:szCs w:val="30"/>
        </w:rPr>
        <w:t>保险资产管理公司自有资金投资业务</w:t>
      </w:r>
      <w:bookmarkEnd w:id="418"/>
      <w:bookmarkEnd w:id="419"/>
      <w:bookmarkEnd w:id="420"/>
      <w:bookmarkEnd w:id="421"/>
      <w:bookmarkEnd w:id="422"/>
      <w:bookmarkEnd w:id="423"/>
      <w:bookmarkEnd w:id="424"/>
      <w:bookmarkEnd w:id="425"/>
      <w:bookmarkEnd w:id="426"/>
      <w:bookmarkEnd w:id="427"/>
      <w:bookmarkEnd w:id="428"/>
      <w:bookmarkEnd w:id="429"/>
    </w:p>
    <w:p>
      <w:pPr>
        <w:pStyle w:val="4"/>
        <w:numPr>
          <w:ilvl w:val="0"/>
          <w:numId w:val="8"/>
        </w:numPr>
        <w:tabs>
          <w:tab w:val="left" w:pos="709"/>
          <w:tab w:val="left" w:pos="993"/>
        </w:tabs>
        <w:rPr>
          <w:rFonts w:ascii="仿宋" w:hAnsi="仿宋" w:eastAsia="仿宋"/>
        </w:rPr>
      </w:pPr>
      <w:bookmarkStart w:id="430" w:name="_Toc23355"/>
      <w:bookmarkStart w:id="431" w:name="_Toc30674"/>
      <w:bookmarkStart w:id="432" w:name="_Toc73958577"/>
      <w:bookmarkStart w:id="433" w:name="_Toc24933"/>
      <w:bookmarkStart w:id="434" w:name="_Toc291"/>
      <w:bookmarkStart w:id="435" w:name="_Toc22371"/>
      <w:bookmarkStart w:id="436" w:name="_Toc12655"/>
      <w:r>
        <w:rPr>
          <w:rFonts w:hint="eastAsia" w:ascii="仿宋" w:hAnsi="仿宋" w:eastAsia="仿宋"/>
        </w:rPr>
        <w:t>自有资金投资账户信息表</w:t>
      </w:r>
      <w:bookmarkEnd w:id="430"/>
      <w:bookmarkEnd w:id="431"/>
      <w:bookmarkEnd w:id="432"/>
      <w:bookmarkEnd w:id="433"/>
      <w:bookmarkEnd w:id="434"/>
      <w:bookmarkEnd w:id="435"/>
      <w:bookmarkEnd w:id="436"/>
    </w:p>
    <w:tbl>
      <w:tblPr>
        <w:tblStyle w:val="25"/>
        <w:tblW w:w="8824" w:type="dxa"/>
        <w:tblInd w:w="0" w:type="dxa"/>
        <w:tblLayout w:type="fixed"/>
        <w:tblCellMar>
          <w:top w:w="0" w:type="dxa"/>
          <w:left w:w="108" w:type="dxa"/>
          <w:bottom w:w="0" w:type="dxa"/>
          <w:right w:w="108" w:type="dxa"/>
        </w:tblCellMar>
      </w:tblPr>
      <w:tblGrid>
        <w:gridCol w:w="1371"/>
        <w:gridCol w:w="1332"/>
        <w:gridCol w:w="888"/>
        <w:gridCol w:w="3771"/>
        <w:gridCol w:w="807"/>
        <w:gridCol w:w="655"/>
      </w:tblGrid>
      <w:tr>
        <w:tblPrEx>
          <w:tblCellMar>
            <w:top w:w="0" w:type="dxa"/>
            <w:left w:w="108" w:type="dxa"/>
            <w:bottom w:w="0" w:type="dxa"/>
            <w:right w:w="108" w:type="dxa"/>
          </w:tblCellMar>
        </w:tblPrEx>
        <w:trPr>
          <w:trHeight w:val="280" w:hRule="atLeast"/>
        </w:trPr>
        <w:tc>
          <w:tcPr>
            <w:tcW w:w="137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3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8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ZYZJTZZHXXB</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自有资金投资账户信息表</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C0101</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本表报送保险资产管理公司自有资金在交易市场开立的投资账户信息，包括账户性质、账户基本信息、账户运作信息等信息。</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1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账户起始运作日</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ZHQSYZR</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账户初始运作日期。格式：YYYYMMDD。</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机构投资账户名称，应具有唯一标识。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机构投资账户代码，应具有唯一标识。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参照业务代码表《账户类型代码》，填报账户类型名称。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账户币种</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参照业务代码表《币种代码》填报代码。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numPr>
          <w:ilvl w:val="0"/>
          <w:numId w:val="8"/>
        </w:numPr>
        <w:tabs>
          <w:tab w:val="left" w:pos="709"/>
          <w:tab w:val="left" w:pos="993"/>
        </w:tabs>
        <w:rPr>
          <w:rFonts w:ascii="仿宋" w:hAnsi="仿宋" w:eastAsia="仿宋"/>
        </w:rPr>
      </w:pPr>
      <w:bookmarkStart w:id="437" w:name="_Toc19737"/>
      <w:bookmarkStart w:id="438" w:name="_Toc30863"/>
      <w:bookmarkStart w:id="439" w:name="_Toc31285"/>
      <w:bookmarkStart w:id="440" w:name="_Toc1019"/>
      <w:bookmarkStart w:id="441" w:name="_Toc73958578"/>
      <w:bookmarkStart w:id="442" w:name="_Toc21287"/>
      <w:bookmarkStart w:id="443" w:name="_Toc12487"/>
      <w:r>
        <w:rPr>
          <w:rFonts w:hint="eastAsia" w:ascii="仿宋" w:hAnsi="仿宋" w:eastAsia="仿宋"/>
        </w:rPr>
        <w:t>自有资金投资账户科目余额表</w:t>
      </w:r>
      <w:bookmarkEnd w:id="437"/>
      <w:bookmarkEnd w:id="438"/>
      <w:bookmarkEnd w:id="439"/>
      <w:bookmarkEnd w:id="440"/>
      <w:bookmarkEnd w:id="441"/>
      <w:bookmarkEnd w:id="442"/>
      <w:bookmarkEnd w:id="443"/>
    </w:p>
    <w:tbl>
      <w:tblPr>
        <w:tblStyle w:val="25"/>
        <w:tblW w:w="8824" w:type="dxa"/>
        <w:tblInd w:w="0" w:type="dxa"/>
        <w:tblLayout w:type="fixed"/>
        <w:tblCellMar>
          <w:top w:w="0" w:type="dxa"/>
          <w:left w:w="108" w:type="dxa"/>
          <w:bottom w:w="0" w:type="dxa"/>
          <w:right w:w="108" w:type="dxa"/>
        </w:tblCellMar>
      </w:tblPr>
      <w:tblGrid>
        <w:gridCol w:w="1581"/>
        <w:gridCol w:w="1290"/>
        <w:gridCol w:w="1089"/>
        <w:gridCol w:w="3401"/>
        <w:gridCol w:w="709"/>
        <w:gridCol w:w="754"/>
      </w:tblGrid>
      <w:tr>
        <w:trPr>
          <w:trHeight w:val="280" w:hRule="atLeast"/>
        </w:trPr>
        <w:tc>
          <w:tcPr>
            <w:tcW w:w="15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108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ZYZJTZZHKMYEB</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自有资金投资账户科目余额表</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C0102</w:t>
            </w:r>
          </w:p>
        </w:tc>
        <w:tc>
          <w:tcPr>
            <w:tcW w:w="486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本表报送保险资产管理公司自有资金投资账户科目余额表信息。</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1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账户名称</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ZHMC</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账户代码</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ZHDM</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会计科目体系名称</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KJKMTXMC</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会计科目体系代码</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KJKMTXDM</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002014</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会计起始日期</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KJQSRQ</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会计日期。格式：YYYYMMDD。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4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会计截止日期</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KJJZRQ</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会计日期。格式：YYYYMMDD，年度审计报告出具后报送包含审计调整的数据。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交易币种</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报送周期</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BSZQ</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002016</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参照《业务代码表》中的“报送周期类型代码”，填报代码。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总账会计科目编号</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KMBH</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002006</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总账会计科目名称</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KMMC</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002007</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机构实际使用的总账会计科目编码对应的名称。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总账会计科目级次</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KMJC</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总账会计科目编号在科目结构中所对应的级次。未设置科目层级默认一级科目。</w:t>
            </w:r>
            <w:r>
              <w:rPr>
                <w:rFonts w:hint="eastAsia" w:ascii="宋体" w:hAnsi="宋体" w:eastAsia="宋体"/>
                <w:color w:val="000000"/>
                <w:sz w:val="21"/>
                <w:szCs w:val="21"/>
              </w:rPr>
              <w:br w:type="textWrapping"/>
            </w:r>
            <w:r>
              <w:rPr>
                <w:rFonts w:hint="eastAsia" w:ascii="宋体" w:hAnsi="宋体" w:eastAsia="宋体"/>
                <w:color w:val="000000"/>
                <w:sz w:val="21"/>
                <w:szCs w:val="21"/>
              </w:rPr>
              <w:t>“1-一级科目；2-二级科目；3-三级科目；4-四级科目；5-五级科目；6-六级科目”，以此类推，填报数字。</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会计科目类型</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KMLX</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002004</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总账会计科目分类。“1资产；2负债；3所有者权益；4损益；5资产负债共同类；6表外；7其他”，填报数字。</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期初借方余额</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QCJFYE</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本年期初借方余额。若金额涉及到外币，由机构自行转换成人民币进行填报。单位：元。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期初贷方余额</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QCDFYE</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本年期初贷方余额。若金额涉及到外币，由机构自行转换成人民币进行填报。单位：元。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本期借方发生额</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BQJFFSE</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本年借方发生额。若金额涉及到外币，由机构自行转换成人民币进行填报。单位：元。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本期贷方发生额</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BQDFFSE</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本年贷方发生额。若金额涉及到外币，由机构自行转换成人民币进行填报。单位：元。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期末借方余额</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QMJFYE</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截止本期末借方余额。若金额涉及到外币，由机构自行转换成人民币进行填报。单位：元。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期末贷方余额</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QMDFYE</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截止本期末借方余额。若金额涉及到外币，由机构自行转换成人民币进行填报。单位：元。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numPr>
          <w:ilvl w:val="0"/>
          <w:numId w:val="8"/>
        </w:numPr>
        <w:tabs>
          <w:tab w:val="left" w:pos="709"/>
          <w:tab w:val="left" w:pos="993"/>
        </w:tabs>
        <w:rPr>
          <w:rFonts w:ascii="仿宋" w:hAnsi="仿宋" w:eastAsia="仿宋"/>
        </w:rPr>
      </w:pPr>
      <w:bookmarkStart w:id="444" w:name="_Toc73958579"/>
      <w:bookmarkStart w:id="445" w:name="_Toc31901"/>
      <w:bookmarkStart w:id="446" w:name="_Toc15128"/>
      <w:bookmarkStart w:id="447" w:name="_Toc31128"/>
      <w:bookmarkStart w:id="448" w:name="_Toc30159"/>
      <w:bookmarkStart w:id="449" w:name="_Toc3682"/>
      <w:bookmarkStart w:id="450" w:name="_Toc22668"/>
      <w:r>
        <w:rPr>
          <w:rFonts w:hint="eastAsia" w:ascii="仿宋" w:hAnsi="仿宋" w:eastAsia="仿宋"/>
        </w:rPr>
        <w:t>自有资金投资账户会计凭证明细表</w:t>
      </w:r>
      <w:bookmarkEnd w:id="444"/>
      <w:bookmarkEnd w:id="445"/>
      <w:bookmarkEnd w:id="446"/>
      <w:bookmarkEnd w:id="447"/>
      <w:bookmarkEnd w:id="448"/>
      <w:bookmarkEnd w:id="449"/>
      <w:bookmarkEnd w:id="450"/>
    </w:p>
    <w:tbl>
      <w:tblPr>
        <w:tblStyle w:val="25"/>
        <w:tblW w:w="8824" w:type="dxa"/>
        <w:tblInd w:w="0" w:type="dxa"/>
        <w:tblLayout w:type="fixed"/>
        <w:tblCellMar>
          <w:top w:w="0" w:type="dxa"/>
          <w:left w:w="108" w:type="dxa"/>
          <w:bottom w:w="0" w:type="dxa"/>
          <w:right w:w="108" w:type="dxa"/>
        </w:tblCellMar>
      </w:tblPr>
      <w:tblGrid>
        <w:gridCol w:w="1791"/>
        <w:gridCol w:w="1248"/>
        <w:gridCol w:w="919"/>
        <w:gridCol w:w="3403"/>
        <w:gridCol w:w="709"/>
        <w:gridCol w:w="754"/>
      </w:tblGrid>
      <w:tr>
        <w:tblPrEx>
          <w:tblCellMar>
            <w:top w:w="0" w:type="dxa"/>
            <w:left w:w="108" w:type="dxa"/>
            <w:bottom w:w="0" w:type="dxa"/>
            <w:right w:w="108" w:type="dxa"/>
          </w:tblCellMar>
        </w:tblPrEx>
        <w:trPr>
          <w:trHeight w:val="280" w:hRule="atLeast"/>
        </w:trPr>
        <w:tc>
          <w:tcPr>
            <w:tcW w:w="17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4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ZYZJTZZHKJPZMXB</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自有资金投资账户会计凭证明细表</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C0103</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本表报送保险资产管理公司当期自有资金投资账户会计凭证明细。</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1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账户名称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ZHMC</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账户代码</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ZHDM</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会计科目体系名称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KJKMTXMC</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会计科目体系代码</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KJKMTXDM</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002014</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会计期间</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KJQJ</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归属期间。格式：YYYYMM，年度审计报告出具后报送包含审计调整的数据。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记账日期</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JZRQ</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会计记账日期。格式：YYYYMMDD。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凭证编号</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PZBH</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会计凭证编号。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摘要</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ZY</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记账凭证摘要。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总账会计科目编号</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KMBH</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002006</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总账会计科目名称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KMMC</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机构实际使用的总账会计科目编码对应的名称。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交易币种</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交易币借方</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JYBJF</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交易币借方发生金额。</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交易币贷方</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JYBDF</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交易币贷方发生金额。</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本位币借方</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BWBJF</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交易币按照既定规则的汇率折成的本位币借方发生金额。单位：元。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本位币贷方</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BWBDF</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交易币按照既定规则的汇率折成的本位币贷方发生金额。单位：元。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numPr>
          <w:ilvl w:val="0"/>
          <w:numId w:val="8"/>
        </w:numPr>
        <w:tabs>
          <w:tab w:val="left" w:pos="709"/>
          <w:tab w:val="left" w:pos="993"/>
        </w:tabs>
        <w:rPr>
          <w:rFonts w:ascii="仿宋" w:hAnsi="仿宋" w:eastAsia="仿宋"/>
        </w:rPr>
      </w:pPr>
      <w:bookmarkStart w:id="451" w:name="_Toc22839"/>
      <w:bookmarkStart w:id="452" w:name="_Toc17084"/>
      <w:bookmarkStart w:id="453" w:name="_Toc31077"/>
      <w:bookmarkStart w:id="454" w:name="_Toc32225"/>
      <w:bookmarkStart w:id="455" w:name="_Toc73958580"/>
      <w:bookmarkStart w:id="456" w:name="_Toc28403"/>
      <w:bookmarkStart w:id="457" w:name="_Toc16010"/>
      <w:r>
        <w:rPr>
          <w:rFonts w:hint="eastAsia" w:ascii="仿宋" w:hAnsi="仿宋" w:eastAsia="仿宋"/>
        </w:rPr>
        <w:t>自有资金投资账户资产负债统计表</w:t>
      </w:r>
      <w:bookmarkEnd w:id="451"/>
      <w:bookmarkEnd w:id="452"/>
      <w:bookmarkEnd w:id="453"/>
      <w:bookmarkEnd w:id="454"/>
      <w:bookmarkEnd w:id="455"/>
      <w:bookmarkEnd w:id="456"/>
      <w:bookmarkEnd w:id="457"/>
    </w:p>
    <w:tbl>
      <w:tblPr>
        <w:tblStyle w:val="25"/>
        <w:tblW w:w="8824" w:type="dxa"/>
        <w:tblInd w:w="0" w:type="dxa"/>
        <w:tblLayout w:type="fixed"/>
        <w:tblCellMar>
          <w:top w:w="0" w:type="dxa"/>
          <w:left w:w="108" w:type="dxa"/>
          <w:bottom w:w="0" w:type="dxa"/>
          <w:right w:w="108" w:type="dxa"/>
        </w:tblCellMar>
      </w:tblPr>
      <w:tblGrid>
        <w:gridCol w:w="1408"/>
        <w:gridCol w:w="1334"/>
        <w:gridCol w:w="934"/>
        <w:gridCol w:w="3768"/>
        <w:gridCol w:w="736"/>
        <w:gridCol w:w="644"/>
      </w:tblGrid>
      <w:tr>
        <w:tblPrEx>
          <w:tblCellMar>
            <w:top w:w="0" w:type="dxa"/>
            <w:left w:w="108" w:type="dxa"/>
            <w:bottom w:w="0" w:type="dxa"/>
            <w:right w:w="108" w:type="dxa"/>
          </w:tblCellMar>
        </w:tblPrEx>
        <w:trPr>
          <w:trHeight w:val="280" w:hRule="atLeast"/>
        </w:trPr>
        <w:tc>
          <w:tcPr>
            <w:tcW w:w="140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3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3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ZYZJTZZHZCFZTJB</w:t>
            </w:r>
          </w:p>
        </w:tc>
        <w:tc>
          <w:tcPr>
            <w:tcW w:w="13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自有资金投资账户资产负债统计表</w:t>
            </w:r>
          </w:p>
        </w:tc>
        <w:tc>
          <w:tcPr>
            <w:tcW w:w="9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C0104</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本表报送保险资产管理公司自有资金投资账户资产负债统计信息。</w:t>
            </w:r>
          </w:p>
        </w:tc>
      </w:tr>
      <w:tr>
        <w:tblPrEx>
          <w:tblCellMar>
            <w:top w:w="0" w:type="dxa"/>
            <w:left w:w="108" w:type="dxa"/>
            <w:bottom w:w="0" w:type="dxa"/>
            <w:right w:w="108" w:type="dxa"/>
          </w:tblCellMar>
        </w:tblPrEx>
        <w:trPr>
          <w:trHeight w:val="28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1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7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3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9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7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9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账户名称</w:t>
            </w:r>
          </w:p>
        </w:tc>
        <w:tc>
          <w:tcPr>
            <w:tcW w:w="13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ZHMC</w:t>
            </w:r>
          </w:p>
        </w:tc>
        <w:tc>
          <w:tcPr>
            <w:tcW w:w="9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账户名称，应具有唯一标识。</w:t>
            </w:r>
          </w:p>
        </w:tc>
        <w:tc>
          <w:tcPr>
            <w:tcW w:w="7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账户代码</w:t>
            </w:r>
          </w:p>
        </w:tc>
        <w:tc>
          <w:tcPr>
            <w:tcW w:w="13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ZHDM</w:t>
            </w:r>
          </w:p>
        </w:tc>
        <w:tc>
          <w:tcPr>
            <w:tcW w:w="9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3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账户代码，应具有唯一标识。</w:t>
            </w:r>
          </w:p>
        </w:tc>
        <w:tc>
          <w:tcPr>
            <w:tcW w:w="7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统计日期</w:t>
            </w:r>
          </w:p>
        </w:tc>
        <w:tc>
          <w:tcPr>
            <w:tcW w:w="13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TJRQ</w:t>
            </w:r>
          </w:p>
        </w:tc>
        <w:tc>
          <w:tcPr>
            <w:tcW w:w="9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统计日期。格式：YYYYMMDD。</w:t>
            </w:r>
          </w:p>
        </w:tc>
        <w:tc>
          <w:tcPr>
            <w:tcW w:w="7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统计科目编号</w:t>
            </w:r>
          </w:p>
        </w:tc>
        <w:tc>
          <w:tcPr>
            <w:tcW w:w="13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TJKMBH</w:t>
            </w:r>
          </w:p>
        </w:tc>
        <w:tc>
          <w:tcPr>
            <w:tcW w:w="9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003003</w:t>
            </w:r>
          </w:p>
        </w:tc>
        <w:tc>
          <w:tcPr>
            <w:tcW w:w="3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参照业务代码表《资产负债统计科目代码》，填报代码。</w:t>
            </w:r>
          </w:p>
        </w:tc>
        <w:tc>
          <w:tcPr>
            <w:tcW w:w="7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8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统计科目名称</w:t>
            </w:r>
          </w:p>
        </w:tc>
        <w:tc>
          <w:tcPr>
            <w:tcW w:w="13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TJKMMC</w:t>
            </w:r>
          </w:p>
        </w:tc>
        <w:tc>
          <w:tcPr>
            <w:tcW w:w="9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003004</w:t>
            </w:r>
          </w:p>
        </w:tc>
        <w:tc>
          <w:tcPr>
            <w:tcW w:w="3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参照业务代码表《资产负债统计科目代码》，填报名称。</w:t>
            </w:r>
          </w:p>
        </w:tc>
        <w:tc>
          <w:tcPr>
            <w:tcW w:w="7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期末余额</w:t>
            </w:r>
          </w:p>
        </w:tc>
        <w:tc>
          <w:tcPr>
            <w:tcW w:w="13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QMYE</w:t>
            </w:r>
          </w:p>
        </w:tc>
        <w:tc>
          <w:tcPr>
            <w:tcW w:w="9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7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numPr>
          <w:ilvl w:val="0"/>
          <w:numId w:val="8"/>
        </w:numPr>
        <w:tabs>
          <w:tab w:val="left" w:pos="709"/>
          <w:tab w:val="left" w:pos="993"/>
        </w:tabs>
        <w:rPr>
          <w:rFonts w:ascii="仿宋" w:hAnsi="仿宋" w:eastAsia="仿宋"/>
        </w:rPr>
      </w:pPr>
      <w:bookmarkStart w:id="458" w:name="_Toc3251"/>
      <w:bookmarkStart w:id="459" w:name="_Toc73958581"/>
      <w:bookmarkStart w:id="460" w:name="_Toc9254"/>
      <w:bookmarkStart w:id="461" w:name="_Toc24046"/>
      <w:bookmarkStart w:id="462" w:name="_Toc1165"/>
      <w:bookmarkStart w:id="463" w:name="_Toc10137"/>
      <w:bookmarkStart w:id="464" w:name="_Toc22396"/>
      <w:r>
        <w:rPr>
          <w:rFonts w:hint="eastAsia" w:ascii="仿宋" w:hAnsi="仿宋" w:eastAsia="仿宋"/>
        </w:rPr>
        <w:t>自有资金投资交易流水表</w:t>
      </w:r>
      <w:bookmarkEnd w:id="458"/>
      <w:bookmarkEnd w:id="459"/>
      <w:bookmarkEnd w:id="460"/>
      <w:bookmarkEnd w:id="461"/>
      <w:bookmarkEnd w:id="462"/>
      <w:bookmarkEnd w:id="463"/>
      <w:bookmarkEnd w:id="464"/>
    </w:p>
    <w:tbl>
      <w:tblPr>
        <w:tblStyle w:val="25"/>
        <w:tblW w:w="8824" w:type="dxa"/>
        <w:tblInd w:w="0" w:type="dxa"/>
        <w:tblLayout w:type="fixed"/>
        <w:tblCellMar>
          <w:top w:w="0" w:type="dxa"/>
          <w:left w:w="108" w:type="dxa"/>
          <w:bottom w:w="0" w:type="dxa"/>
          <w:right w:w="108" w:type="dxa"/>
        </w:tblCellMar>
      </w:tblPr>
      <w:tblGrid>
        <w:gridCol w:w="1371"/>
        <w:gridCol w:w="1332"/>
        <w:gridCol w:w="888"/>
        <w:gridCol w:w="3771"/>
        <w:gridCol w:w="807"/>
        <w:gridCol w:w="655"/>
      </w:tblGrid>
      <w:tr>
        <w:tblPrEx>
          <w:tblCellMar>
            <w:top w:w="0" w:type="dxa"/>
            <w:left w:w="108" w:type="dxa"/>
            <w:bottom w:w="0" w:type="dxa"/>
            <w:right w:w="108" w:type="dxa"/>
          </w:tblCellMar>
        </w:tblPrEx>
        <w:trPr>
          <w:trHeight w:val="280" w:hRule="atLeast"/>
        </w:trPr>
        <w:tc>
          <w:tcPr>
            <w:tcW w:w="137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表名</w:t>
            </w:r>
          </w:p>
        </w:tc>
        <w:tc>
          <w:tcPr>
            <w:tcW w:w="133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表中文名</w:t>
            </w:r>
          </w:p>
        </w:tc>
        <w:tc>
          <w:tcPr>
            <w:tcW w:w="88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表编号</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ZYZJTZJYLSB</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自有资金投资交易流水表</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C0105</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本表报送保险资产管理公司当期自有资金投资交易流水，包括投资资产类型、投资资产名称、交易对手、交易金额等信息。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数据项名称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数据项代码</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数据元编码</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数据项说明</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是否必填</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是否主键</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保险资产管理公司保险许可证号码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BZ_BXXKZHM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001050</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保险资产管理公司统一社会信用代码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BZ_TYSHXYDM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填报统一社会信用代码。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保险资产管理公司名称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BZ_JGMC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001002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填报保险许可证中的机构名称。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流水号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LSH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001001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账户名称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ZHMC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002021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账户名称，应具有唯一标识。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账户代码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ZHDM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002020</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账户代码，应具有唯一标识。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交易编号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JYBH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001023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公司自行定义的交易编号，在同一账户下应具有唯一标识。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资产类型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ZCLX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003004</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参照业务代码表《资产负债统计科目代码》填报名称。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资产名称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ZCMC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003008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填写确权登记等有关机构登记的资产名称，若无填写合同上的资产名称。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资产代码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ZCDM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填写确权登记等有关机构登记的资产代码，若无填写机构自定义代码。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交易对手法定名称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GL_JYDSFDMC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交易对手名称，包括中央对手方。若为自然人，隐私，保险资产管理公司变形。</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交易对手证件类型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GL_JYDSZJLX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001019</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交易对手证件类型，参照业务代码表《证件类型代码》，填报名称 。</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交易对手证件号码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GL_JYDSZJHM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交易对手证件号码。若为自然人，隐私，保险资产管理公司变形。</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交易对手证件到期日</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GL_JYDSZJDQR</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交易对手证件到期日。</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交易对手LEI编码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JYDSLEIBM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001004</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填写交易对手全球法人识别编码。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交易币种</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BZ</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002001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参照业务代码表《币种代码》填报代码。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交易市场类型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JYSCLX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003009</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参照业务代码表《交易市场类型代码》填报名称。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JYRQ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交易行为发生日期。格式：YYYYMMDD。</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交易摘要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JYZY</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交易情况描述。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资金流向</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ZJLX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枚举值为“流入；流出”。</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交易币成交金额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CJBCJJE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买卖资产的成交金额。</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交易币结算金额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CJBJSJE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资产最终结算的金额，以实际收付金额为准。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本位币成交金额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BWBCJJE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买卖资产的成交金额。单位：元。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本位币结算金额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BWBJSJE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资产最终结算的金额，以实际收付金额为准。单位：元。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银行账户号码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YHZHHM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本笔交易对应的银行账号。需与公司财务-银行账户信息表中的银行账户号码匹配。</w:t>
            </w:r>
          </w:p>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color w:val="000000"/>
                <w:kern w:val="0"/>
                <w:sz w:val="21"/>
                <w:szCs w:val="21"/>
              </w:rPr>
              <w:t>如是通过第三方支付交易，填报本笔交易所对应的第三方支付账号关联银行账号</w:t>
            </w:r>
            <w:r>
              <w:rPr>
                <w:rFonts w:hint="eastAsia" w:ascii="宋体" w:hAnsi="宋体" w:eastAsia="宋体"/>
                <w:color w:val="000000"/>
                <w:sz w:val="21"/>
                <w:szCs w:val="21"/>
              </w:rPr>
              <w:t>，并在备注项内填报第三方支付信息。</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交易对手银行法定名称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GL_JYDSYHFDMC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交易对手银行开户行名称。如是场内交易，填报本机构关联交易所名称。</w:t>
            </w:r>
          </w:p>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s="宋体"/>
                <w:color w:val="000000"/>
                <w:kern w:val="0"/>
                <w:sz w:val="21"/>
                <w:szCs w:val="21"/>
              </w:rPr>
              <w:t>如果交易对手通过第三方支付机构交易，则填报第三方支付机构法定名称。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交易对手银行证件类型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GL_JYDSYHZJLX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001019</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交易对手银行证件类型，参照业务代码表《证件类型代码》，填报名称 。</w:t>
            </w:r>
          </w:p>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s="宋体"/>
                <w:color w:val="000000"/>
                <w:kern w:val="0"/>
                <w:sz w:val="21"/>
                <w:szCs w:val="21"/>
              </w:rPr>
              <w:t>如果交易对手通过第三方支付机构交易，则填报第三方支付机构经营许可证件类型。</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交易对手银行证件号码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GL_JYDSYHZJHM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交易对手银行证件号码。</w:t>
            </w:r>
          </w:p>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s="宋体"/>
                <w:color w:val="000000"/>
                <w:kern w:val="0"/>
                <w:sz w:val="21"/>
                <w:szCs w:val="21"/>
              </w:rPr>
              <w:t>如果交易对手通过第三方支付机构交易，则填报第三方支付机构经营许可证件号码。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交易对手银行证件到期日</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GL_JYDSYHZJDQR</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交易对手银行证件到期日。</w:t>
            </w:r>
          </w:p>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s="宋体"/>
                <w:color w:val="000000"/>
                <w:kern w:val="0"/>
                <w:sz w:val="21"/>
                <w:szCs w:val="21"/>
              </w:rPr>
              <w:t>如果交易对手通过第三方支付机构交易，则填报第三方支付机构经营许可证件到期日。</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交易对手银行账户号码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JYDSYHZHHM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交易对手银行账户号码。如是场内交易，填报本机构关联交易所的账户号码。</w:t>
            </w:r>
          </w:p>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s="宋体"/>
                <w:color w:val="000000"/>
                <w:kern w:val="0"/>
                <w:sz w:val="21"/>
                <w:szCs w:val="21"/>
              </w:rPr>
              <w:t>如果交易对手通过第三方支付机构交易，则填报交易对手在第三方支付机构的账户号码。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备注</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BZ2</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003007</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补充说明情况。</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采集日期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CJRQ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bl>
    <w:p>
      <w:pPr>
        <w:ind w:firstLine="0" w:firstLineChars="0"/>
      </w:pPr>
    </w:p>
    <w:p>
      <w:pPr>
        <w:pStyle w:val="4"/>
        <w:numPr>
          <w:ilvl w:val="0"/>
          <w:numId w:val="8"/>
        </w:numPr>
        <w:tabs>
          <w:tab w:val="left" w:pos="709"/>
          <w:tab w:val="left" w:pos="993"/>
        </w:tabs>
        <w:rPr>
          <w:rFonts w:ascii="仿宋" w:hAnsi="仿宋" w:eastAsia="仿宋"/>
        </w:rPr>
      </w:pPr>
      <w:bookmarkStart w:id="465" w:name="_Toc13338"/>
      <w:bookmarkStart w:id="466" w:name="_Toc73958582"/>
      <w:bookmarkStart w:id="467" w:name="_Toc2269"/>
      <w:bookmarkStart w:id="468" w:name="_Toc20055"/>
      <w:bookmarkStart w:id="469" w:name="_Toc30752"/>
      <w:bookmarkStart w:id="470" w:name="_Toc25496"/>
      <w:bookmarkStart w:id="471" w:name="_Toc2760"/>
      <w:r>
        <w:rPr>
          <w:rFonts w:hint="eastAsia" w:ascii="仿宋" w:hAnsi="仿宋" w:eastAsia="仿宋"/>
        </w:rPr>
        <w:t>自有资金投资持仓表</w:t>
      </w:r>
      <w:bookmarkEnd w:id="465"/>
      <w:bookmarkEnd w:id="466"/>
      <w:bookmarkEnd w:id="467"/>
      <w:bookmarkEnd w:id="468"/>
      <w:bookmarkEnd w:id="469"/>
      <w:bookmarkEnd w:id="470"/>
      <w:bookmarkEnd w:id="471"/>
    </w:p>
    <w:tbl>
      <w:tblPr>
        <w:tblStyle w:val="25"/>
        <w:tblW w:w="8824" w:type="dxa"/>
        <w:tblInd w:w="0" w:type="dxa"/>
        <w:tblLayout w:type="fixed"/>
        <w:tblCellMar>
          <w:top w:w="0" w:type="dxa"/>
          <w:left w:w="108" w:type="dxa"/>
          <w:bottom w:w="0" w:type="dxa"/>
          <w:right w:w="108" w:type="dxa"/>
        </w:tblCellMar>
      </w:tblPr>
      <w:tblGrid>
        <w:gridCol w:w="1409"/>
        <w:gridCol w:w="1701"/>
        <w:gridCol w:w="1108"/>
        <w:gridCol w:w="3143"/>
        <w:gridCol w:w="709"/>
        <w:gridCol w:w="754"/>
      </w:tblGrid>
      <w:tr>
        <w:tblPrEx>
          <w:tblCellMar>
            <w:top w:w="0" w:type="dxa"/>
            <w:left w:w="108" w:type="dxa"/>
            <w:bottom w:w="0" w:type="dxa"/>
            <w:right w:w="108" w:type="dxa"/>
          </w:tblCellMar>
        </w:tblPrEx>
        <w:trPr>
          <w:trHeight w:val="280" w:hRule="atLeast"/>
        </w:trPr>
        <w:tc>
          <w:tcPr>
            <w:tcW w:w="140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70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110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60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ZYZJTZCCB</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自有资金投资持仓表</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C0106</w:t>
            </w:r>
          </w:p>
        </w:tc>
        <w:tc>
          <w:tcPr>
            <w:tcW w:w="460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本表报送保险资产管理公司自有资金投资持仓信息。</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保险资产管理公司保险许可证号码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BZ_BXXKZHM</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001050</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保险资产管理公司统一社会信用代码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BZ_TYSHXYDM</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001003</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保险资产管理公司名称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BZ_JGMC</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001002</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流水号</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LSH</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001001</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账户名称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ZHMC</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002021</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账户代码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ZHDM</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002020</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会计起始日期</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KJQSRQ</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001005</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会计日期。格式：YYYYMMDD。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会计截止日期</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KJJZRQ</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002012</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会计日期。格式：YYYYMMDD，年度审计报告出具后报送包含审计调整的数据。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资产名称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ZCMC</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003008</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填写确权登记等有关机构登记的资产名称，若无填写合同上的资产名称。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资产代码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ZCDM</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003002</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填写确权登记等有关机构登记的资产代码，若无填写机构自定义代码。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资产类型</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ZCLX</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003004</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参照业务代码表《资产负债统计科目代码》填报名称。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资产到期日</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ZCDQR</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001005</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资产到期日期，如无明确到期日，填写默认值99991231。格式：YYYYMMDD。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占账户净资产比重</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ZZHJZCBZ</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001051</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资产占账户净资产的比例。填数字，不填百分比，最少保留两位小数，比如12.34%填写为12.34。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估值方法</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GZFF</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003011</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枚举值为“市场法、收益法、成本法、不适用”。</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会计核算方法</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KJHSFF</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002003</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适用会计准则。枚举值为“金融工具确认和计量（2006）、金融工具确认和计量（2017）”。</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90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会计分类</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KJFL</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003006</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长期股权投资；金融工具确认和计量（2006）：交易性金融资产、可供出售金融资产、贷款及应收款、持有至到期投资；金融工具确认和计量（2017）：以摊余成本计量的金融资产（债权投资）、以公允价值计量且其变动计入其他综合收益的金融资产（其他债权投资）、以公允价值计量且其变动计入其他综合收益的金融资产（其他权益投资）、以公允价值计量且其变动计入当期损益的金融资产（交易性金融资产）；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成本</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CB</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初始购置成本、历史（净价）成本或摊余（净价）成本。单位：元。</w:t>
            </w:r>
            <w:r>
              <w:rPr>
                <w:rFonts w:hint="eastAsia" w:ascii="宋体" w:hAnsi="宋体" w:eastAsia="宋体"/>
                <w:color w:val="000000"/>
                <w:sz w:val="21"/>
                <w:szCs w:val="21"/>
              </w:rPr>
              <w:br w:type="textWrapping"/>
            </w:r>
            <w:r>
              <w:rPr>
                <w:rFonts w:hint="eastAsia" w:ascii="宋体" w:hAnsi="宋体" w:eastAsia="宋体"/>
                <w:color w:val="000000"/>
                <w:sz w:val="21"/>
                <w:szCs w:val="21"/>
              </w:rPr>
              <w:t>适用金融工具确认和计量（2017）的金融资产初始成本按公允价值计量。单位：元。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账面余额</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ZMYE</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002022</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指没有扣除减值准备的账面余额。单位：元。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减值准备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JZZB</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002022</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按持有该资产对应的“减值准备”科目余额填列。单位：元。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账面价值</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ZMJZ</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指扣除减值准备后的账面余额，等于该资产账面余额与减值准备之差。单位：元。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公允价值</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GYJZ</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指市场参与者在计量日发生的有序交易中，出售一项资产所能收到或者转移一项负债所需支付的价格。单位：元。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公允价值变动</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GYJZBD</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按持有该资产对应的“公允价值变动”科目余额填列。单位：元。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公允价值变动损益</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GYJZBDSY</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指划分为以公允价值计量且其变动计入当期损益的金融资产因公允价值变动而形成的计入当期损益的损失或利得。按持有该资产对应的“公允价值变动损益”科目余额填列。单位：元。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已实现收益</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YSXSY</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金融工具确认和计量（2006）包括会计损益的各项投资产生的利息收入、价差收入、股利红利收入和相关交易费用等项目的合计，不包括减值准备。单位：元。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可供出售类资产公允价值变动</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KGCSLZCGYJZBD</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金融工具确认和计量（2006）可供出售类金融资产公允价值变动的当期变化。单位：元。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其他收益</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QTSY</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填写除“投资收益”、“利息收入”、“公允价值变动损益”之外的资金运用收益余额，包括投资性房地产出租净收益（租金减去成本）、长期股权投资的“营业外收入”等。单位：元。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资产减值损失</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ZCJZSS</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金融工具确认和计量（2006）：资产减值损失是指企业在资产负债表日，经过对资产的测试，判断资产的可收回金额低于其账面价值而计提资产减值准备所确认的相应损失。按持有该资产对应的“资产减值损失”科目余额填列。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信用减值损失</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XYJZSS</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金融工具确认和计量（2017）：金融工具信用损失准备所确认的信用损失。单位：元。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81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其他资产减值损失</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QTZCJZSS</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金融工具确认和计量（2017）：反映除“信用减值损失”外，企业按照相关企业会计准则的规定计提其他资产的减值准备所确认的减值损失。单位：元。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利息收入</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LXSR</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003012</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金融工具确认和计量（2017）：以摊余成本计量的金融资产和分类为以公允价值计量且其变动计入其他综合收益的金融资产按照实际利率法计算的利息收入。其他项目的利息收入不得计入本项目。单位：元。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投资收益</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TZSY</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金融工具确认和计量（2017）：对外投资所取得的收益或发生的损失。单位：元。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以公允价值计量且其变动计入其他综合收益</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YGYJZJLQQBDJRQTZHSY</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金融工具确认和计量（2017）：包括以公允价值计量且其变动计入其他综合收益的金融资产的情况。单位：元。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五级分类</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WJFL</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003010</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枚举值为“正常；关注；次级；可疑；损失；不适用”。</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采集日期</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CJRQ</w:t>
            </w:r>
          </w:p>
        </w:tc>
        <w:tc>
          <w:tcPr>
            <w:tcW w:w="11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001005</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3"/>
        <w:numPr>
          <w:ilvl w:val="0"/>
          <w:numId w:val="6"/>
        </w:numPr>
        <w:ind w:left="0"/>
        <w:rPr>
          <w:szCs w:val="30"/>
        </w:rPr>
      </w:pPr>
      <w:bookmarkStart w:id="472" w:name="_Toc2266"/>
      <w:bookmarkStart w:id="473" w:name="_Toc31153"/>
      <w:bookmarkStart w:id="474" w:name="_Toc3422"/>
      <w:bookmarkStart w:id="475" w:name="_Toc21337"/>
      <w:bookmarkStart w:id="476" w:name="_Toc26558"/>
      <w:bookmarkStart w:id="477" w:name="_Toc4857"/>
      <w:bookmarkStart w:id="478" w:name="_Toc28009"/>
      <w:bookmarkStart w:id="479" w:name="_Toc18743"/>
      <w:bookmarkStart w:id="480" w:name="_Toc7452"/>
      <w:bookmarkStart w:id="481" w:name="_Toc21342"/>
      <w:bookmarkStart w:id="482" w:name="_Toc73958583"/>
      <w:bookmarkStart w:id="483" w:name="_Toc29025"/>
      <w:r>
        <w:rPr>
          <w:rFonts w:hint="eastAsia"/>
          <w:szCs w:val="30"/>
        </w:rPr>
        <w:t>保险资产管理公司受托投资业务</w:t>
      </w:r>
      <w:bookmarkEnd w:id="472"/>
      <w:bookmarkEnd w:id="473"/>
      <w:bookmarkEnd w:id="474"/>
      <w:bookmarkEnd w:id="475"/>
      <w:bookmarkEnd w:id="476"/>
      <w:bookmarkEnd w:id="477"/>
      <w:bookmarkEnd w:id="478"/>
      <w:bookmarkEnd w:id="479"/>
      <w:bookmarkEnd w:id="480"/>
      <w:bookmarkEnd w:id="481"/>
      <w:bookmarkEnd w:id="482"/>
      <w:bookmarkEnd w:id="483"/>
    </w:p>
    <w:p>
      <w:pPr>
        <w:pStyle w:val="4"/>
        <w:numPr>
          <w:ilvl w:val="0"/>
          <w:numId w:val="9"/>
        </w:numPr>
        <w:tabs>
          <w:tab w:val="left" w:pos="709"/>
          <w:tab w:val="left" w:pos="993"/>
        </w:tabs>
        <w:rPr>
          <w:rFonts w:ascii="仿宋" w:hAnsi="仿宋" w:eastAsia="仿宋"/>
        </w:rPr>
      </w:pPr>
      <w:bookmarkStart w:id="484" w:name="_Toc15592"/>
      <w:bookmarkStart w:id="485" w:name="_Toc31143"/>
      <w:bookmarkStart w:id="486" w:name="_Toc73958584"/>
      <w:bookmarkStart w:id="487" w:name="_Toc15440"/>
      <w:bookmarkStart w:id="488" w:name="_Toc19283"/>
      <w:bookmarkStart w:id="489" w:name="_Toc27894"/>
      <w:bookmarkStart w:id="490" w:name="_Toc7442"/>
      <w:r>
        <w:rPr>
          <w:rFonts w:hint="eastAsia" w:ascii="仿宋" w:hAnsi="仿宋" w:eastAsia="仿宋"/>
        </w:rPr>
        <w:t>受托投资账户信息表</w:t>
      </w:r>
      <w:bookmarkEnd w:id="484"/>
      <w:bookmarkEnd w:id="485"/>
      <w:bookmarkEnd w:id="486"/>
      <w:bookmarkEnd w:id="487"/>
      <w:bookmarkEnd w:id="488"/>
      <w:bookmarkEnd w:id="489"/>
      <w:bookmarkEnd w:id="490"/>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STTZZHXXB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受托投资账户信息表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D0101</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本表报送保险资产管理公司受托资金在交易市场开立的投资账户信息，包括账户性质、账户基本信息、账户运作信息等信息。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委托人法定名称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GL_WTRFDMC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投资账户所属客户全称，仅针对签订委受托合同，且具有单一委托人的账户填写。</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委托人证件类型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GL_WTRZJLX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交易对手证件类型，参照业务代码表《证件类型代码》，填报名称 。</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委托人证件号码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GL_WTRZJHM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委托人统一社会信用代码。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委托人证件到期日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GL_WTRZJDQR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交易对手证件到期日。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委托人类型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WTRLX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参照业务代码表《机构类型代码》，填报名称。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账户起始运作日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ZHQSYZR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账户初始运作日期。格式：YYYYMMDD。</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账户名称，应具有唯一标识。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账户代码，应具有唯一标识。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参照业务代码表《账户类型代码》，填报账户类型名称。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账户币种</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pStyle w:val="4"/>
        <w:numPr>
          <w:ilvl w:val="0"/>
          <w:numId w:val="8"/>
        </w:numPr>
        <w:tabs>
          <w:tab w:val="left" w:pos="709"/>
          <w:tab w:val="left" w:pos="993"/>
        </w:tabs>
        <w:rPr>
          <w:rFonts w:ascii="仿宋" w:hAnsi="仿宋" w:eastAsia="仿宋"/>
        </w:rPr>
      </w:pPr>
      <w:bookmarkStart w:id="491" w:name="_Toc22519"/>
      <w:bookmarkStart w:id="492" w:name="_Toc2806"/>
      <w:bookmarkStart w:id="493" w:name="_Toc13859"/>
      <w:bookmarkStart w:id="494" w:name="_Toc10009"/>
      <w:bookmarkStart w:id="495" w:name="_Toc13036"/>
      <w:bookmarkStart w:id="496" w:name="_Toc25635"/>
      <w:bookmarkStart w:id="497" w:name="_Toc73958585"/>
      <w:r>
        <w:rPr>
          <w:rFonts w:hint="eastAsia" w:ascii="仿宋" w:hAnsi="仿宋" w:eastAsia="仿宋"/>
        </w:rPr>
        <w:t>受托投资账户科目余额表</w:t>
      </w:r>
      <w:bookmarkEnd w:id="491"/>
      <w:bookmarkEnd w:id="492"/>
      <w:bookmarkEnd w:id="493"/>
      <w:bookmarkEnd w:id="494"/>
      <w:bookmarkEnd w:id="495"/>
      <w:bookmarkEnd w:id="496"/>
      <w:bookmarkEnd w:id="497"/>
    </w:p>
    <w:tbl>
      <w:tblPr>
        <w:tblStyle w:val="25"/>
        <w:tblW w:w="8824" w:type="dxa"/>
        <w:tblInd w:w="0" w:type="dxa"/>
        <w:tblLayout w:type="fixed"/>
        <w:tblCellMar>
          <w:top w:w="0" w:type="dxa"/>
          <w:left w:w="108" w:type="dxa"/>
          <w:bottom w:w="0" w:type="dxa"/>
          <w:right w:w="108" w:type="dxa"/>
        </w:tblCellMar>
      </w:tblPr>
      <w:tblGrid>
        <w:gridCol w:w="1371"/>
        <w:gridCol w:w="1332"/>
        <w:gridCol w:w="888"/>
        <w:gridCol w:w="3771"/>
        <w:gridCol w:w="807"/>
        <w:gridCol w:w="655"/>
      </w:tblGrid>
      <w:tr>
        <w:tblPrEx>
          <w:tblCellMar>
            <w:top w:w="0" w:type="dxa"/>
            <w:left w:w="108" w:type="dxa"/>
            <w:bottom w:w="0" w:type="dxa"/>
            <w:right w:w="108" w:type="dxa"/>
          </w:tblCellMar>
        </w:tblPrEx>
        <w:trPr>
          <w:trHeight w:val="280" w:hRule="atLeast"/>
        </w:trPr>
        <w:tc>
          <w:tcPr>
            <w:tcW w:w="137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3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8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STTZZHKMYEB</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受托投资账户科目余额表</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D0102</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本表报送保险资产管理公司受托投资账户科目余额表信息。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账户名称，应具有唯一标识。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账户代码，应具有唯一标识。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会计科目体系名称，应具有唯一标识。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002014</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会计科目体系代码，应具有唯一标识。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会计起始日期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KJQSRQ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会计日期。格式：YYYYMMDD。</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会计截止日期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KJJZRQ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会计日期。格式：YYYYMMDD，年度审计报告出具后报送包含审计调整的数据。</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交易币种</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参照业务代码表《币种代码》填报代码。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报送周期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BSZQ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002016</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参照《业务代码表》中的“报送周期类型代码”，填报代码。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总账会计科目编号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KMBH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002006</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002007</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机构实际使用的总账会计科目编码对应的名称。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总账会计科目级次</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KMJC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总账会计科目编号在科目结构中所对应的级次。未设置科目层级默认一级科目。</w:t>
            </w:r>
            <w:r>
              <w:rPr>
                <w:rFonts w:hint="eastAsia" w:ascii="宋体" w:hAnsi="宋体" w:eastAsia="宋体"/>
                <w:color w:val="000000"/>
                <w:sz w:val="21"/>
                <w:szCs w:val="21"/>
              </w:rPr>
              <w:br w:type="textWrapping"/>
            </w:r>
            <w:r>
              <w:rPr>
                <w:rFonts w:hint="eastAsia" w:ascii="宋体" w:hAnsi="宋体" w:eastAsia="宋体"/>
                <w:color w:val="000000"/>
                <w:sz w:val="21"/>
                <w:szCs w:val="21"/>
              </w:rPr>
              <w:t>“1-一级科目；2-二级科目；3-三级科目；4-四级科目；5-五级科目；6-六级科目”，以此类推，填报数字。</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002004</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总账会计科目分类。“1资产；2负债；3所有者权益；4损益；5资产负债共同类；6表外；7其他”，填报数字。</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期初借方余额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QCJFYE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本年期初借方余额。若金额涉及到外币，由机构自行转换成人民币进行填报。单位：元。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期初贷方余额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QCDFYE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本年期初贷方余额。若金额涉及到外币，由机构自行转换成人民币进行填报。单位：元。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本期借方发生额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BQJFFSE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本年借方发生额。若金额涉及到外币，由机构自行转换成人民币进行填报。单位：元。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本期贷方发生额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BQDFFSE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本年贷方发生额。若金额涉及到外币，由机构自行转换成人民币进行填报。单位：元。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期末借方余额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QMJFYE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截止本期末借方余额。若金额涉及到外币，由机构自行转换成人民币进行填报。单位：元。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期末贷方余额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QMDFYE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截止本期末借方余额。若金额涉及到外币，由机构自行转换成人民币进行填报。单位：元。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numPr>
          <w:ilvl w:val="0"/>
          <w:numId w:val="8"/>
        </w:numPr>
        <w:tabs>
          <w:tab w:val="left" w:pos="709"/>
          <w:tab w:val="left" w:pos="993"/>
        </w:tabs>
        <w:rPr>
          <w:rFonts w:ascii="仿宋" w:hAnsi="仿宋" w:eastAsia="仿宋"/>
        </w:rPr>
      </w:pPr>
      <w:bookmarkStart w:id="498" w:name="_Toc6335"/>
      <w:bookmarkStart w:id="499" w:name="_Toc73958586"/>
      <w:bookmarkStart w:id="500" w:name="_Toc12782"/>
      <w:bookmarkStart w:id="501" w:name="_Toc18332"/>
      <w:bookmarkStart w:id="502" w:name="_Toc18393"/>
      <w:bookmarkStart w:id="503" w:name="_Toc7174"/>
      <w:bookmarkStart w:id="504" w:name="_Toc15525"/>
      <w:r>
        <w:rPr>
          <w:rFonts w:hint="eastAsia" w:ascii="仿宋" w:hAnsi="仿宋" w:eastAsia="仿宋"/>
        </w:rPr>
        <w:t>受托投资账户会计凭证明细表</w:t>
      </w:r>
      <w:bookmarkEnd w:id="498"/>
      <w:bookmarkEnd w:id="499"/>
      <w:bookmarkEnd w:id="500"/>
      <w:bookmarkEnd w:id="501"/>
      <w:bookmarkEnd w:id="502"/>
      <w:bookmarkEnd w:id="503"/>
      <w:bookmarkEnd w:id="504"/>
    </w:p>
    <w:tbl>
      <w:tblPr>
        <w:tblStyle w:val="25"/>
        <w:tblW w:w="8824" w:type="dxa"/>
        <w:tblInd w:w="0" w:type="dxa"/>
        <w:tblLayout w:type="fixed"/>
        <w:tblCellMar>
          <w:top w:w="0" w:type="dxa"/>
          <w:left w:w="108" w:type="dxa"/>
          <w:bottom w:w="0" w:type="dxa"/>
          <w:right w:w="108" w:type="dxa"/>
        </w:tblCellMar>
      </w:tblPr>
      <w:tblGrid>
        <w:gridCol w:w="1581"/>
        <w:gridCol w:w="1292"/>
        <w:gridCol w:w="948"/>
        <w:gridCol w:w="3540"/>
        <w:gridCol w:w="709"/>
        <w:gridCol w:w="754"/>
      </w:tblGrid>
      <w:tr>
        <w:tblPrEx>
          <w:tblCellMar>
            <w:top w:w="0" w:type="dxa"/>
            <w:left w:w="108" w:type="dxa"/>
            <w:bottom w:w="0" w:type="dxa"/>
            <w:right w:w="108" w:type="dxa"/>
          </w:tblCellMar>
        </w:tblPrEx>
        <w:trPr>
          <w:trHeight w:val="280" w:hRule="atLeast"/>
        </w:trPr>
        <w:tc>
          <w:tcPr>
            <w:tcW w:w="15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9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4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00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STTZZHKJPZMXB</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受托投资账户会计凭证明细表</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D0103</w:t>
            </w:r>
          </w:p>
        </w:tc>
        <w:tc>
          <w:tcPr>
            <w:tcW w:w="500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本表报送保险资产管理公司当期受托投资账户总账会计凭证明细。</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账户代码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ZHDM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会计科目体系代码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KJKMTXDM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002014</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会计期间</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KJQJ</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002002</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归属期间。格式：YYYYMM，年度审计报告出具后报送包含审计调整的数据。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记账日期</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JZRQ</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会计记账日期。格式：YYYYMMDD。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凭证编号</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PZBH</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002013</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会计凭证编号。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摘要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ZY</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记账凭证摘要。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总账会计科目编号</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KMBH</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002006</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002007</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机构实际使用的总账会计科目编码对应的名称。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交易币种</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交易币借方</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JYBJF</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交易币借方发生金额。</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交易币贷方</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JYBDF</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交易币贷方发生金额。</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本位币借方</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BWBJF</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交易币按照既定规则的汇率折成的本位币借方发生金额。单位：元。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本位币贷方</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BWBDF</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交易币按照既定规则的汇率折成的本位币贷方发生金额。单位：元。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numPr>
          <w:ilvl w:val="0"/>
          <w:numId w:val="8"/>
        </w:numPr>
        <w:tabs>
          <w:tab w:val="left" w:pos="709"/>
          <w:tab w:val="left" w:pos="993"/>
        </w:tabs>
        <w:rPr>
          <w:rFonts w:ascii="仿宋" w:hAnsi="仿宋" w:eastAsia="仿宋"/>
        </w:rPr>
      </w:pPr>
      <w:bookmarkStart w:id="505" w:name="_Toc14830"/>
      <w:bookmarkStart w:id="506" w:name="_Toc73958587"/>
      <w:bookmarkStart w:id="507" w:name="_Toc375"/>
      <w:bookmarkStart w:id="508" w:name="_Toc17915"/>
      <w:bookmarkStart w:id="509" w:name="_Toc4169"/>
      <w:bookmarkStart w:id="510" w:name="_Toc14898"/>
      <w:bookmarkStart w:id="511" w:name="_Toc32680"/>
      <w:r>
        <w:rPr>
          <w:rFonts w:hint="eastAsia" w:ascii="仿宋" w:hAnsi="仿宋" w:eastAsia="仿宋"/>
        </w:rPr>
        <w:t>受托投资账户资产负债统计表</w:t>
      </w:r>
      <w:bookmarkEnd w:id="505"/>
      <w:bookmarkEnd w:id="506"/>
      <w:bookmarkEnd w:id="507"/>
      <w:bookmarkEnd w:id="508"/>
      <w:bookmarkEnd w:id="509"/>
      <w:bookmarkEnd w:id="510"/>
      <w:bookmarkEnd w:id="511"/>
    </w:p>
    <w:tbl>
      <w:tblPr>
        <w:tblStyle w:val="25"/>
        <w:tblW w:w="8824" w:type="dxa"/>
        <w:tblInd w:w="0" w:type="dxa"/>
        <w:tblLayout w:type="fixed"/>
        <w:tblCellMar>
          <w:top w:w="0" w:type="dxa"/>
          <w:left w:w="108" w:type="dxa"/>
          <w:bottom w:w="0" w:type="dxa"/>
          <w:right w:w="108" w:type="dxa"/>
        </w:tblCellMar>
      </w:tblPr>
      <w:tblGrid>
        <w:gridCol w:w="1581"/>
        <w:gridCol w:w="1292"/>
        <w:gridCol w:w="948"/>
        <w:gridCol w:w="3540"/>
        <w:gridCol w:w="709"/>
        <w:gridCol w:w="754"/>
      </w:tblGrid>
      <w:tr>
        <w:tblPrEx>
          <w:tblCellMar>
            <w:top w:w="0" w:type="dxa"/>
            <w:left w:w="108" w:type="dxa"/>
            <w:bottom w:w="0" w:type="dxa"/>
            <w:right w:w="108" w:type="dxa"/>
          </w:tblCellMar>
        </w:tblPrEx>
        <w:trPr>
          <w:trHeight w:val="280" w:hRule="atLeast"/>
        </w:trPr>
        <w:tc>
          <w:tcPr>
            <w:tcW w:w="15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9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4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00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STTZZHZCFZTJB</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受托投资账户资产负债统计表</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D0104</w:t>
            </w:r>
          </w:p>
        </w:tc>
        <w:tc>
          <w:tcPr>
            <w:tcW w:w="500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本表报送保险资产管理公司受托投资账户资产负债统计信息。</w:t>
            </w:r>
          </w:p>
        </w:tc>
      </w:tr>
      <w:tr>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账户代码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ZHDM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统计日期</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TJRQ</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统计日期。格式：YYYYMMDD。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统计科目编号</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TJKMBH</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003003</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参照业务代码表《资产负债统计科目代码》填报代码。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统计科目名称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TJKMMC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003004</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参照业务代码表《资产负债统计科目代码》填报名称。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期末余额</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QMYE</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numPr>
          <w:ilvl w:val="0"/>
          <w:numId w:val="8"/>
        </w:numPr>
        <w:tabs>
          <w:tab w:val="left" w:pos="709"/>
          <w:tab w:val="left" w:pos="993"/>
        </w:tabs>
        <w:rPr>
          <w:rFonts w:ascii="仿宋" w:hAnsi="仿宋" w:eastAsia="仿宋"/>
        </w:rPr>
      </w:pPr>
      <w:bookmarkStart w:id="512" w:name="_Toc12554"/>
      <w:bookmarkStart w:id="513" w:name="_Toc29860"/>
      <w:bookmarkStart w:id="514" w:name="_Toc73958588"/>
      <w:bookmarkStart w:id="515" w:name="_Toc1779"/>
      <w:bookmarkStart w:id="516" w:name="_Toc20150"/>
      <w:bookmarkStart w:id="517" w:name="_Toc9807"/>
      <w:bookmarkStart w:id="518" w:name="_Toc3585"/>
      <w:r>
        <w:rPr>
          <w:rFonts w:hint="eastAsia" w:ascii="仿宋" w:hAnsi="仿宋" w:eastAsia="仿宋"/>
        </w:rPr>
        <w:t>受托投资交易流水表</w:t>
      </w:r>
      <w:bookmarkEnd w:id="512"/>
      <w:bookmarkEnd w:id="513"/>
      <w:bookmarkEnd w:id="514"/>
      <w:bookmarkEnd w:id="515"/>
      <w:bookmarkEnd w:id="516"/>
      <w:bookmarkEnd w:id="517"/>
      <w:bookmarkEnd w:id="518"/>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STTZJYLSB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受托投资交易流水表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D0105</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本表报送保险资产管理公司当期受托投资交易流水，包括投资资产类型、投资资产名称、交易对手、交易金额等信息。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是否主键</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账户名称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ZHMC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002021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账户名称，应具有唯一标识。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账户代码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ZHDM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002020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账户代码，应具有唯一标识。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交易编号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JYBH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001023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公司自行定义的交易编号，在同一账户下应具有唯一标识。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资产类型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ZCLX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003004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参照业务代码表《资产负债统计科目代码》填报名称。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资产名称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ZCMC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003008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填写确权登记等有关机构登记的资产名称，若无填写合同上的资产名称。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资产代码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ZCDM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003002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填写确权登记等有关机构登记的资产代码，若无填写机构自定义代码。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GL_JYDSFDMC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交易对手名称，包括中央对手方。若为自然人，隐私，保险资产管理公司变形。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GL_JYDSZJLX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交易对手证件类型，参照业务代码表《证件类型代码》，填报名称 。</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GL_JYDSZJHM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交易对手证件号码。若为自然人，隐私，保险资产管理公司变形。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GL_JYDSZJDQR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交易对手证件到期日。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交易对手LEI编码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JYDSLEIBM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填写交易对手全球法人识别编码。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交易币种</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参照业务代码表《币种代码》填报代码。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交易市场类型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JYSCLX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参照业务代码表《交易市场类型代码》填报名称。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JYRQ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交易行为发生日期。格式：YYYYMMDD。</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交易摘要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JYZY</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交易情况描述。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资金流向</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枚举值为“流入；流出”。</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交易币成交金额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CJBCJJE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买卖资产的成交金额。</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交易币结算金额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CJBJSJE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资产最终结算的金额，以实际收付金额为准。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本位币成交金额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BWBCJJE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买卖资产的成交金额。单位：元。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本位币结算金额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BWBJSJE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资产最终结算的金额，以实际收付金额为准。单位：元。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银行账户号码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YHZHHM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本笔交易对应的银行账号。需与公司财务-银行账户信息表中的银行账户号码匹配。</w:t>
            </w:r>
          </w:p>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color w:val="000000"/>
                <w:kern w:val="0"/>
                <w:sz w:val="21"/>
                <w:szCs w:val="21"/>
              </w:rPr>
              <w:t>如是通过第三方支付交易，填报本笔交易所对应的第三方支付账号关联银行账号</w:t>
            </w:r>
            <w:r>
              <w:rPr>
                <w:rFonts w:hint="eastAsia" w:ascii="宋体" w:hAnsi="宋体" w:eastAsia="宋体"/>
                <w:color w:val="000000"/>
                <w:sz w:val="21"/>
                <w:szCs w:val="21"/>
              </w:rPr>
              <w:t>，并在备注项内填报第三方支付信息。并在备注项内填报第三方支付信息。</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交易对手银行法定名称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GL_JYDSYHFDMC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交易对手银行开户行名称。如是场内交易，填报本机构关联交易所名称。</w:t>
            </w:r>
          </w:p>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s="宋体"/>
                <w:color w:val="000000"/>
                <w:kern w:val="0"/>
                <w:sz w:val="21"/>
                <w:szCs w:val="21"/>
              </w:rPr>
              <w:t>如果交易对手通过第三方支付机构交易，则填报第三方支付机构法定名称。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交易对手银行证件类型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GL_JYDSYHZJLX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交易对手银行证件类型，参照业务代码表《证件类型代码》，填报名称 。</w:t>
            </w:r>
          </w:p>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s="宋体"/>
                <w:color w:val="000000"/>
                <w:kern w:val="0"/>
                <w:sz w:val="21"/>
                <w:szCs w:val="21"/>
              </w:rPr>
              <w:t>如果交易对手通过第三方支付机构交易，则填报第三方支付机构经营许可证件类型。</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交易对手银行证件号码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GL_JYDSYHZJHM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交易对手银行证件号码。</w:t>
            </w:r>
          </w:p>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s="宋体"/>
                <w:color w:val="000000"/>
                <w:kern w:val="0"/>
                <w:sz w:val="21"/>
                <w:szCs w:val="21"/>
              </w:rPr>
              <w:t>如果交易对手通过第三方支付机构交易，则填报第三方支付机构经营许可证件号码。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交易对手银行证件到期日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GL_JYDSYHZJDQR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交易对手银行证件到期日。</w:t>
            </w:r>
          </w:p>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s="宋体"/>
                <w:color w:val="000000"/>
                <w:kern w:val="0"/>
                <w:sz w:val="21"/>
                <w:szCs w:val="21"/>
              </w:rPr>
              <w:t>如果交易对手通过第三方支付机构交易，则填报第三方支付机构经营许可证件到期日。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交易对手银行账户号码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JYDSYHZHHM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交易对手银行账户号码。如是场内交易，填报本机构关联交易所的账户号码。</w:t>
            </w:r>
          </w:p>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s="宋体"/>
                <w:color w:val="000000"/>
                <w:kern w:val="0"/>
                <w:sz w:val="21"/>
                <w:szCs w:val="21"/>
              </w:rPr>
              <w:t>如果交易对手通过第三方支付机构交易，则填报交易对手在第三方支付机构的账户号码。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备注</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BZ2</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补充说明情况。</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bl>
    <w:p>
      <w:pPr>
        <w:ind w:firstLine="0" w:firstLineChars="0"/>
      </w:pPr>
    </w:p>
    <w:p>
      <w:pPr>
        <w:pStyle w:val="4"/>
        <w:numPr>
          <w:ilvl w:val="0"/>
          <w:numId w:val="8"/>
        </w:numPr>
        <w:tabs>
          <w:tab w:val="left" w:pos="709"/>
          <w:tab w:val="left" w:pos="993"/>
        </w:tabs>
        <w:rPr>
          <w:rFonts w:ascii="仿宋" w:hAnsi="仿宋" w:eastAsia="仿宋"/>
        </w:rPr>
      </w:pPr>
      <w:bookmarkStart w:id="519" w:name="_Toc22316"/>
      <w:bookmarkStart w:id="520" w:name="_Toc18794"/>
      <w:bookmarkStart w:id="521" w:name="_Toc73958589"/>
      <w:bookmarkStart w:id="522" w:name="_Toc20434"/>
      <w:bookmarkStart w:id="523" w:name="_Toc13482"/>
      <w:bookmarkStart w:id="524" w:name="_Toc17621"/>
      <w:bookmarkStart w:id="525" w:name="_Toc31907"/>
      <w:r>
        <w:rPr>
          <w:rFonts w:hint="eastAsia" w:ascii="仿宋" w:hAnsi="仿宋" w:eastAsia="仿宋"/>
        </w:rPr>
        <w:t>受托投资持仓表</w:t>
      </w:r>
      <w:bookmarkEnd w:id="519"/>
      <w:bookmarkEnd w:id="520"/>
      <w:bookmarkEnd w:id="521"/>
      <w:bookmarkEnd w:id="522"/>
      <w:bookmarkEnd w:id="523"/>
      <w:bookmarkEnd w:id="524"/>
      <w:bookmarkEnd w:id="525"/>
    </w:p>
    <w:tbl>
      <w:tblPr>
        <w:tblStyle w:val="25"/>
        <w:tblW w:w="9004" w:type="dxa"/>
        <w:tblInd w:w="-180" w:type="dxa"/>
        <w:tblLayout w:type="fixed"/>
        <w:tblCellMar>
          <w:top w:w="0" w:type="dxa"/>
          <w:left w:w="108" w:type="dxa"/>
          <w:bottom w:w="0" w:type="dxa"/>
          <w:right w:w="108" w:type="dxa"/>
        </w:tblCellMar>
      </w:tblPr>
      <w:tblGrid>
        <w:gridCol w:w="1626"/>
        <w:gridCol w:w="1819"/>
        <w:gridCol w:w="978"/>
        <w:gridCol w:w="3118"/>
        <w:gridCol w:w="709"/>
        <w:gridCol w:w="754"/>
      </w:tblGrid>
      <w:tr>
        <w:tblPrEx>
          <w:tblCellMar>
            <w:top w:w="0" w:type="dxa"/>
            <w:left w:w="108" w:type="dxa"/>
            <w:bottom w:w="0" w:type="dxa"/>
            <w:right w:w="108" w:type="dxa"/>
          </w:tblCellMar>
        </w:tblPrEx>
        <w:trPr>
          <w:trHeight w:val="280" w:hRule="atLeast"/>
        </w:trPr>
        <w:tc>
          <w:tcPr>
            <w:tcW w:w="16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表名</w:t>
            </w:r>
          </w:p>
        </w:tc>
        <w:tc>
          <w:tcPr>
            <w:tcW w:w="181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表中文名</w:t>
            </w:r>
          </w:p>
        </w:tc>
        <w:tc>
          <w:tcPr>
            <w:tcW w:w="9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表编号</w:t>
            </w:r>
          </w:p>
        </w:tc>
        <w:tc>
          <w:tcPr>
            <w:tcW w:w="458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CellMar>
            <w:top w:w="0" w:type="dxa"/>
            <w:left w:w="108" w:type="dxa"/>
            <w:bottom w:w="0" w:type="dxa"/>
            <w:right w:w="108" w:type="dxa"/>
          </w:tblCellMar>
        </w:tblPrEx>
        <w:trPr>
          <w:trHeight w:val="29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STTZCCB</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受托投资持仓表</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D0106</w:t>
            </w:r>
          </w:p>
        </w:tc>
        <w:tc>
          <w:tcPr>
            <w:tcW w:w="458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本表报送保险资产管理公司受托投资持仓信息。</w:t>
            </w:r>
          </w:p>
        </w:tc>
      </w:tr>
      <w:tr>
        <w:tblPrEx>
          <w:tblCellMar>
            <w:top w:w="0" w:type="dxa"/>
            <w:left w:w="108" w:type="dxa"/>
            <w:bottom w:w="0" w:type="dxa"/>
            <w:right w:w="108" w:type="dxa"/>
          </w:tblCellMar>
        </w:tblPrEx>
        <w:trPr>
          <w:trHeight w:val="29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数据项名称</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数据项代码</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数据元编码</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是否主键</w:t>
            </w:r>
          </w:p>
        </w:tc>
      </w:tr>
      <w:tr>
        <w:tblPrEx>
          <w:tblCellMar>
            <w:top w:w="0" w:type="dxa"/>
            <w:left w:w="108" w:type="dxa"/>
            <w:bottom w:w="0" w:type="dxa"/>
            <w:right w:w="108" w:type="dxa"/>
          </w:tblCellMar>
        </w:tblPrEx>
        <w:trPr>
          <w:trHeight w:val="82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保险资产管理公司保险许可证号码</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BZ_BXXKZHM</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001050</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保险资产管理公司统一社会信用代码</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BZ_TYSHXYDM</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001003</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rPr>
          <w:trHeight w:val="29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保险资产管理公司名称</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BZ_JGMC</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流水号</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LSH</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001001</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账户名称</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ZHMC</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002021</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账户代码</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ZHDM</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002020</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会计起始日期</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KJQSRQ</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001005</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会计日期。格式：YYYYMMDD。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会计截止日期</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KJJZRQ</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会计日期。格式：YYYYMMDD，年度审计报告出具后报送包含审计调整的数据。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资产名称</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ZCMC</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填写确权登记等有关机构登记的资产名称，若无填写合同上的资产名称。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资产代码</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ZCDM</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填写确权登记等有关机构登记的资产代码，若无填写机构自定义代码。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资产类型</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ZCLX</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003004</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参照业务代码表《资产负债统计科目代码》填报名称。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资产到期日</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ZCDQR</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001005</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资产到期日期，如无明确到期日，填写默认值99991231。格式：YYYYMMDD。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占账户净资产比重</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ZZHJZCBZ</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001051</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资产占账户净资产的比例。填数字，不填百分比，最少保留两位小数，比如12.34%填写为12.34。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估值方法</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GZFF</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003011</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枚举值为“市场法、收益法、成本法、不适用”。</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会计核算方法</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KJHSFF</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002003</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适用会计准则。枚举值为“金融工具确认和计量（2006）、金融工具确认和计量（2017）”。</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90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会计分类</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KJFL</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003006</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长期股权投资；金融工具确认和计量（2006）：交易性金融资产、可供出售金融资产、贷款及应收款、持有至到期投资；金融工具确认和计量（2017）：以摊余成本计量的金融资产（债权投资）、以公允价值计量且其变动计入其他综合收益的金融资产（其他债权投资）、以公允价值计量且其变动计入其他综合收益的金融资产（其他权益投资）、以公允价值计量且其变动计入当期损益的金融资产（交易性金融资产）；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成本</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CB</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初始购置成本、历史（净价）成本或摊余（净价）成本。单位：元。</w:t>
            </w:r>
            <w:r>
              <w:rPr>
                <w:rFonts w:hint="eastAsia" w:ascii="宋体" w:hAnsi="宋体" w:eastAsia="宋体"/>
                <w:color w:val="000000"/>
                <w:sz w:val="21"/>
                <w:szCs w:val="21"/>
              </w:rPr>
              <w:br w:type="textWrapping"/>
            </w:r>
            <w:r>
              <w:rPr>
                <w:rFonts w:hint="eastAsia" w:ascii="宋体" w:hAnsi="宋体" w:eastAsia="宋体"/>
                <w:color w:val="000000"/>
                <w:sz w:val="21"/>
                <w:szCs w:val="21"/>
              </w:rPr>
              <w:t>适用金融工具确认和计量（2017）的金融资产初始成本按公允价值计量。单位：元。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账面余额</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ZMYE</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指没有扣除减值准备的账面余额。单位：元。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减值准备</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JZZB</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按持有该资产对应的“减值准备”科目余额填列。单位：元。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账面价值</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ZMJZ</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指扣除减值准备后的账面余额，等于该资产账面余额与减值准备之差。单位：元。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公允价值</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GYJZ</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指市场参与者在计量日发生的有序交易中，出售一项资产所能收到或者转移一项负债所需支付的价格。单位：元。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公允价值变动</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GYJZBD</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按持有该资产对应的“公允价值变动”科目余额填列。单位：元。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公允价值变动损益</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GYJZBDSY</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指划分为以公允价值计量且其变动计入当期损益的金融资产因公允价值变动而形成的计入当期损益的损失或利得。按持有该资产对应的“公允价值变动损益”科目余额填列。单位：元。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已实现收益</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YSXSY</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金融工具确认和计量（2006）包括会计损益的各项投资产生的利息收入、价差收入、股利红利收入和相关交易费用等项目的合计，不包括减值准备。单位：元。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可供出售类资产公允价值变动</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KGCSLZCGYJZBD</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金融工具确认和计量（2006）可供出售类金融资产公允价值变动的当期变化。单位：元。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其他收益</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QTSY</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填写除“投资收益”、“利息收入”、“公允价值变动损益”之外的资金运用收益余额，包括投资性房地产出租净收益（租金减去成本）、长期股权投资的“营业外收入”等。单位：元。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资产减值损失</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ZCJZSS</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金融工具确认和计量（2006）：资产减值损失是指企业在资产负债表日，经过对资产的测试，判断资产的可收回金额低于其账面价值而计提资产减值准备所确认的相应损失。按持有该资产对应的“资产减值损失”科目余额填列。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信用减值损失</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XYJZSS</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金融工具确认和计量（2017）：金融工具信用损失准备所确认的信用损失。单位：元。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其他资产减值损失</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QTZCJZSS</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金融工具确认和计量（2017）：反映除“信用减值损失”外，企业按照相关企业会计准则的规定计提其他资产的减值准备所确认的减值损失。单位：元。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利息收入</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LXSR</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003012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金融工具确认和计量（2017）：以摊余成本计量的金融资产和分类为以公允价值计量且其变动计入其他综合收益的金融资产按照实际利率法计算的利息收入。其他项目的利息收入不得计入本项目。单位：元。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投资收益</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TZSY</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金融工具确认和计量（2017）：对外投资所取得的收益或发生的损失。单位：元。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以公允价值计量且其变动计入其他综合收益</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YGYJZJLQQBDJRQTZHSY</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金融工具确认和计量（2017）：包括以公允价值计量且其变动计入其他综合收益的金融资产的情况。单位：元。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五级分类</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WJFL</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003010</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枚举值为“正常；关注；次级；可疑；损失；不适用”。</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6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采集日期</w:t>
            </w:r>
          </w:p>
        </w:tc>
        <w:tc>
          <w:tcPr>
            <w:tcW w:w="18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CJRQ</w:t>
            </w:r>
          </w:p>
        </w:tc>
        <w:tc>
          <w:tcPr>
            <w:tcW w:w="9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001005</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　</w:t>
            </w:r>
          </w:p>
        </w:tc>
      </w:tr>
    </w:tbl>
    <w:p>
      <w:pPr>
        <w:ind w:firstLine="0" w:firstLineChars="0"/>
      </w:pPr>
    </w:p>
    <w:p>
      <w:pPr>
        <w:pStyle w:val="3"/>
        <w:numPr>
          <w:ilvl w:val="0"/>
          <w:numId w:val="6"/>
        </w:numPr>
        <w:ind w:left="0"/>
        <w:rPr>
          <w:szCs w:val="30"/>
        </w:rPr>
      </w:pPr>
      <w:bookmarkStart w:id="526" w:name="_Toc30196"/>
      <w:bookmarkStart w:id="527" w:name="_Toc8944"/>
      <w:bookmarkStart w:id="528" w:name="_Toc19368"/>
      <w:bookmarkStart w:id="529" w:name="_Toc15961"/>
      <w:bookmarkStart w:id="530" w:name="_Toc9377"/>
      <w:bookmarkStart w:id="531" w:name="_Toc73958590"/>
      <w:bookmarkStart w:id="532" w:name="_Toc7274"/>
      <w:bookmarkStart w:id="533" w:name="_Toc57478239"/>
      <w:bookmarkStart w:id="534" w:name="_Toc26361"/>
      <w:bookmarkStart w:id="535" w:name="_Toc4896"/>
      <w:bookmarkStart w:id="536" w:name="_Toc57495038"/>
      <w:bookmarkStart w:id="537" w:name="_Toc17438"/>
      <w:bookmarkStart w:id="538" w:name="_Toc14591"/>
      <w:bookmarkStart w:id="539" w:name="_Toc20627"/>
      <w:r>
        <w:rPr>
          <w:rFonts w:hint="eastAsia"/>
          <w:szCs w:val="30"/>
        </w:rPr>
        <w:t>保险资产管理公司产品管理业务</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pStyle w:val="4"/>
        <w:numPr>
          <w:ilvl w:val="0"/>
          <w:numId w:val="10"/>
        </w:numPr>
        <w:tabs>
          <w:tab w:val="left" w:pos="709"/>
          <w:tab w:val="left" w:pos="993"/>
        </w:tabs>
        <w:rPr>
          <w:rFonts w:ascii="仿宋" w:hAnsi="仿宋" w:eastAsia="仿宋"/>
          <w:szCs w:val="30"/>
        </w:rPr>
      </w:pPr>
      <w:bookmarkStart w:id="540" w:name="_Toc57495039"/>
      <w:bookmarkStart w:id="541" w:name="_Toc57478240"/>
      <w:bookmarkStart w:id="542" w:name="_Toc2201"/>
      <w:bookmarkStart w:id="543" w:name="_Toc18581"/>
      <w:bookmarkStart w:id="544" w:name="_Toc28942"/>
      <w:bookmarkStart w:id="545" w:name="_Toc73958591"/>
      <w:bookmarkStart w:id="546" w:name="_Toc1843"/>
      <w:bookmarkStart w:id="547" w:name="_Toc32397"/>
      <w:bookmarkStart w:id="548" w:name="_Toc3231"/>
      <w:r>
        <w:rPr>
          <w:rFonts w:hint="eastAsia" w:ascii="仿宋" w:hAnsi="仿宋" w:eastAsia="仿宋"/>
          <w:szCs w:val="30"/>
        </w:rPr>
        <w:t>产品</w:t>
      </w:r>
      <w:bookmarkEnd w:id="540"/>
      <w:bookmarkEnd w:id="541"/>
      <w:r>
        <w:rPr>
          <w:rFonts w:hint="eastAsia" w:ascii="仿宋" w:hAnsi="仿宋" w:eastAsia="仿宋"/>
          <w:szCs w:val="30"/>
        </w:rPr>
        <w:t>管理业务</w:t>
      </w:r>
      <w:bookmarkEnd w:id="542"/>
      <w:bookmarkEnd w:id="543"/>
      <w:bookmarkEnd w:id="544"/>
      <w:bookmarkEnd w:id="545"/>
      <w:bookmarkEnd w:id="546"/>
      <w:bookmarkEnd w:id="547"/>
      <w:bookmarkEnd w:id="548"/>
    </w:p>
    <w:p>
      <w:pPr>
        <w:keepNext/>
        <w:keepLines/>
        <w:numPr>
          <w:ilvl w:val="1"/>
          <w:numId w:val="11"/>
        </w:numPr>
        <w:ind w:firstLineChars="0"/>
        <w:outlineLvl w:val="3"/>
        <w:rPr>
          <w:rFonts w:ascii="仿宋" w:hAnsi="仿宋" w:eastAsia="仿宋"/>
          <w:b/>
          <w:szCs w:val="30"/>
        </w:rPr>
      </w:pPr>
      <w:bookmarkStart w:id="549" w:name="_Toc57495041"/>
      <w:r>
        <w:rPr>
          <w:rFonts w:hint="eastAsia" w:ascii="仿宋" w:hAnsi="仿宋" w:eastAsia="仿宋"/>
          <w:b/>
          <w:szCs w:val="30"/>
        </w:rPr>
        <w:t>产品账户信息表</w:t>
      </w:r>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CPZHXXB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产品账户信息表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E0101</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本表报送保险资产管理公司产品在交易市场开立的投资账户信息，包括账户性质、账户基本信息、账户运作信息等信息。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填写确权登记等有关机构登记的产品名称，若无填写合同上的产品名称。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账户起始运作日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ZHQSYZR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账户初始运作日期。格式：YYYYMMDD。</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产品账户名称，应与机构内部使用账户名称一致。如机构内部无相应名称，可自行定义，但需具有唯一性。</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产品账户代码，应与机构内部使用账户代码一致。如机构内部无相应代码，可自行定义，但需具有唯一性。</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参照业务代码表《账户类型代码》，填报账户类型名称。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账户币种</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产品账户科目余额表</w:t>
      </w:r>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CPZHKMYEB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产品账户科目余额表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E0102</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本表报送保险资产管理公司产品账户科目余额表数据。</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账户名称，应具有唯一标识。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账户代码，应具有唯一标识。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会计科目体系名称，应具有唯一标识。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会计科目体系代码，应具有唯一标识。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会计起始日期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KJQSRQ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会计日期。格式：YYYYMMDD。</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会计截止日期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KJJZRQ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会计日期。格式：YYYYMMDD，年度审计报告出具后报送包含审计调整的数据。</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交易币种</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报送周期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BSZQ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参照《业务代码表》中的“报送周期类型代码”，填报代码。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总账会计科目编号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KMBH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机构实际使用的总账会计科目编码对应的名称。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总账会计科目级次</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KMJC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总账会计科目编号在科目结构中所对应的级次。未设置科目层级默认一级科目。</w:t>
            </w:r>
            <w:r>
              <w:rPr>
                <w:rFonts w:hint="eastAsia" w:ascii="宋体" w:hAnsi="宋体" w:eastAsia="宋体"/>
                <w:color w:val="000000"/>
                <w:sz w:val="21"/>
                <w:szCs w:val="21"/>
              </w:rPr>
              <w:br w:type="textWrapping"/>
            </w:r>
            <w:r>
              <w:rPr>
                <w:rFonts w:hint="eastAsia" w:ascii="宋体" w:hAnsi="宋体" w:eastAsia="宋体"/>
                <w:color w:val="000000"/>
                <w:sz w:val="21"/>
                <w:szCs w:val="21"/>
              </w:rPr>
              <w:t>“1-一级科目；2-二级科目；3-三级科目；4-四级科目；5-五级科目；6-六级科目”，以此类推，填报数字。</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总账会计科目分类。“1资产；2负债；3所有者权益；4损益；5资产负债共同类；6表外；7其他”，填报数字。</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期初借方余额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QCJFYE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本年期初借方余额。若金额涉及到外币，由机构自行转换成人民币进行填报。单位：元。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期初贷方余额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QCDFYE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本年期初贷方余额。若金额涉及到外币，由机构自行转换成人民币进行填报。单位：元。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本期借方发生额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BQJFFSE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本年借方发生额。若金额涉及到外币，由机构自行转换成人民币进行填报。单位：元。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本期贷方发生额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BQDFFSE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本年贷方发生额。若金额涉及到外币，由机构自行转换成人民币进行填报。单位：元。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期末借方余额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QMJFYE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截止本期末借方余额。若金额涉及到外币，由机构自行转换成人民币进行填报。单位：元。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期末贷方余额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QMDFYE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截止本期末借方余额。若金额涉及到外币，由机构自行转换成人民币进行填报。单位：元。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产品账户会计凭证明细表</w:t>
      </w:r>
    </w:p>
    <w:tbl>
      <w:tblPr>
        <w:tblStyle w:val="25"/>
        <w:tblW w:w="8824" w:type="dxa"/>
        <w:tblInd w:w="0" w:type="dxa"/>
        <w:tblLayout w:type="fixed"/>
        <w:tblCellMar>
          <w:top w:w="0" w:type="dxa"/>
          <w:left w:w="108" w:type="dxa"/>
          <w:bottom w:w="0" w:type="dxa"/>
          <w:right w:w="108" w:type="dxa"/>
        </w:tblCellMar>
      </w:tblPr>
      <w:tblGrid>
        <w:gridCol w:w="1371"/>
        <w:gridCol w:w="1332"/>
        <w:gridCol w:w="888"/>
        <w:gridCol w:w="3771"/>
        <w:gridCol w:w="807"/>
        <w:gridCol w:w="655"/>
      </w:tblGrid>
      <w:tr>
        <w:tblPrEx>
          <w:tblCellMar>
            <w:top w:w="0" w:type="dxa"/>
            <w:left w:w="108" w:type="dxa"/>
            <w:bottom w:w="0" w:type="dxa"/>
            <w:right w:w="108" w:type="dxa"/>
          </w:tblCellMar>
        </w:tblPrEx>
        <w:trPr>
          <w:trHeight w:val="280" w:hRule="atLeast"/>
        </w:trPr>
        <w:tc>
          <w:tcPr>
            <w:tcW w:w="137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3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8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CPZHKJPZMXB</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产品账户会计凭证明细表</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E0103</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本表报送保险资产管理公司当期产品账户会计凭证明细。</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账户名称，应具有唯一标识。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账户代码，应具有唯一标识。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会计科目体系名称，应具有唯一标识。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会计科目体系代码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KJKMTXDM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002014</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会计科目体系代码，应具有唯一标识。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会计期间</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KJQJ</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归属期间。格式：YYYYMM，年度审计报告出具后报送包含审计调整的数据。</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记账日期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JZRQ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会计记账日期。格式：YYYYMMDD。</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凭证编号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PZBH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会计凭证编号。</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摘要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ZY</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记账凭证摘要。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总账会计科目编号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KMBH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002006</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总账会计科目名称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KMMC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002007</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机构实际使用的总账会计科目编码对应的名称。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交易币种</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参照业务代码表《币种代码》填报代码。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交易币借方</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JYBJF</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交易币借方发生金额。</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交易币贷方</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JYBDF</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交易币贷方发生金额。</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本位币借方</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BWBJF</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交易币按照既定规则的汇率折成的本位币借方发生金额。单位：元。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本位币贷方</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BWBDF</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交易币按照既定规则的汇率折成的本位币贷方发生金额。单位：元。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产品账户资产负债统计表</w:t>
      </w:r>
    </w:p>
    <w:tbl>
      <w:tblPr>
        <w:tblStyle w:val="25"/>
        <w:tblW w:w="8824" w:type="dxa"/>
        <w:tblInd w:w="0" w:type="dxa"/>
        <w:tblLayout w:type="fixed"/>
        <w:tblCellMar>
          <w:top w:w="0" w:type="dxa"/>
          <w:left w:w="108" w:type="dxa"/>
          <w:bottom w:w="0" w:type="dxa"/>
          <w:right w:w="108" w:type="dxa"/>
        </w:tblCellMar>
      </w:tblPr>
      <w:tblGrid>
        <w:gridCol w:w="1371"/>
        <w:gridCol w:w="1332"/>
        <w:gridCol w:w="888"/>
        <w:gridCol w:w="3771"/>
        <w:gridCol w:w="807"/>
        <w:gridCol w:w="655"/>
      </w:tblGrid>
      <w:tr>
        <w:tblPrEx>
          <w:tblCellMar>
            <w:top w:w="0" w:type="dxa"/>
            <w:left w:w="108" w:type="dxa"/>
            <w:bottom w:w="0" w:type="dxa"/>
            <w:right w:w="108" w:type="dxa"/>
          </w:tblCellMar>
        </w:tblPrEx>
        <w:trPr>
          <w:trHeight w:val="280" w:hRule="atLeast"/>
        </w:trPr>
        <w:tc>
          <w:tcPr>
            <w:tcW w:w="137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3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8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CPZHZCFZTJB</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产品账户资产负债统计表</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E0104</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本表报送保险资产管理公司产品账户资产负债统计信息。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账户名称，应具有唯一标识。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账户代码，应具有唯一标识。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统计日期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TJRQ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统计日期。格式：YYYYMMDD。</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统计科目编号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TJKMBH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参照业务代码表《资产负债统计科目代码》填报代码。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统计科目名称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TJKMMC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003004</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参照业务代码表《资产负债统计科目代码》填报名称。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期末余额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QMYE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产品交易流水表</w:t>
      </w:r>
      <w:bookmarkEnd w:id="549"/>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8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CPJYLSB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产品交易流水表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E0105</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本表报送保险资产管理公司当期产品交易流水，包括投资资产类型、投资资产名称、交易对手、交易金额等信息。</w:t>
            </w:r>
          </w:p>
        </w:tc>
      </w:tr>
      <w:tr>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账户名称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ZHMC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账户名称，应具有唯一标识。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账户代码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ZHDM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账户代码，应具有唯一标识。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交易编号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JYBH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公司自行定义的交易编号，在同一账户下应具有唯一标识。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资产类型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ZCLX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003004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参照业务代码表《资产负债统计科目代码》填报名称。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资产名称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ZCMC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003008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填写确权登记等有关机构登记的资产名称，若无填写合同上的资产名称。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资产代码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填写确权登记等有关机构登记的资产代码，若无填写机构自定义代码。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交易对手法定名称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GL_JYDSFDMC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交易对手名称，包括中央对手方。若为自然人，隐私，保险资产管理公司变形。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交易对手证件类型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GL_JYDSZJLX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交易对手证件类型，参照业务代码表《证件类型代码》，填报名称 。</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交易对手证件号码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GL_JYDSZJHM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交易对手证件号码。若为自然人，隐私，保险资产管理公司变形。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交易对手证件到期日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GL_JYDSZJDQR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交易对手证件到期日。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交易对手LEI编码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JYDSLEIBM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填写交易对手全球法人识别编码。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交易币种</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交易市场类型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JYSCLX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参照业务代码表《交易市场类型代码》填报名称。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交易行为发生日期。格式：YYYYMMDD。</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交易摘要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JYZY</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交易情况描述。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资金流向</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枚举值为“流入；流出”。</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交易币成交金额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CJBCJJE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买卖资产的成交金额。</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交易币结算金额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CJBJSJE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资产最终结算的金额，以实际收付金额为准。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本位币成交金额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BWBCJJE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买卖资产的成交金额。单位：元。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本位币结算金额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BWBJSJE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资产最终结算的金额，以实际收付金额为准。单位：元。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银行账户号码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YHZHHM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sz w:val="21"/>
                <w:szCs w:val="21"/>
              </w:rPr>
              <w:t>本笔交易对应的银行账号。需与公司财务-银行账户信息表中的银行账户号码匹配。</w:t>
            </w:r>
          </w:p>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如是通过第三方支付交易，填报本笔交易所对应的第三方支付账号关联银行账号</w:t>
            </w:r>
            <w:r>
              <w:rPr>
                <w:rFonts w:hint="eastAsia" w:ascii="宋体" w:hAnsi="宋体" w:eastAsia="宋体"/>
                <w:sz w:val="21"/>
                <w:szCs w:val="21"/>
              </w:rPr>
              <w:t>，并在备注项内填报第三方支付信息。</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交易对手银行法定名称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GL_JYDSYHFDMC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sz w:val="21"/>
                <w:szCs w:val="21"/>
              </w:rPr>
              <w:t>交易对手银行开户行名称。如是场内交易，填报本机构关联交易所名称。</w:t>
            </w:r>
          </w:p>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如果交易对手通过第三方支付机构交易，则填报第三方支付机构法定名称。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交易对手银行证件类型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GL_JYDSYHZJLX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sz w:val="21"/>
                <w:szCs w:val="21"/>
              </w:rPr>
              <w:t>交易对手银行证件类型，参照业务代码表《证件类型代码》，填报名称 。</w:t>
            </w:r>
          </w:p>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如果交易对手通过第三方支付机构交易，则填报第三方支付机构经营许可证件类型。</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交易对手银行证件号码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GL_JYDSYHZJHM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sz w:val="21"/>
                <w:szCs w:val="21"/>
              </w:rPr>
              <w:t>交易对手银行证件号码。</w:t>
            </w:r>
          </w:p>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如果交易对手通过第三方支付机构交易，则填报第三方支付机构经营许可证件号码。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交易对手银行证件到期日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GL_JYDSYHZJDQR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sz w:val="21"/>
                <w:szCs w:val="21"/>
              </w:rPr>
              <w:t>交易对手银行证件到期日。</w:t>
            </w:r>
          </w:p>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如果交易对手通过第三方支付机构交易，则填报第三方支付机构经营许可证件到期日。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交易对手银行账户号码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JYDSYHZHHM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sz w:val="21"/>
                <w:szCs w:val="21"/>
              </w:rPr>
              <w:t>交易对手银行账户号码。如是场内交易，填报本机构关联交易所的账户号码。</w:t>
            </w:r>
          </w:p>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如果交易对手通过第三方支付机构交易，则填报交易对手在第三方支付机构的账户号码。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备注</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BZ2</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sz w:val="21"/>
                <w:szCs w:val="21"/>
              </w:rPr>
              <w:t>补充说明情况。</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产品持仓表</w:t>
      </w:r>
    </w:p>
    <w:tbl>
      <w:tblPr>
        <w:tblStyle w:val="25"/>
        <w:tblW w:w="8824" w:type="dxa"/>
        <w:tblInd w:w="0" w:type="dxa"/>
        <w:tblLayout w:type="fixed"/>
        <w:tblCellMar>
          <w:top w:w="0" w:type="dxa"/>
          <w:left w:w="108" w:type="dxa"/>
          <w:bottom w:w="0" w:type="dxa"/>
          <w:right w:w="108" w:type="dxa"/>
        </w:tblCellMar>
      </w:tblPr>
      <w:tblGrid>
        <w:gridCol w:w="1399"/>
        <w:gridCol w:w="2211"/>
        <w:gridCol w:w="1497"/>
        <w:gridCol w:w="2254"/>
        <w:gridCol w:w="709"/>
        <w:gridCol w:w="754"/>
      </w:tblGrid>
      <w:tr>
        <w:tblPrEx>
          <w:tblCellMar>
            <w:top w:w="0" w:type="dxa"/>
            <w:left w:w="108" w:type="dxa"/>
            <w:bottom w:w="0" w:type="dxa"/>
            <w:right w:w="108" w:type="dxa"/>
          </w:tblCellMar>
        </w:tblPrEx>
        <w:trPr>
          <w:trHeight w:val="280" w:hRule="atLeast"/>
        </w:trPr>
        <w:tc>
          <w:tcPr>
            <w:tcW w:w="13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221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149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3717"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CPCCB</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产品持仓表</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E0106</w:t>
            </w:r>
          </w:p>
        </w:tc>
        <w:tc>
          <w:tcPr>
            <w:tcW w:w="3717"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本表报送保险资产管理公司产品管理持仓信息。</w:t>
            </w:r>
          </w:p>
        </w:tc>
      </w:tr>
      <w:tr>
        <w:tblPrEx>
          <w:tblCellMar>
            <w:top w:w="0" w:type="dxa"/>
            <w:left w:w="108" w:type="dxa"/>
            <w:bottom w:w="0" w:type="dxa"/>
            <w:right w:w="108" w:type="dxa"/>
          </w:tblCellMar>
        </w:tblPrEx>
        <w:trPr>
          <w:trHeight w:val="29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rPr>
          <w:trHeight w:val="82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账户名称</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ZHMC</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账户代码</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ZHDM</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会计起始日期</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KJQSRQ</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会计日期。格式：YYYYMMDD。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会计截止日期</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KJJZRQ</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002012</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会计日期。格式：YYYYMMDD，年度审计报告出具后报送包含审计调整的数据。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资产名称</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ZCMC</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003008</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填写确权登记等有关机构登记的资产名称，若无填写合同上的资产名称。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资产代码</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ZCDM</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003002</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填写确权登记等有关机构登记的资产代码，若无填写机构自定义代码。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资产类型</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ZCLX</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003004</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参照业务代码表《资产负债统计科目代码》填报名称。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资产到期日</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ZCDQR</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资产到期日期，如无明确到期日，填写默认值99991231。格式：YYYYMMDD。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占账户净资产比重</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ZZHJZCBZ</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资产占账户净资产的比例。填数字，不填百分比，最少保留两位小数，比如12.34%填写为12.34。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估值方法</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GZFF</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003011</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枚举值为“市场法、收益法、成本法、不适用”。</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会计核算方法</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KJHSFF</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002003</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适用会计准则。枚举值为“金融工具确认和计量（2006）、金融工具确认和计量（2017）”。</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90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会计分类</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KJFL</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003006</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长期股权投资；金融工具确认和计量（2006）：交易性金融资产、可供出售金融资产、贷款及应收款、持有至到期投资；金融工具确认和计量（2017）：以摊余成本计量的金融资产（债权投资）、以公允价值计量且其变动计入其他综合收益的金融资产（其他债权投资）、以公允价值计量且其变动计入其他综合收益的金融资产（其他权益投资）、以公允价值计量且其变动计入当期损益的金融资产（交易性金融资产）；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成本</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CB</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初始购置成本、历史（净价）成本或摊余（净价）成本。单位：元。</w:t>
            </w:r>
            <w:r>
              <w:rPr>
                <w:rFonts w:hint="eastAsia" w:ascii="宋体" w:hAnsi="宋体" w:eastAsia="宋体"/>
                <w:color w:val="000000"/>
                <w:sz w:val="21"/>
                <w:szCs w:val="21"/>
              </w:rPr>
              <w:br w:type="textWrapping"/>
            </w:r>
            <w:r>
              <w:rPr>
                <w:rFonts w:hint="eastAsia" w:ascii="宋体" w:hAnsi="宋体" w:eastAsia="宋体"/>
                <w:color w:val="000000"/>
                <w:sz w:val="21"/>
                <w:szCs w:val="21"/>
              </w:rPr>
              <w:t>适用金融工具确认和计量（2017）的金融资产初始成本按公允价值计量。单位：元。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账面余额</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ZMYE</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指没有扣除减值准备的账面余额。单位：元。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减值准备</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JZZB</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按持有该资产对应的“减值准备”科目余额填列。单位：元。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账面价值</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ZMJZ</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指扣除减值准备后的账面余额，等于该资产账面余额与减值准备之差。单位：元。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公允价值</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GYJZ</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指市场参与者在计量日发生的有序交易中，出售一项资产所能收到或者转移一项负债所需支付的价格。单位：元。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公允价值变动</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GYJZBD</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按持有该资产对应的“公允价值变动”科目余额填列。单位：元。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公允价值变动损益</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GYJZBDSY</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指划分为以公允价值计量且其变动计入当期损益的金融资产因公允价值变动而形成的计入当期损益的损失或利得。按持有该资产对应的“公允价值变动损益”科目余额填列。单位：元。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已实现收益</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YSXSY</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金融工具确认和计量（2006）包括会计损益的各项投资产生的利息收入、价差收入、股利红利收入和相关交易费用等项目的合计，不包括减值准备。单位：元。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可供出售类资产公允价值变动</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KGCSLZCGYJZBD</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金融工具确认和计量（2006）可供出售类金融资产公允价值变动的当期变化。单位：元。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其他收益</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QTSY</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填写除“投资收益”、“利息收入”、“公允价值变动损益”之外的资金运用收益余额，包括投资性房地产出租净收益（租金减去成本）、长期股权投资的“营业外收入”等。单位：元。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资产减值损失</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ZCJZSS</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金融工具确认和计量（2006）：资产减值损失是指企业在资产负债表日，经过对资产的测试，判断资产的可收回金额低于其账面价值而计提资产减值准备所确认的相应损失。按持有该资产对应的“资产减值损失”科目余额填列。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信用减值损失</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XYJZSS</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金融工具确认和计量（2017）：金融工具信用损失准备所确认的信用损失。单位：元。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54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其他资产减值损失</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QTZCJZSS</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金融工具确认和计量（2017）：反映除“信用减值损失”外，企业按照相关企业会计准则的规定计提其他资产的减值准备所确认的减值损失。单位：元。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利息收入</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LXSR</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003012</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金融工具确认和计量（2017）：以摊余成本计量的金融资产和分类为以公允价值计量且其变动计入其他综合收益的金融资产按照实际利率法计算的利息收入。其他项目的利息收入不得计入本项目。单位：元。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投资收益</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TZSY</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金融工具确认和计量（2017）：对外投资所取得的收益或发生的损失。单位：元。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以公允价值计量且其变动计入其他综合收益</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YGYJZJLQQBDJRQTZHSY</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金融工具确认和计量（2017）：包括以公允价值计量且其变动计入其他综合收益的金融资产的情况。单位：元。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五级分类</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WJFL</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003010</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枚举值为“正常；关注；次级；可疑；损失；不适用”。</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39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14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22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pStyle w:val="4"/>
        <w:numPr>
          <w:ilvl w:val="0"/>
          <w:numId w:val="8"/>
        </w:numPr>
        <w:tabs>
          <w:tab w:val="left" w:pos="709"/>
          <w:tab w:val="left" w:pos="993"/>
        </w:tabs>
        <w:rPr>
          <w:rFonts w:ascii="仿宋" w:hAnsi="仿宋" w:eastAsia="仿宋"/>
        </w:rPr>
      </w:pPr>
      <w:bookmarkStart w:id="550" w:name="_Toc73958592"/>
      <w:bookmarkStart w:id="551" w:name="_Toc57478605"/>
      <w:bookmarkStart w:id="552" w:name="_Toc57495042"/>
      <w:bookmarkStart w:id="553" w:name="_Toc1358"/>
      <w:bookmarkStart w:id="554" w:name="_Toc2854"/>
      <w:bookmarkStart w:id="555" w:name="_Toc24636"/>
      <w:bookmarkStart w:id="556" w:name="_Toc2491"/>
      <w:bookmarkStart w:id="557" w:name="_Toc23354"/>
      <w:bookmarkStart w:id="558" w:name="_Toc14730"/>
      <w:r>
        <w:rPr>
          <w:rFonts w:hint="eastAsia" w:ascii="仿宋" w:hAnsi="仿宋" w:eastAsia="仿宋"/>
        </w:rPr>
        <w:t>债权投资计划</w:t>
      </w:r>
      <w:bookmarkEnd w:id="550"/>
      <w:bookmarkEnd w:id="551"/>
      <w:bookmarkEnd w:id="552"/>
      <w:bookmarkEnd w:id="553"/>
      <w:bookmarkEnd w:id="554"/>
      <w:bookmarkEnd w:id="555"/>
      <w:bookmarkEnd w:id="556"/>
      <w:bookmarkEnd w:id="557"/>
      <w:bookmarkEnd w:id="558"/>
    </w:p>
    <w:p>
      <w:pPr>
        <w:keepNext/>
        <w:keepLines/>
        <w:numPr>
          <w:ilvl w:val="1"/>
          <w:numId w:val="11"/>
        </w:numPr>
        <w:ind w:firstLineChars="0"/>
        <w:outlineLvl w:val="3"/>
        <w:rPr>
          <w:rFonts w:ascii="仿宋" w:hAnsi="仿宋" w:eastAsia="仿宋"/>
          <w:b/>
        </w:rPr>
      </w:pPr>
      <w:r>
        <w:rPr>
          <w:rFonts w:hint="eastAsia" w:ascii="仿宋" w:hAnsi="仿宋" w:eastAsia="仿宋"/>
          <w:b/>
        </w:rPr>
        <w:t>债权投资计划产品信息表</w:t>
      </w:r>
    </w:p>
    <w:tbl>
      <w:tblPr>
        <w:tblStyle w:val="25"/>
        <w:tblW w:w="8896" w:type="dxa"/>
        <w:tblInd w:w="0" w:type="dxa"/>
        <w:tblLayout w:type="fixed"/>
        <w:tblCellMar>
          <w:top w:w="0" w:type="dxa"/>
          <w:left w:w="108" w:type="dxa"/>
          <w:bottom w:w="0" w:type="dxa"/>
          <w:right w:w="108" w:type="dxa"/>
        </w:tblCellMar>
      </w:tblPr>
      <w:tblGrid>
        <w:gridCol w:w="1371"/>
        <w:gridCol w:w="1332"/>
        <w:gridCol w:w="888"/>
        <w:gridCol w:w="3973"/>
        <w:gridCol w:w="660"/>
        <w:gridCol w:w="672"/>
      </w:tblGrid>
      <w:tr>
        <w:tblPrEx>
          <w:tblCellMar>
            <w:top w:w="0" w:type="dxa"/>
            <w:left w:w="108" w:type="dxa"/>
            <w:bottom w:w="0" w:type="dxa"/>
            <w:right w:w="108" w:type="dxa"/>
          </w:tblCellMar>
        </w:tblPrEx>
        <w:trPr>
          <w:trHeight w:val="280" w:hRule="atLeast"/>
        </w:trPr>
        <w:tc>
          <w:tcPr>
            <w:tcW w:w="137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3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8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05"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ZQTZJHCPXXB</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债权投资计划产品信息表</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E0201</w:t>
            </w:r>
          </w:p>
        </w:tc>
        <w:tc>
          <w:tcPr>
            <w:tcW w:w="5305"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本表报送保险资产管理公司管理债权计划基本信息。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账户代码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ZHDM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002020</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产品账户代码，应与机构内部使用账户代码一致。如机构内部无相应代码，可自行定义，但需具有唯一性。</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账户名称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ZHMC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002021</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产品账户名称，应与机构内部使用账户名称一致。如机构内部无相应名称，可自行定义，但需具有唯一性。</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005002</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填写确权登记等有关机构登记的产品名称，若无填写合同上的产品名称。</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005001</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填写确权登记等有关机构登记的产品代码，若无填写机构自定义代码。</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项目登记编号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XMDJBH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001023</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项目登记编号。</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项目登记日期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XMDJRQ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项目登记日期。</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计划发行规模</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JHFXGM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产品计划的发行规模，单位：元。</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项目类型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XMLX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005003</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填报产品类别。枚举值为“基础设施；非基础设施类不动产”。</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资管产品类型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ZGCPLX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005004</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枚举值为“固定收益类；权益类；商品及金融衍生品类；混合类”。</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托管机构法定名称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GL_TGJGFDMC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产品托管机构名称，精确至分支机构。</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托管机构证件类型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GL_TGJGZJLX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001019</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托管机构证件类型。参照业务代码表《证件类型代码》，填报名称 。</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托管机构证件号码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GL_TGJGZJHM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托管机构证件号码。</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托管机构证件到期日</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GL_TGJGZJDQR</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托管机构证件到期日。</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产品成立日期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CPCLRQ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产品成立日期。</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产品存续规模</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CPCXGM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产品存续规模，单位：元。</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面值币种</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MZBZ</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002001</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参照业务代码表《币种代码》，填报代码 。</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结构化属性</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JGHSX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005005</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填写结构化属性。枚举值为“分级；非分级”。</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产品期限</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CPQX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005006</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产品合同约定期限。如为含权产品请填写最大期限，如为永续产品选填"99999”。</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期限单位</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QXDW</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005007</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产品期限单位。枚举值为“日；月；年”。</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是否含权</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SFHQ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含权结构</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HQJG</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005008</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“是否含权”为“是”时必填。描述含权期限结构，例如：a+b、a+b+c。</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选择权类型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XZQLX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005009</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“是否含权”为“是”时必填。枚举值为“投资人选择权；融资人选择权；双向选择权”。</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还本付息方式</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HBFXFS</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005010</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参照业务代码表《还本付息方式代码》，填报名称。</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付息周期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FXZQ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005011</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“还本付息方式”除“到期一次还本付息”外必填。枚举值为“按月；按季；按半年；按年；其他”。</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投资收益形式</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TZSYXS</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005061</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枚举值为“固定费率；固定费用；浮动费率；其他费率”。</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投资收益率</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TZSYL</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填写年化费率，填数字，不填百分比，最少保留四位小数，比如12.34%填写为0.1234。如无法计算投资收益率，选填“99999”。</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投资收益描述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TZSYMS</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按产品合同约定的投资收益率情况填写。</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管理费形式</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GLFXS</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005061</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枚举值为“固定费率；固定费用；浮动费率；其他费率”。</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管理费率</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GLFL</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填写年化费率，填数字，不填百分比，最少保留四位小数，比如12.34%填写为0.1234。如无法计算管理费率，选填“99999”。</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管理费描述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GLFMS</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按产品合同约定的管理费情况填写。</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托管费率</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TGFL</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填写年化托管费率，填数字，不填百分比，最少保留四位小数，比如12.34%填写为0.1234。如无具体费率选填“99999”。</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托管费描述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TGFMS</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“托管费率”为“99999”时必填。</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资金监管费率</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ZJJGFL</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填写年化资金监管费率，填数字，不填百分比，最少保留四位小数，比如12.34%填写为0.1234。如无具体费率选填“99999”。</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资金监管费描述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ZJJGFMS</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“资金监管费率”为“99999”时必填。</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独立监督费率</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DLJDFL</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填写年化独立监督费率，填数字，不填百分比，最少保留四位小数，比如12.34%填写为0.1234。如无具体费率选填“99999”。</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独立监督费描述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DLJDFMS</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“独立监督费率”为“99999”时必填。</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融资人法定名称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GL_RZRFDMC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融资人名称。</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融资人证件类型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GL_RZRZJLX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融资人证件类型，参照业务代码表《证件类型代码》，填报名称 。</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融资人证件号码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GL_RZRZJHM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融资人证件号码。</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融资人证件到期日</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GL_RZRZJDQR</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融资人证件到期日。</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融资人所属地区</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RZRSSDQ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001017</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融资人注册地所属地区，参照业务代码表《行政区划代码》，境内地区至少精确到省、自治区、直辖市、特别行政区，应逐级填写完整地域名称，如“河北省石家庄市长安区”。如无法区分，填报“其他”。</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融资人所属行业</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RZRSSHY</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001024</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参照业务代码表《行业类型代码》，例如：农业、林业等，填报名称。如无法区分，填报“不适用”。</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是否存在增信</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SFCZZX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是否存在增信措施。枚举值为“是；否”。</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信用增级类型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XYZJLX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005013</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“是否存在增信”为“是”时必填。枚举值为“保证担保；抵押或质押；其他增级方式”。</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担保人法定名称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GL_DBRFDMC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“信用增信类型”为“保证担保”时必填。填报担保人全称。</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担保人证件类型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GL_DBRZJLX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“信用增信类型”为“保证担保”时必填。参照业务代码表《证件类型代码》，填报名称 。</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担保人证件号码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GL_DBRZJHM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“信用增信类型”为“保证担保”时必填。担保人证件号码。</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担保人证件到期日</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GL_DBRZJDQR</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担保人证件到期日。</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与融资人关联关系</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YCZRGLGX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005023</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“信用增信类型”为“保证担保”时必填。参照业务代码表《关联方类型代码》，填报名称。</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抵/质押物名称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DZYWMC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“信用增信类型”为“抵押或质押”时必填。填报抵/质押物全称。</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抵/质押物类别</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DZYWLB</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005015</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“信用增信类型”为“抵押或质押”时必填。枚举值为“上市公司无限售流通股份质押；收费权质押；实物资产抵押；其他抵押；其他质押”。</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抵/质押所有人名称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DZYSYRMC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“信用增信类型”为“抵押或质押”时必填。填报抵/质押所有人全称。</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抵/质押物估值</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DZYWGZ</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“信用增信类型”为“抵押或质押”时必填。单位：元。</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评估机构全称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PGJGQC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“信用增信类型”为“抵押或质押”时必填。填报资产评估机构全称。</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抵押率</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DYL</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olor w:val="000000"/>
                <w:sz w:val="21"/>
                <w:szCs w:val="21"/>
              </w:rPr>
              <w:t>0010</w:t>
            </w:r>
            <w:r>
              <w:rPr>
                <w:rFonts w:hint="eastAsia" w:ascii="宋体" w:hAnsi="宋体" w:eastAsia="宋体"/>
                <w:color w:val="000000"/>
                <w:sz w:val="21"/>
                <w:szCs w:val="21"/>
                <w:lang w:val="en-US" w:eastAsia="zh-CN"/>
              </w:rPr>
              <w:t>51</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“信用增信类型”为“抵押或质押”时必填。抵押率=待偿还本金和收益/评估总额。填数字，不填百分比</w:t>
            </w:r>
            <w:bookmarkStart w:id="869" w:name="_GoBack"/>
            <w:bookmarkEnd w:id="869"/>
            <w:r>
              <w:rPr>
                <w:rFonts w:hint="eastAsia" w:ascii="宋体" w:hAnsi="宋体" w:eastAsia="宋体"/>
                <w:color w:val="000000"/>
                <w:sz w:val="21"/>
                <w:szCs w:val="21"/>
              </w:rPr>
              <w:t>，最少保留两位小数，比如12.34%填写为12.34。</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其他增级方式</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QTZJFS</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“信用增信类型”为“其他增级方式”时必填。文字描述。</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存续状态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CXZT</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005016</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枚举值为“存续；到期终止；提前终止 ；行权展期；主动延期 ；被动延期；实质违约”。</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终止日期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ZZRQ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产品终止时应填写实际终止日期。</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首次延期日期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SCYQRQ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产品首次延期日期。</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延期偿还的本息合计</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YQCHDBXHJ</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截至本报送期末，发行人或融资主体延期偿还（未偿还）的本息合计，单位：元。</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延期偿还的本金余额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YQCHDBJYE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截至本报送期末，发行人或融资主体延期偿还（未偿还）的本金余额，单位：元。</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延期偿还的利息余额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YQCHDLXYE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003012</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截至本报送期末，发行人或融资主体延期偿还（未偿还）的利息余额，单位：元。</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违约本息合计</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WYBXHJ</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违约金额，单位：元。</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违约本金余额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WYBJYE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截至本报送期末，发行人或融资主体发生违约的本金，单位：元。</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违约利息余额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WYLXYE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003012</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截至本报送期末，发行人或融资主体发生违约的利息，单位：元。</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违约发生日期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WYFSRQ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产品违约日期。</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备注</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产品信息备注。</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债权投资计划产品持有人信息表</w:t>
      </w:r>
    </w:p>
    <w:tbl>
      <w:tblPr>
        <w:tblStyle w:val="25"/>
        <w:tblW w:w="8824" w:type="dxa"/>
        <w:tblInd w:w="0" w:type="dxa"/>
        <w:tblLayout w:type="fixed"/>
        <w:tblCellMar>
          <w:top w:w="0" w:type="dxa"/>
          <w:left w:w="108" w:type="dxa"/>
          <w:bottom w:w="0" w:type="dxa"/>
          <w:right w:w="108" w:type="dxa"/>
        </w:tblCellMar>
      </w:tblPr>
      <w:tblGrid>
        <w:gridCol w:w="1686"/>
        <w:gridCol w:w="1371"/>
        <w:gridCol w:w="1044"/>
        <w:gridCol w:w="3260"/>
        <w:gridCol w:w="709"/>
        <w:gridCol w:w="754"/>
      </w:tblGrid>
      <w:tr>
        <w:tblPrEx>
          <w:tblCellMar>
            <w:top w:w="0" w:type="dxa"/>
            <w:left w:w="108" w:type="dxa"/>
            <w:bottom w:w="0" w:type="dxa"/>
            <w:right w:w="108" w:type="dxa"/>
          </w:tblCellMar>
        </w:tblPrEx>
        <w:trPr>
          <w:trHeight w:val="280" w:hRule="atLeast"/>
        </w:trPr>
        <w:tc>
          <w:tcPr>
            <w:tcW w:w="168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7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104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72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ZQTZJHCPCYRXXB</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债权投资计划产品持有人信息表</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E0202</w:t>
            </w:r>
          </w:p>
        </w:tc>
        <w:tc>
          <w:tcPr>
            <w:tcW w:w="472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本表报送保险资产管理公司管理债权计划持有人及变动情况信息。</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CPMC</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填写确权登记等有关机构登记的产品名称，若无填写合同上的产品名称。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CYRZHMC</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填写该持有人在确权登记等有关机构开立的持有人账户，若无则填写管理人自定义的持有人账户名称。若为自然人账户姓名，隐私，保险资产管理公司变形。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CYRZH</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005017</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填写该持有人在确权登记等有关机构开立的持有人账号，若无则填写管理人自定义的持有人编号。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持有人账户所属人法定名称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GL_CYRZHSSRFDMC</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所属人为机构的填写机构名称，保险产品、养老保障产品填写保险公司名称，企业年金或基本养老保险基金填写投资管理人全称，保险资管产品或其他资管产品填写产品管理人全称；账户所属人为自然人的，填写自然人姓名，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GL_CYRZHSSRZJLX</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持有人账户所属人证件类型，参照业务代码表《证件类型代码》，填报名称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GL_CYRZHSSRZJHM</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持有人账户所属人证件号码。当该号码属于自然人证件号码时，隐私，保险资产管理公司变形。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持有人账户所属人证件到期日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GL_CYRZHSSRZJDQR</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CYRZHLX</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枚举值为“法人和其他组织；非法人类产品；自然人”。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持有人账户所属机构类型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CYRZHSSJGLX</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“持有人账户类型”为“法人和其他组织”和“非法人类产品”时必填。参照业务代码表《机构类型代码》，填报名称。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非法人产品名称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FFRCPMC</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“持有人账户类型”为“非法人类产品”时必填。填写产品名称，如 “传统不区分”，或“XX资管产品”。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非法人产品类型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FFRCPLX</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005020</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“持有人账户类型”为“非法人类产品”时必填。参照业务代码表《产品类型代码》，填报名称。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持有份额起息日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CYFEQXR</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持有人份额起息日期。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期末持有规模</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QMCYGM</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截止至报送前，投资人期末持有金额，单位：元。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所属分级</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SSFJ</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参照业务代码表《产品分级类别代码》，填报名称。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受益人预期收益形式</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SYRYQSYXS</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005061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枚举值为“固定费率；固定费用；浮动费率；其他费率”。</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受益人预期收益率</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SYRYQSYL</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填写年化费率，填数字，不填百分比，最少保留四位小数，比如12.34%填写为0.1234。如无法计算预期收益率，选填“99999”。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受益人预期收益描述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SYRYQSYMS</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按产品合同约定的受益人预期收益率情况填写。</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keepNext/>
        <w:keepLines/>
        <w:numPr>
          <w:ilvl w:val="1"/>
          <w:numId w:val="11"/>
        </w:numPr>
        <w:ind w:firstLineChars="0"/>
        <w:outlineLvl w:val="3"/>
        <w:rPr>
          <w:rFonts w:ascii="仿宋" w:hAnsi="仿宋" w:eastAsia="仿宋"/>
          <w:b/>
        </w:rPr>
      </w:pPr>
      <w:r>
        <w:rPr>
          <w:rFonts w:hint="eastAsia" w:ascii="仿宋" w:hAnsi="仿宋" w:eastAsia="仿宋"/>
          <w:b/>
        </w:rPr>
        <w:t>债权投资计划项目信息表</w:t>
      </w:r>
    </w:p>
    <w:tbl>
      <w:tblPr>
        <w:tblStyle w:val="25"/>
        <w:tblW w:w="8824" w:type="dxa"/>
        <w:tblInd w:w="0" w:type="dxa"/>
        <w:tblLayout w:type="fixed"/>
        <w:tblCellMar>
          <w:top w:w="0" w:type="dxa"/>
          <w:left w:w="108" w:type="dxa"/>
          <w:bottom w:w="0" w:type="dxa"/>
          <w:right w:w="108" w:type="dxa"/>
        </w:tblCellMar>
      </w:tblPr>
      <w:tblGrid>
        <w:gridCol w:w="1372"/>
        <w:gridCol w:w="1371"/>
        <w:gridCol w:w="877"/>
        <w:gridCol w:w="3884"/>
        <w:gridCol w:w="674"/>
        <w:gridCol w:w="646"/>
      </w:tblGrid>
      <w:tr>
        <w:tblPrEx>
          <w:tblCellMar>
            <w:top w:w="0" w:type="dxa"/>
            <w:left w:w="108" w:type="dxa"/>
            <w:bottom w:w="0" w:type="dxa"/>
            <w:right w:w="108" w:type="dxa"/>
          </w:tblCellMar>
        </w:tblPrEx>
        <w:trPr>
          <w:trHeight w:val="280" w:hRule="atLeast"/>
        </w:trPr>
        <w:tc>
          <w:tcPr>
            <w:tcW w:w="137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7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7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0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ZQTZJHXMXXB</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债权投资计划项目信息表</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E0203</w:t>
            </w:r>
          </w:p>
        </w:tc>
        <w:tc>
          <w:tcPr>
            <w:tcW w:w="520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本表报送保险资产管理公司管理债权计划所投资项目基础信息。多个项目逐条填报。</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填报保险许可证中的机构名称。</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CPMC</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005002</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填写确权登记等有关机构登记的产品名称，若无填写合同上的产品名称。</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005001</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是否单一项目</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SFDYXM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项目名称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XMMC</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项目全称。</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项目公司</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XMGS</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项目公司全称。</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项目批复/备案机构</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XMPFBAJG</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按照相关批复及备案文件进行填写，如存在多个项目应具有多个投资项目批准。</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项目投资规模</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XMTZGM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项目投资规模，单位：元。</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资金用途</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ZJYT</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005022</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资金用途，可多选。枚举值为“项目建设；补充运营资金；偿还借款；其他”。</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项目属性</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XMSX</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枚举值为“写字楼，商业，综合，工业，酒店，养老，医疗，汽车服务，保障房，交通，市政，环境保护，能源，通讯，其他”。</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项目所属地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XMSSD</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001017</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参照业务代码表《行政区划代码》，境内地区至少精确到省、自治区、直辖市、特别行政区，应逐级填写完整地域名称，如“河北省石家庄市长安区”。如无法区分，填报“其他”。</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融资人与项目方关联关系</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CZRYXMFGLGX</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005023</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参照业务代码表《关联方类型代码》，填报名称。</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政策标签</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ZCBQ</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005024</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参照业务代码表《政策标签代码》，填报名称。可多选，如存在多个标签，以“;”隔开。如为其他，需在备注里描述。</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备注</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备注说明。</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债权投资计划资信情况表</w:t>
      </w:r>
    </w:p>
    <w:tbl>
      <w:tblPr>
        <w:tblStyle w:val="25"/>
        <w:tblW w:w="8824" w:type="dxa"/>
        <w:tblInd w:w="0" w:type="dxa"/>
        <w:tblLayout w:type="fixed"/>
        <w:tblCellMar>
          <w:top w:w="0" w:type="dxa"/>
          <w:left w:w="108" w:type="dxa"/>
          <w:bottom w:w="0" w:type="dxa"/>
          <w:right w:w="108" w:type="dxa"/>
        </w:tblCellMar>
      </w:tblPr>
      <w:tblGrid>
        <w:gridCol w:w="1372"/>
        <w:gridCol w:w="1371"/>
        <w:gridCol w:w="877"/>
        <w:gridCol w:w="3884"/>
        <w:gridCol w:w="674"/>
        <w:gridCol w:w="646"/>
      </w:tblGrid>
      <w:tr>
        <w:tblPrEx>
          <w:tblCellMar>
            <w:top w:w="0" w:type="dxa"/>
            <w:left w:w="108" w:type="dxa"/>
            <w:bottom w:w="0" w:type="dxa"/>
            <w:right w:w="108" w:type="dxa"/>
          </w:tblCellMar>
        </w:tblPrEx>
        <w:trPr>
          <w:trHeight w:val="280" w:hRule="atLeast"/>
        </w:trPr>
        <w:tc>
          <w:tcPr>
            <w:tcW w:w="137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7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7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0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ZQTZJHZXQKB</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债权投资计划资信情况表</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E0204</w:t>
            </w:r>
          </w:p>
        </w:tc>
        <w:tc>
          <w:tcPr>
            <w:tcW w:w="520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本表报送保险资产管理公司管理债权计划相关主体及项目资信信息。</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填报统一社会信用代码。</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CPMC</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005002</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填写确权登记等有关机构登记的产品名称，若无填写合同上的产品名称。</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005001</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评级对象</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PJDX</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005025</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填写评级对象，枚举值为“担保主体；融资主体；产品”。</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评级阶段</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PJJD</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005058</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填写评级阶段。枚举值为“发行阶段；跟踪阶段”。</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外部信用评级</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WBXYPJ</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005059</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参照业务代码表《信用评级等级代码》，填报名称。</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外部评级机构</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WBPJJG</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评级机构名称。</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外部评级日期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WBPJRQ</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外部评级日期。</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内部信用评级</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NBXYPJ</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005059</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参照业务代码表《信用评级等级代码》，填报名称。</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内部评级日期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NBPJRQ</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001005</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内部评级日期。</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主体是否有其他违约情况</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ZTSFYQTWYQK</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是否有无法兑付其他债务融资工具情况发生。具体信息在备注中填写。枚举值为“是；否”。</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备注</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备注说明。</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88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keepNext/>
        <w:keepLines/>
        <w:numPr>
          <w:ilvl w:val="1"/>
          <w:numId w:val="11"/>
        </w:numPr>
        <w:ind w:firstLineChars="0"/>
        <w:outlineLvl w:val="3"/>
        <w:rPr>
          <w:rFonts w:ascii="仿宋" w:hAnsi="仿宋" w:eastAsia="仿宋"/>
          <w:b/>
        </w:rPr>
      </w:pPr>
      <w:r>
        <w:rPr>
          <w:rFonts w:hint="eastAsia" w:ascii="仿宋" w:hAnsi="仿宋" w:eastAsia="仿宋"/>
          <w:b/>
        </w:rPr>
        <w:t>债权投资计划专业服务机构信息表</w:t>
      </w:r>
    </w:p>
    <w:tbl>
      <w:tblPr>
        <w:tblStyle w:val="25"/>
        <w:tblW w:w="8824" w:type="dxa"/>
        <w:tblInd w:w="0" w:type="dxa"/>
        <w:tblLayout w:type="fixed"/>
        <w:tblCellMar>
          <w:top w:w="0" w:type="dxa"/>
          <w:left w:w="108" w:type="dxa"/>
          <w:bottom w:w="0" w:type="dxa"/>
          <w:right w:w="108" w:type="dxa"/>
        </w:tblCellMar>
      </w:tblPr>
      <w:tblGrid>
        <w:gridCol w:w="1791"/>
        <w:gridCol w:w="1248"/>
        <w:gridCol w:w="919"/>
        <w:gridCol w:w="3403"/>
        <w:gridCol w:w="709"/>
        <w:gridCol w:w="754"/>
      </w:tblGrid>
      <w:tr>
        <w:tblPrEx>
          <w:tblCellMar>
            <w:top w:w="0" w:type="dxa"/>
            <w:left w:w="108" w:type="dxa"/>
            <w:bottom w:w="0" w:type="dxa"/>
            <w:right w:w="108" w:type="dxa"/>
          </w:tblCellMar>
        </w:tblPrEx>
        <w:trPr>
          <w:trHeight w:val="280" w:hRule="atLeast"/>
        </w:trPr>
        <w:tc>
          <w:tcPr>
            <w:tcW w:w="17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4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ZQTZJHZYFWJGXXB</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债权投资计划专业服务机构信息表</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E0205</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本表报送保险资产管理公司管理债权计划相关专业服务机构信息，如法律顾问、财务顾问、投资顾问、评估机构等。</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产品名称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CPMC</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填写确权登记等有关机构登记的产品名称，若无填写合同上的产品名称。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服务机构法定名称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GL_FWJGFDMC</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专业服务机构名称。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服务机构证件类型</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GL_FWJGZJLX</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专业服务机构证件类型，参照业务代码表《证件类型代码》，填报名称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服务机构证件号码</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GL_FWJGZJHM</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专业服务机构证件号码。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　</w:t>
            </w:r>
          </w:p>
        </w:tc>
      </w:tr>
      <w:tr>
        <w:tblPrEx>
          <w:tblCellMar>
            <w:top w:w="0" w:type="dxa"/>
            <w:left w:w="108" w:type="dxa"/>
            <w:bottom w:w="0" w:type="dxa"/>
            <w:right w:w="108" w:type="dxa"/>
          </w:tblCellMar>
        </w:tblPrEx>
        <w:trPr>
          <w:trHeight w:val="55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服务机构证件到期日</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GL_FWJGZJDQR</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专业服务机构证件到期日。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服务内容描述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FWNRMS</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填写机构服务内容。</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rPr>
          <w:rFonts w:ascii="Times New Roman" w:hAnsi="Times New Roman"/>
          <w:color w:val="000000"/>
          <w:sz w:val="24"/>
          <w:szCs w:val="24"/>
        </w:rPr>
      </w:pPr>
    </w:p>
    <w:p>
      <w:pPr>
        <w:pStyle w:val="4"/>
        <w:numPr>
          <w:ilvl w:val="0"/>
          <w:numId w:val="8"/>
        </w:numPr>
        <w:tabs>
          <w:tab w:val="left" w:pos="709"/>
          <w:tab w:val="left" w:pos="993"/>
        </w:tabs>
        <w:rPr>
          <w:rFonts w:ascii="仿宋" w:hAnsi="仿宋" w:eastAsia="仿宋"/>
        </w:rPr>
      </w:pPr>
      <w:bookmarkStart w:id="559" w:name="_Toc17194"/>
      <w:bookmarkStart w:id="560" w:name="_Toc2478"/>
      <w:bookmarkStart w:id="561" w:name="_Toc32246"/>
      <w:bookmarkStart w:id="562" w:name="_Toc57538982"/>
      <w:bookmarkStart w:id="563" w:name="_Toc19"/>
      <w:bookmarkStart w:id="564" w:name="_Toc6841"/>
      <w:bookmarkStart w:id="565" w:name="_Toc19278"/>
      <w:bookmarkStart w:id="566" w:name="_Toc73958593"/>
      <w:r>
        <w:rPr>
          <w:rFonts w:hint="eastAsia" w:ascii="仿宋" w:hAnsi="仿宋" w:eastAsia="仿宋"/>
        </w:rPr>
        <w:t>股权投资计划</w:t>
      </w:r>
      <w:bookmarkEnd w:id="559"/>
      <w:bookmarkEnd w:id="560"/>
      <w:bookmarkEnd w:id="561"/>
      <w:bookmarkEnd w:id="562"/>
      <w:bookmarkEnd w:id="563"/>
      <w:bookmarkEnd w:id="564"/>
      <w:bookmarkEnd w:id="565"/>
      <w:bookmarkEnd w:id="566"/>
    </w:p>
    <w:p>
      <w:pPr>
        <w:keepNext/>
        <w:keepLines/>
        <w:numPr>
          <w:ilvl w:val="1"/>
          <w:numId w:val="11"/>
        </w:numPr>
        <w:ind w:firstLineChars="0"/>
        <w:outlineLvl w:val="3"/>
        <w:rPr>
          <w:rFonts w:ascii="仿宋" w:hAnsi="仿宋" w:eastAsia="仿宋"/>
          <w:b/>
        </w:rPr>
      </w:pPr>
      <w:r>
        <w:rPr>
          <w:rFonts w:hint="eastAsia" w:ascii="仿宋" w:hAnsi="仿宋" w:eastAsia="仿宋"/>
          <w:b/>
        </w:rPr>
        <w:t>股权投资计划产品信息表</w:t>
      </w:r>
    </w:p>
    <w:tbl>
      <w:tblPr>
        <w:tblStyle w:val="25"/>
        <w:tblW w:w="8824" w:type="dxa"/>
        <w:tblInd w:w="0" w:type="dxa"/>
        <w:tblLayout w:type="fixed"/>
        <w:tblCellMar>
          <w:top w:w="0" w:type="dxa"/>
          <w:left w:w="108" w:type="dxa"/>
          <w:bottom w:w="0" w:type="dxa"/>
          <w:right w:w="108" w:type="dxa"/>
        </w:tblCellMar>
      </w:tblPr>
      <w:tblGrid>
        <w:gridCol w:w="1371"/>
        <w:gridCol w:w="1332"/>
        <w:gridCol w:w="888"/>
        <w:gridCol w:w="3770"/>
        <w:gridCol w:w="808"/>
        <w:gridCol w:w="655"/>
      </w:tblGrid>
      <w:tr>
        <w:tblPrEx>
          <w:tblCellMar>
            <w:top w:w="0" w:type="dxa"/>
            <w:left w:w="108" w:type="dxa"/>
            <w:bottom w:w="0" w:type="dxa"/>
            <w:right w:w="108" w:type="dxa"/>
          </w:tblCellMar>
        </w:tblPrEx>
        <w:trPr>
          <w:trHeight w:val="280" w:hRule="atLeast"/>
        </w:trPr>
        <w:tc>
          <w:tcPr>
            <w:tcW w:w="137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3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8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GQTZJHCPXXB</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股权投资计划产品信息表</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E0301</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本表报送保险资产管理公司管理股权计划基本信息。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产品账户代码，应与机构内部使用账户代码一致。如机构内部无相应代码，可自行定义，但需具有唯一性。</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产品账户名称，应与机构内部使用账户名称一致。如机构内部无相应名称，可自行定义，但需具有唯一性。</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005002</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填写确权登记等有关机构登记的产品名称，若无填写合同上的产品名称。</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005001</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项目登记编号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XMDJBH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001023</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项目登记编号。</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项目登记日期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XMDJRQ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001005</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项目登记日期。</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计划发行规模</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JHFXGM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001008</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产品计划的发行规模，单位：元。</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托管机构法定名称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GL_TGJGFDMC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产品托管机构名称，精确至分支机构。</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托管机构证件类型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GL_TGJGZJLX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托管机构证件类型。参照业务代码表《证件类型代码》，填报名称 。</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托管机构证件号码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GL_TGJGZJHM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001018</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托管机构证件号码。</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托管机构证件到期日</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GL_TGJGZJDQR</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001005</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托管机构证件到期日。</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产品成立日期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CPCLRQ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产品成立日期。</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产品存续规模</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CPCXGM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产品存续规模，单位：元 。</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面值币种</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MZBZ</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参照业务代码表《币种代码》，填写代码。</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结构化属性</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JGHSX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005005</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填写结构化属性。枚举值为“分级；非分级”。</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产品期限</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CPQX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005006</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产品合同约定期限，如为含权产品请填写最大期限；如为永续产品选填"99999”。</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期限单位</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QXDW</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005007</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产品期限单位。枚举值为“日；月；年”。</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管理费形式</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GLFXS</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005061</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枚举值为“固定费率；固定费用；浮动费率；其他费率”。</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管理费率</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GLFL</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填写年化费率，填数字，不填百分比，最少保留四位小数，比如12.34%填写为0.1234。如无法计算管理费率，选填“99999”。</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管理费描述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GLFMS</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按产品合同约定的管理费情况填写。</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托管费率</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TGFL</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填写年化托管费率，填数字，不填百分比，最少保留四位小数，比如12.34%填写为0.1234。如无具体费率选填“99999”。</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托管费描述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TGFMS</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“托管费率”为“99999”时必填。</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资金监管费率</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ZJJGFL</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填写年化资金监管费率，填数字，不填百分比，最少保留四位小数，比如12.34%填写为0.1234。如无具体费率选填“99999”。</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资金监管费描述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ZJJGFMS</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“资金监管费率”为“99999”时必填。</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独立监督费率</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DLJDFL</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填写年化独立监督费率，填数字，不填百分比，最少保留四位小数，比如12.34%填写为0.1234。如无具体费率选填“99999”。</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独立监督费描述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DLJDFMS</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“独立监督费率”为“99999”时必填。</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存续状态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CXZT</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005060</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填写存续状态。枚举值为“正常存续；退出”。</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退出日期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TCRQ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“存续状态”为“退出”时必填。填写产品终止日期。</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实际退出方式</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SJTCFS</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005026</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“存续状态”为“退出”时必填。填写实际退出方式。枚举值为“回购；清算；转让第三方；IPO；并购；其他”。</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8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keepNext/>
        <w:keepLines/>
        <w:numPr>
          <w:ilvl w:val="1"/>
          <w:numId w:val="11"/>
        </w:numPr>
        <w:ind w:firstLineChars="0"/>
        <w:outlineLvl w:val="3"/>
        <w:rPr>
          <w:rFonts w:ascii="仿宋" w:hAnsi="仿宋" w:eastAsia="仿宋"/>
          <w:b/>
        </w:rPr>
      </w:pPr>
      <w:r>
        <w:rPr>
          <w:rFonts w:hint="eastAsia" w:ascii="仿宋" w:hAnsi="仿宋" w:eastAsia="仿宋"/>
          <w:b/>
        </w:rPr>
        <w:t>股权投资计划产品持有人信息表</w:t>
      </w:r>
    </w:p>
    <w:tbl>
      <w:tblPr>
        <w:tblStyle w:val="25"/>
        <w:tblW w:w="8824" w:type="dxa"/>
        <w:tblInd w:w="0" w:type="dxa"/>
        <w:tblLayout w:type="fixed"/>
        <w:tblCellMar>
          <w:top w:w="0" w:type="dxa"/>
          <w:left w:w="108" w:type="dxa"/>
          <w:bottom w:w="0" w:type="dxa"/>
          <w:right w:w="108" w:type="dxa"/>
        </w:tblCellMar>
      </w:tblPr>
      <w:tblGrid>
        <w:gridCol w:w="1686"/>
        <w:gridCol w:w="1476"/>
        <w:gridCol w:w="939"/>
        <w:gridCol w:w="3260"/>
        <w:gridCol w:w="709"/>
        <w:gridCol w:w="754"/>
      </w:tblGrid>
      <w:tr>
        <w:trPr>
          <w:trHeight w:val="280" w:hRule="atLeast"/>
        </w:trPr>
        <w:tc>
          <w:tcPr>
            <w:tcW w:w="168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47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3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72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GQTZJHCPCYRXXB</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股权投资计划产品持有人信息表</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E0302</w:t>
            </w:r>
          </w:p>
        </w:tc>
        <w:tc>
          <w:tcPr>
            <w:tcW w:w="472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本表报送保险资产管理公司管理股权计划持有人及变动情况信息。</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产品名称</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CPMC</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填写确权登记等有关机构登记的产品名称，若无填写合同上的产品名称。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持有人账户名称</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CYRZHMC</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填写该持有人在确权登记等有关机构开立的持有人账户，若无则填写管理人自定义的持有人账户名称。若为自然人账户姓名，隐私，保险资产管理公司变形。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持有人账号</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CYRZH</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005017</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填写该持有人在确权登记等有关机构开立的持有人账号，若无则填写管理人自定义的持有人编号。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持有人账户所属人法定名称</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GL_CYRZHSSRFDMC</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所属人为机构的填写机构名称，保险产品、养老保障产品填写保险公司名称，企业年金或基本养老保险基金填写投资管理人全称，保险资管产品或其他资管产品填写产品管理人全称；账户所属人为自然人的，填写自然人姓名，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持有人账户所属人证件类型</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GL_CYRZHSSRZJLX</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持有人账户所属人证件类型，参照业务代码表《证件类型代码》，填报名称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持有人账户所属人证件号码</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GL_CYRZHSSRZJHM</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持有人账户所属人证件号码。当该号码属于自然人证件号码时，隐私，保险资产管理公司变形。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持有人账户所属人证件到期日</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GL_CYRZHSSRZJDQR</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持有人账户类型</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CYRZHLX</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枚举值为“法人和其他组织；非法人类产品；自然人”。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106"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持有人账户所属机构类型</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CYRZHSSJGLX</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“持有人账户类型”为“法人和其他组织”和“非法人类产品”时必填。参照业务代码表《机构类型代码》，填报名称。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55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非法人产品名称</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FFRCPMC</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“持有人账户类型”为“非法人类产品”时必填。填写产品名称，如 “传统不区分”，或“XX资管产品”。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非法人产品类型</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FFRCPLX</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005020</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“持有人账户类型”为“非法人类产品”时必填。参照业务代码表《产品类型代码》，填报名称。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持有份额起息日</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CYFEQXR</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持有人份额起息日期。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期末持有规模</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QMCYGM</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截止至报送前，持有人期末持有金额，单位：元。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持有产品级别</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CYCPJB</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参照业务代码表《产品分级类别代码》，填报名称。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持有人与标的企业关联关系</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CYRYBDQYGLGX</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005023</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参照业务代码表《关联方类型代码》，填报名称。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820" w:hRule="atLeast"/>
        </w:trPr>
        <w:tc>
          <w:tcPr>
            <w:tcW w:w="168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3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keepNext/>
        <w:keepLines/>
        <w:numPr>
          <w:ilvl w:val="1"/>
          <w:numId w:val="11"/>
        </w:numPr>
        <w:ind w:firstLineChars="0"/>
        <w:outlineLvl w:val="3"/>
        <w:rPr>
          <w:rFonts w:ascii="仿宋" w:hAnsi="仿宋" w:eastAsia="仿宋"/>
          <w:b/>
        </w:rPr>
      </w:pPr>
      <w:r>
        <w:rPr>
          <w:rFonts w:hint="eastAsia" w:ascii="仿宋" w:hAnsi="仿宋" w:eastAsia="仿宋"/>
          <w:b/>
        </w:rPr>
        <w:t>股权投资计划投资资产信息表</w:t>
      </w:r>
    </w:p>
    <w:tbl>
      <w:tblPr>
        <w:tblStyle w:val="25"/>
        <w:tblW w:w="8824" w:type="dxa"/>
        <w:tblInd w:w="0" w:type="dxa"/>
        <w:tblLayout w:type="fixed"/>
        <w:tblCellMar>
          <w:top w:w="0" w:type="dxa"/>
          <w:left w:w="108" w:type="dxa"/>
          <w:bottom w:w="0" w:type="dxa"/>
          <w:right w:w="108" w:type="dxa"/>
        </w:tblCellMar>
      </w:tblPr>
      <w:tblGrid>
        <w:gridCol w:w="1581"/>
        <w:gridCol w:w="1292"/>
        <w:gridCol w:w="948"/>
        <w:gridCol w:w="3540"/>
        <w:gridCol w:w="709"/>
        <w:gridCol w:w="754"/>
      </w:tblGrid>
      <w:tr>
        <w:tblPrEx>
          <w:tblCellMar>
            <w:top w:w="0" w:type="dxa"/>
            <w:left w:w="108" w:type="dxa"/>
            <w:bottom w:w="0" w:type="dxa"/>
            <w:right w:w="108" w:type="dxa"/>
          </w:tblCellMar>
        </w:tblPrEx>
        <w:trPr>
          <w:trHeight w:val="280" w:hRule="atLeast"/>
        </w:trPr>
        <w:tc>
          <w:tcPr>
            <w:tcW w:w="15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9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4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00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GQTZJHTZZCXXB</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股权投资计划投资资产信息表</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E0303</w:t>
            </w:r>
          </w:p>
        </w:tc>
        <w:tc>
          <w:tcPr>
            <w:tcW w:w="500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本表报送保险资产管理公司管理股权计划投资资产信息。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005002</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填写确权登记等有关机构登记的产品名称，若无填写合同上的产品名称。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产品代码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CPDM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填写确权登记等有关机构登记的产品代码，若无填写机构自定义代码。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投资资产类别</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TZZCLB</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005029</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填写投资资产类别。枚举值为“非上市企业股权；私募股权投资基金；创业投资基金；上市公司定向增发、大宗交易、协议转让的股票；可转换为普通股的优先股；可转换为普通股的可转换债券；其他”。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标的企业法定名称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GL_BDQYFDMC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“投资资产类别”为“非上市企业股权”时必填。</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标的企业证件类型</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GL_BDQYZJLX</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001019</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“投资资产类别”为“非上市企业股权”时必填。参照业务代码表《证件类型代码》，填报名称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标的企业证件号码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GL_BDQYZJHM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001018</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“投资资产类别”为“非上市企业股权”时必填。</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标的企业证件到期日</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GL_BDQYZJDQR</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标的企业证件到期日。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标的企业所属地区</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BDQYSSDQ</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001017</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投资资产类别”为“非上市企业股权”时必填。填写标的企业融资人注册地所属地区，参照业务代码表《行政区划代码》，境内地区至少精确到省、自治区、直辖市、特别行政区，应逐级填写完整地域名称，如“河北省石家庄市长安区”。如无法区分，填报“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标的企业所属行业</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BDQYSSHY</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001024</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“投资资产类别”为“非上市企业股权”时必填。</w:t>
            </w:r>
            <w:r>
              <w:rPr>
                <w:rFonts w:hint="eastAsia" w:ascii="宋体" w:hAnsi="宋体" w:eastAsia="宋体"/>
                <w:color w:val="000000"/>
                <w:sz w:val="21"/>
                <w:szCs w:val="21"/>
              </w:rPr>
              <w:br w:type="textWrapping"/>
            </w:r>
            <w:r>
              <w:rPr>
                <w:rFonts w:hint="eastAsia" w:ascii="宋体" w:hAnsi="宋体" w:eastAsia="宋体"/>
                <w:color w:val="000000"/>
                <w:sz w:val="21"/>
                <w:szCs w:val="21"/>
              </w:rPr>
              <w:t>参照业务代码表《行业类型代码》，例如：农业、林业等，填报名称。如无法区分，填报“不适用”。</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持股比例</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CGBL</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“投资资产类别”为“非上市企业股权”时必填。填写投资时点持股占比。填数字，不填百分比，最少保留两位小数，比如12.34%填写为12.34。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被投基金名称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BTJJMC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“投资资产类别”为“私募股权投资基金”、“创业投资基金”时必填，填写被投基金全称。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被投基金编号</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BTJJBH</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005019</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“投资资产类别”为“私募股权投资基金”、“创业投资基金”时必填，优先填写被投基金的中基协备案编号；如未备案，机构可自行定义。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基金组织形式</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JJZZXS</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005032</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填写被投基金组织形式。枚举值为“公司型；契约型；合伙型；其他”。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境内外标识</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JNWBS</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002017</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填报境内外标识。枚举值为“境内；境外”。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成立日期</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CLRQ</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以被投基金在有关部门登记注册的日期为准。如无法获取，以合同签署日期为准。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到期日期</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DQRQ</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以投资合同中到期日期为准。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普通合伙人法定名称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GL_PTHHRFDMC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“基金组织形式”为“合伙型”时必填。若为自然人，隐私，保险资产管理公司变形。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普通合伙人证件类型</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GL_PTHHRZJLX</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“基金组织形式”为“合伙型”时必填。参照业务代码表《证件类型代码》，填报名称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普通合伙人证件号码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GL_PTHHRZJHM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“基金组织形式”为“合伙型”时必填。若为自然人，隐私，保险资产管理公司变形。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普通合伙人证件到期日</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GL_PTHHRZJDQR</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普通合伙人证件到期日。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普通合伙人LEI编码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PTHHRLEIBM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001004</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填写普通合伙人识别编码。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被投基金管理人法定名称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GL_BTJJGLRFDMC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被投基金管理人全称。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被投基金管理人证件类型</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GL_BTJJGLRZJLX</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被投基金管理人证件号码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GL_BTJJGLRZJHM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被投基金管理人证件号码。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被投基金管理人证件到期日</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GL_BTJJGLRZJDQR</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被投基金管理人证件到期日。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基金管理人LEI编码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JJGLRLEIBM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001004</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填写被投基金管理人全球法人识别编码。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有限合伙人名称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YXHHRMC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001016</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有限合伙人名称全称。如有多个需列填，以英文分号“;”分隔。</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基金总规模</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JJZGM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“投资资产类别”为“私募股权投资基金”、“创业投资基金”时必填，以合同为准，单位：元。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基金认购份额比例</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JJRGFEBL</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“投资资产类别”为“私募股权投资基金”、“创业投资基金”时必填。投资时点基金认购份额比例，填数字，不填百分比，最少保留两位小数，比如12.34%填写为12.34。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投资方向</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TZFX</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005033</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“投资资产类别”为“私募股权投资基金”、“创业投资基金”时必填，填写投资方向。枚举值为“综合；先进制造；能源；建筑；交通；电子信息；金融；房地产；医疗健康；教育文化；其他”。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政策标签</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ZCBQ</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005024</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投资资产政策标签。参照业务代码表《政策标签代码》，填报名称。可多选，如存在多个标签，以“;”隔开。如为其他，需在备注里描述。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备注</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投资资产备注。</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spacing w:line="288" w:lineRule="auto"/>
        <w:ind w:firstLine="0" w:firstLineChars="0"/>
        <w:rPr>
          <w:rFonts w:ascii="Times New Roman" w:hAnsi="Times New Roman" w:eastAsia="宋体"/>
          <w:sz w:val="21"/>
        </w:rPr>
      </w:pPr>
    </w:p>
    <w:p>
      <w:pPr>
        <w:keepNext/>
        <w:keepLines/>
        <w:numPr>
          <w:ilvl w:val="1"/>
          <w:numId w:val="11"/>
        </w:numPr>
        <w:ind w:firstLineChars="0"/>
        <w:outlineLvl w:val="3"/>
        <w:rPr>
          <w:rFonts w:ascii="仿宋" w:hAnsi="仿宋" w:eastAsia="仿宋"/>
          <w:b/>
        </w:rPr>
      </w:pPr>
      <w:r>
        <w:rPr>
          <w:rFonts w:hint="eastAsia" w:ascii="仿宋" w:hAnsi="仿宋" w:eastAsia="仿宋"/>
          <w:b/>
        </w:rPr>
        <w:t>股权投资计划专业服务机构信息表</w:t>
      </w:r>
    </w:p>
    <w:tbl>
      <w:tblPr>
        <w:tblStyle w:val="25"/>
        <w:tblW w:w="8824" w:type="dxa"/>
        <w:tblInd w:w="0" w:type="dxa"/>
        <w:tblLayout w:type="fixed"/>
        <w:tblCellMar>
          <w:top w:w="0" w:type="dxa"/>
          <w:left w:w="108" w:type="dxa"/>
          <w:bottom w:w="0" w:type="dxa"/>
          <w:right w:w="108" w:type="dxa"/>
        </w:tblCellMar>
      </w:tblPr>
      <w:tblGrid>
        <w:gridCol w:w="1550"/>
        <w:gridCol w:w="1087"/>
        <w:gridCol w:w="897"/>
        <w:gridCol w:w="3897"/>
        <w:gridCol w:w="745"/>
        <w:gridCol w:w="648"/>
      </w:tblGrid>
      <w:tr>
        <w:tblPrEx>
          <w:tblCellMar>
            <w:top w:w="0" w:type="dxa"/>
            <w:left w:w="108" w:type="dxa"/>
            <w:bottom w:w="0" w:type="dxa"/>
            <w:right w:w="108" w:type="dxa"/>
          </w:tblCellMar>
        </w:tblPrEx>
        <w:trPr>
          <w:trHeight w:val="280" w:hRule="atLeast"/>
        </w:trPr>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08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9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90"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GQTZJHZYFWJGXXB</w:t>
            </w:r>
          </w:p>
        </w:tc>
        <w:tc>
          <w:tcPr>
            <w:tcW w:w="10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股权投资计划专业服务机构信息表</w:t>
            </w:r>
          </w:p>
        </w:tc>
        <w:tc>
          <w:tcPr>
            <w:tcW w:w="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E0304</w:t>
            </w:r>
          </w:p>
        </w:tc>
        <w:tc>
          <w:tcPr>
            <w:tcW w:w="5290"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本表报送保险资产管理公司管理股权计划相关专业服务机构信息，如法律顾问、财务顾问、投资顾问、评估机构等。</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0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0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0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7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0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填报保险许可证中的机构名称。</w:t>
            </w:r>
          </w:p>
        </w:tc>
        <w:tc>
          <w:tcPr>
            <w:tcW w:w="7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0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产品名称</w:t>
            </w:r>
          </w:p>
        </w:tc>
        <w:tc>
          <w:tcPr>
            <w:tcW w:w="10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CPMC</w:t>
            </w:r>
          </w:p>
        </w:tc>
        <w:tc>
          <w:tcPr>
            <w:tcW w:w="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005002</w:t>
            </w:r>
          </w:p>
        </w:tc>
        <w:tc>
          <w:tcPr>
            <w:tcW w:w="3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填写确权登记等有关机构登记的产品名称，若无填写合同上的产品名称。</w:t>
            </w:r>
          </w:p>
        </w:tc>
        <w:tc>
          <w:tcPr>
            <w:tcW w:w="7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0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005001</w:t>
            </w:r>
          </w:p>
        </w:tc>
        <w:tc>
          <w:tcPr>
            <w:tcW w:w="3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7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服务机构法定名称</w:t>
            </w:r>
          </w:p>
        </w:tc>
        <w:tc>
          <w:tcPr>
            <w:tcW w:w="10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GL_FWJGFDMC</w:t>
            </w:r>
          </w:p>
        </w:tc>
        <w:tc>
          <w:tcPr>
            <w:tcW w:w="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专业服务机构名称。</w:t>
            </w:r>
          </w:p>
        </w:tc>
        <w:tc>
          <w:tcPr>
            <w:tcW w:w="7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服务机构证件类型</w:t>
            </w:r>
          </w:p>
        </w:tc>
        <w:tc>
          <w:tcPr>
            <w:tcW w:w="10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GL_FWJGZJLX</w:t>
            </w:r>
          </w:p>
        </w:tc>
        <w:tc>
          <w:tcPr>
            <w:tcW w:w="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专业服务机构证件类型，参照业务代码表《证件类型代码》，填报名称 。</w:t>
            </w:r>
          </w:p>
        </w:tc>
        <w:tc>
          <w:tcPr>
            <w:tcW w:w="7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服务机构证件号码</w:t>
            </w:r>
          </w:p>
        </w:tc>
        <w:tc>
          <w:tcPr>
            <w:tcW w:w="10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GL_FWJGZJHM</w:t>
            </w:r>
          </w:p>
        </w:tc>
        <w:tc>
          <w:tcPr>
            <w:tcW w:w="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专业服务机构证件号码。</w:t>
            </w:r>
          </w:p>
        </w:tc>
        <w:tc>
          <w:tcPr>
            <w:tcW w:w="7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服务机构证件到期日</w:t>
            </w:r>
          </w:p>
        </w:tc>
        <w:tc>
          <w:tcPr>
            <w:tcW w:w="10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GL_FWJGZJDQR</w:t>
            </w:r>
          </w:p>
        </w:tc>
        <w:tc>
          <w:tcPr>
            <w:tcW w:w="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专业服务机构证件到期日。</w:t>
            </w:r>
          </w:p>
        </w:tc>
        <w:tc>
          <w:tcPr>
            <w:tcW w:w="7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服务内容描述</w:t>
            </w:r>
          </w:p>
        </w:tc>
        <w:tc>
          <w:tcPr>
            <w:tcW w:w="10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FWNRMS</w:t>
            </w:r>
          </w:p>
        </w:tc>
        <w:tc>
          <w:tcPr>
            <w:tcW w:w="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填写机构服务内容。</w:t>
            </w:r>
          </w:p>
        </w:tc>
        <w:tc>
          <w:tcPr>
            <w:tcW w:w="7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0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89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pStyle w:val="4"/>
        <w:numPr>
          <w:ilvl w:val="0"/>
          <w:numId w:val="8"/>
        </w:numPr>
        <w:tabs>
          <w:tab w:val="left" w:pos="709"/>
          <w:tab w:val="left" w:pos="993"/>
        </w:tabs>
        <w:rPr>
          <w:b w:val="0"/>
        </w:rPr>
      </w:pPr>
      <w:bookmarkStart w:id="567" w:name="_Toc10869"/>
      <w:bookmarkStart w:id="568" w:name="_Toc3006"/>
      <w:bookmarkStart w:id="569" w:name="_Toc25582"/>
      <w:bookmarkStart w:id="570" w:name="_Toc73958594"/>
      <w:bookmarkStart w:id="571" w:name="_Toc2042"/>
      <w:bookmarkStart w:id="572" w:name="_Toc30910"/>
      <w:bookmarkStart w:id="573" w:name="_Toc3486"/>
      <w:r>
        <w:rPr>
          <w:rFonts w:hint="eastAsia" w:ascii="仿宋" w:hAnsi="仿宋" w:eastAsia="仿宋"/>
        </w:rPr>
        <w:t>组合类保险资产管理产品</w:t>
      </w:r>
      <w:bookmarkEnd w:id="567"/>
      <w:bookmarkEnd w:id="568"/>
      <w:bookmarkEnd w:id="569"/>
      <w:bookmarkEnd w:id="570"/>
      <w:bookmarkEnd w:id="571"/>
      <w:bookmarkEnd w:id="572"/>
      <w:bookmarkEnd w:id="573"/>
    </w:p>
    <w:p>
      <w:pPr>
        <w:keepNext/>
        <w:keepLines/>
        <w:numPr>
          <w:ilvl w:val="1"/>
          <w:numId w:val="11"/>
        </w:numPr>
        <w:ind w:firstLineChars="0"/>
        <w:outlineLvl w:val="3"/>
        <w:rPr>
          <w:rFonts w:ascii="仿宋" w:hAnsi="仿宋" w:eastAsia="仿宋"/>
          <w:b/>
        </w:rPr>
      </w:pPr>
      <w:r>
        <w:rPr>
          <w:rFonts w:hint="eastAsia" w:ascii="仿宋" w:hAnsi="仿宋" w:eastAsia="仿宋"/>
          <w:b/>
        </w:rPr>
        <w:t>组合类产品基本信息表</w:t>
      </w:r>
    </w:p>
    <w:tbl>
      <w:tblPr>
        <w:tblStyle w:val="25"/>
        <w:tblW w:w="8824" w:type="dxa"/>
        <w:tblInd w:w="0" w:type="dxa"/>
        <w:tblLayout w:type="fixed"/>
        <w:tblCellMar>
          <w:top w:w="0" w:type="dxa"/>
          <w:left w:w="108" w:type="dxa"/>
          <w:bottom w:w="0" w:type="dxa"/>
          <w:right w:w="108" w:type="dxa"/>
        </w:tblCellMar>
      </w:tblPr>
      <w:tblGrid>
        <w:gridCol w:w="1606"/>
        <w:gridCol w:w="1786"/>
        <w:gridCol w:w="1276"/>
        <w:gridCol w:w="2834"/>
        <w:gridCol w:w="655"/>
        <w:gridCol w:w="667"/>
      </w:tblGrid>
      <w:tr>
        <w:tblPrEx>
          <w:tblCellMar>
            <w:top w:w="0" w:type="dxa"/>
            <w:left w:w="108" w:type="dxa"/>
            <w:bottom w:w="0" w:type="dxa"/>
            <w:right w:w="108" w:type="dxa"/>
          </w:tblCellMar>
        </w:tblPrEx>
        <w:trPr>
          <w:trHeight w:val="280" w:hRule="atLeast"/>
        </w:trPr>
        <w:tc>
          <w:tcPr>
            <w:tcW w:w="160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78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127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15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ZHLCPJBXXB</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组合类产品基本信息表</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E0401</w:t>
            </w:r>
          </w:p>
        </w:tc>
        <w:tc>
          <w:tcPr>
            <w:tcW w:w="415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本表报送保险资产管理公司管理组合类产品基本信息。</w:t>
            </w:r>
          </w:p>
        </w:tc>
      </w:tr>
      <w:tr>
        <w:tblPrEx>
          <w:tblCellMar>
            <w:top w:w="0" w:type="dxa"/>
            <w:left w:w="108" w:type="dxa"/>
            <w:bottom w:w="0" w:type="dxa"/>
            <w:right w:w="108" w:type="dxa"/>
          </w:tblCellMar>
        </w:tblPrEx>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账户代码</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ZHDM</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002020</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产品账户代码，应与机构内部使用账户代码一致。如机构内部无相应代码，可自行定义，但需具有唯一性。</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账户名称</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ZHMC</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产品账户名称，应与机构内部使用账户名称一致。如机构内部无相应名称，可自行定义，但需具有唯一性。</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55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产品名称</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CPMC</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005002</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填写确权登记等有关机构登记的产品名称，若无填写合同上的产品名称。</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005001</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托管机构名称</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TGJGMC</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填写产品托管机构名称。</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托管机构代码</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TGJGDM</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精确至分支机构。境内法人机构填写统一社会信用代码。境外法人机构则填写企业注册码、税务号等有效代码。如无上述代码，机构可自行定义。</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投资经理姓名</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TZJLXM</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001016</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如有多位投资经理，需用英文分号“;”隔开。</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产品类型</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CPLX</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005004</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产品类型。枚举值为“固定收益类；权益类；商品及金融衍生品类；混合类”。根据合同约定的投资范围判定：固定收益类产品投资于债权类资产的比例不低于80%，权益类产品投资于权益类资产的比例不低于80%，商品及金融衍生品类产品投资于商品及金融衍生品的比例不低于80%，混合类产品投资于债权类资产、权益类资产、商品及金融衍生品类资产且任一资产的投资比例未达到前三类产品标准。</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投资范围</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TZFW</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产品合同约定的投资范围及各类标的投资比例范围。</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管理方式</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GLFS</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005062</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枚举值为“定向；集合”。</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63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是否含权益类投资</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SFHQYLTZ</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根据产品合同约定的投资范围，产品是否可投资权益类资产。固定收益类产品必填。枚举值为“是；否”。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是否允许向自然人投资人销售</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SFYXXZRRTZRXS</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根据产品合同约定的投资人范围填报。枚举值为“是；否”。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是否允许向保险资金销售</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SFYXXBXZJXS</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根据产品合同约定的投资人范围填报。枚举值为“是；否”。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运行方式</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YXFS</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005037</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枚举值为“开放式；封闭式”。</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开放式产品的开放周期</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KFSCPDKFZQ</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”运行方式“为“开放式产品”时必填。枚举值为“每日；每周；每月；每季；每半年；每年；其他周期；不定期开放”。</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结构化属性</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JGHSX</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填写结构化属性。枚举值为“分级；非分级”。</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分级比例</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FJBL</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”结构化属性“为“分级”时必填。分级比例=优先级份额数/劣后级份额数，填数字，不填百分比，最少保留两位小数，比如12.34%填写为12.34。产品若存在中间级，并入优先级计算。</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是否货币市场类</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SFHBSCL</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投资于货币市场工具、以短期流动性管理为目的。枚举值为“是；否”。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是否MOM型产品</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SFMOMXCP</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是否FOF型产品</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SFFOFXCP</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分红方式</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FHFS</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005039</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可多选，以英文分号“;”分隔。枚举值为“不分配；现金分红；红利再投；其他”。</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是否采用摊余成本法估值</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SFCYTYCBFGZ</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管理费形式</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GLFXS</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005061</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枚举值为“固定费率；固定费用；浮动费率；其他费率”。</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管理费率</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GLFL</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填写年化费率，填数字，不填百分比，最少保留四位小数，比如12.34%填写为0.1234。如无法计算管理费率，选填“99999”。</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55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管理费描述</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GLFMS</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按产品合同约定的管理费情况填写。</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托管费率</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TGFL</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填写年化费率，填数字，不填百分比，最少保留四位小数，比如12.34%填写为0.1234。如无具体费率选填“99999”。</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是否存在投资顾问</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SFCZTZGW</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投资顾问法定名称</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GL_TZGWFDFDMC</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“是否存在投资顾问”为“是”时必填。投资顾问法定名称。若为自然人，隐私，保险资产管理公司变形。</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投资顾问证件类型</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GL_TZGWFDZJLX</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“是否存在投资顾问”为“是”时必填。投资顾问证件类型，参照业务代码表《证件类型代码》，填报名称 。</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投资顾问证件号码</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GL_TZGWFDZJHM</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“是否存在投资顾问”为“是”时必填。投资顾问证件号码。若为自然人，隐私，保险资产管理公司变形。</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投资顾问证件到期日</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GL_TZGWFDZJDQR</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投资顾问证件到期日。</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8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投资顾问类型</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TZGWLX</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005040</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“是否存在投资顾问”为“是”时必填。枚举值为“保险资产管理公司；证券公司；基金管理公司；商业银行及其理财子公司 ；信托公司；证券公司子公司；基金子公司 ；期货公司及其子公司；私募基金管理公司；互联网机构 ；其它机构”。</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54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投资顾问费率</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TZGWFL</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“是否存在投资顾问”为“是”时必填。填写年化费率，填数字，不填百分比，最少保留四位小数，比如12.34%填写为0.1234。</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投资顾问费率描述</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TZGWFLMS</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“是否存在投资顾问”为“是”时必填。按产品合同约定的非固定费率部分填写，不带百分号，按小数形式填写。</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是否存在代销机构</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SFCZDXJG</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产品登记日期</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CPDJRQ</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产品在注册登记机构获得产品标识码的日期。取得产品登记编码的产品必填，以获取日期为准。</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产品成立日期</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CPCLRQ</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产品正式成立的日期。</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产品预计终止日期</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CPYJZZRQ</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“运行方式”为“封闭式”时必填。填写产品预计终止的日期。</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产品最近开放日</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CPZJKFR</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自报送期末起算，产品未来最近一个开放日期，开放式产品应填写（不定期开放产品如不确定最近开放日，可不填）。</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初始募集金额</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CSMJJE</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单位：元，小数点后保留两位有效数字。如为外币，应折算成人民币计算。</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初始募集份额</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CSMJFE</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单位：份，小数点后保留两位有效数字。非净值型产品视作1元/份，份额与金额数据一致。</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是否为净值型产品</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SFWJZXCP</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是否处于开放期</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SFCYKFQ</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“运行方式”为“开放式”时必填。填写产品报送期末是否处于开放期。枚举值为“是；否”。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54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面值</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MZ</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单位：元/份，小数点后保留四位有效数字；如为外币，应折算成人民币计算。</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期末单位净值</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QMDWJZ</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单位：元/份，小数点后保留四位有效数字。如“是否为净值型产品”选择“是”，则必须填写；如为外币，应折算成人民币计算。</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期末累计单位净值</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QMLJDWJZ</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单位：元/份，小数点后保留四位有效数字。如“是否为净值型产品”选择“是”，则必须填写；如为外币，应折算成人民币计算。</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期末净资产余额</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QMJZCYE</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单位：元，小数点后保留两位有效数字。如为外币，应折算成人民币计算。</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期末总资产余额</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QMZZCYE</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单位：元，小数点后保留两位有效数字。如为外币，应折算成人民币计算。</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期末产品份额</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QMCPFE</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单位：份，小数点后保留两位有效数字。非净值型产品视作1元/份。</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累计申购金额</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LJSGJE</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单位：元，小数点后保留两位有效数字。产品成立以来投资者累计申购金额总和，不包括初始募集（认购）金额；封闭式产品行权登记时，最终确认的累计申购金额总和。</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累计申购份额</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LJSGFE</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单位：份，小数点后保留两位有效数字。产品成立以来投资者累计申购份额总和，不包括初始募集（认购）金额；封闭式产品行权登记时，最终确认的累计申购份额总和。非净值型产品视作1元/份。</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54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累计赎回金额</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LJSHJE</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单位：元，小数点后保留两位有效数字。产品成立以来投资者累计赎回金额总和；封闭式产品行权登记时，投资者累计赎回金额总和。</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81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累计赎回份额</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LJSHFE</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单位：份，小数点后保留两位有效数字。产品成立以来投资者累计赎回份额总和；封闭式产品行权登记时，投资者累计赎回份额总和。非净值型产品视作1元/份。</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累计分红金额</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LJFHJE</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产品成立以来累计分红金额。单位：元，小数点后保留两位有效数字。</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预期收益型产品、万份收益型产品今年以来收益率</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YQSYXCPWFSYXCPJNYLSYL</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预期收益型产品、万份收益型产品填写。填写年化收益率，填数字，不填百分比，最少保留四位小数，比如12.34%填写为0.1234。</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业绩比较基准</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YJBJJZ</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根据年初以来产品合同约定的业绩比较基准填写。不带百分号，按小数形式填写，小数点后保留四位有效数字，如0.0432。</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业绩比较基准描述</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YJBJJZMS</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未确定业绩比较基准，填写“无”。</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期末杠杆比率</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QMGGBL</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杠杆比率=总资产余额/净资产余额。填数字，不填百分比，最少保留两位小数，比如12.34%填写为12.34。</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本期是否发生巨额赎回</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BQSFFSJESH</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枚举值为“是；否”。填写本报送期间内是否发生产品合同约定的巨额/大额赎回情况。</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情况说明</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QKSM</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“本期是否发生巨额/大额赎回”为“是”时必填。填写情况说明。</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产品终止状态</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CPZZZT</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005041</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枚举值为“本报告期未终止；已终止并处于清算中；本报告期清算完毕；产品终止，因资产无法变现或回款，无法按预期清算”。本期完成清算的产品，在本期报送终止信息，下期无需报送该产品。</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产品实际终止日期</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CPSJZZRQ</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“产品终止状态”为“已终止并处于清算中”、“本报告期清算完毕”或“产品终止，因资产无法变现或回款，无法按预期清算”时必填。填报产品终止运作、进入清算的日期。</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产品清算规模</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CPQSGM</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单位：元，小数点后保留两位有效数字。“产品终止状态”为“已终止并处于清算中”、“本报告期清算完毕”则必填。</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产品清算结束日</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CPQSJSR</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“产品终止状态”为“本报告期清算完毕”时必填。填写产品清算实际结束日。</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清算特殊情况说明</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QSTSQKSM</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“产品终止状态”为“产品终止，因资产无法变现或回款，无法按预期清算”时必填。</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6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7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组合类产品持有人明细表</w:t>
      </w:r>
    </w:p>
    <w:tbl>
      <w:tblPr>
        <w:tblStyle w:val="25"/>
        <w:tblW w:w="8824" w:type="dxa"/>
        <w:tblInd w:w="0" w:type="dxa"/>
        <w:tblLayout w:type="fixed"/>
        <w:tblCellMar>
          <w:top w:w="0" w:type="dxa"/>
          <w:left w:w="108" w:type="dxa"/>
          <w:bottom w:w="0" w:type="dxa"/>
          <w:right w:w="108" w:type="dxa"/>
        </w:tblCellMar>
      </w:tblPr>
      <w:tblGrid>
        <w:gridCol w:w="1371"/>
        <w:gridCol w:w="1686"/>
        <w:gridCol w:w="1044"/>
        <w:gridCol w:w="3260"/>
        <w:gridCol w:w="709"/>
        <w:gridCol w:w="754"/>
      </w:tblGrid>
      <w:tr>
        <w:trPr>
          <w:trHeight w:val="280" w:hRule="atLeast"/>
        </w:trPr>
        <w:tc>
          <w:tcPr>
            <w:tcW w:w="137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68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104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72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ZHLCPCYRMXB</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组合类产品持有人明细表</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E0402</w:t>
            </w:r>
          </w:p>
        </w:tc>
        <w:tc>
          <w:tcPr>
            <w:tcW w:w="472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本表报送保险资产管理公司管理组合类产品持有人及变动情况信息。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产品名称</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CPMC</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填写确权登记等有关机构登记的产品名称，若无填写合同上的产品名称。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持有人账户名称</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CYRZHMC</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填写该持有人在确权登记等有关机构开立的持有人账户，若无则填写管理人自定义的持有人账户名称。若为自然人账户姓名，隐私，保险资产管理公司变形。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持有人账号</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CYRZH</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005017</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填写该持有人在确权登记等有关机构开立的持有人账号，若无则填写管理人自定义的持有人编号。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10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持有人账户所属人法定名称</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GL_CYRZHSSRFDMC</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所属人为机构的填写机构名称，保险产品、养老保障产品填写保险公司名称，企业年金或基本养老保险基金填写投资管理人全称，保险资管产品或其他资管产品填写产品管理人全称；账户所属人为自然人的，填写自然人姓名，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持有人账户所属人证件类型</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GL_CYRZHSSRZJLX</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持有人账户所属人证件类型，参照业务代码表《证件类型代码》，填报名称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持有人账户所属人证件号码</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GL_CYRZHSSRZJHM</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持有人账户所属人证件号码。当该号码属于自然人证件号码时，隐私，保险资产管理公司变形。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546"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持有人账户所属人证件到期日</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GL_CYRZHSSRZJDQR</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持有人账户类型</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CYRZHLX</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枚举值为“法人和其他组织；非法人类产品；自然人”。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持有人账户所属机构类型</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CYRZHSSJGLX</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“持有人账户类型”为“法人和其他组织”和“非法人类产品”时必填。参照业务代码表《机构类型代码》，填报名称。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非法人产品名称</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FFRCPMC</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“持有人账户类型”为“非法人类产品”时必填。填写产品名称，如 “传统不区分”，或“XX资管产品”。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非法人产品类型</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FFRCPLX</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005020</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“持有人账户类型”为“非法人类产品”时必填。参照业务代码表《产品类型代码》，填报名称。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是否与产品管理人存在关联关系</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SFYCPGLRCZGLGX</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与管理人关系</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YGLRGX</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005043</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枚举值为“管理人自有资金；管理人发行产品；管理人关联保险公司（包括保险集团/控股公司、人身险、财产险公司等）；其他关联方；非关联方”。</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期末持有规模</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QMCYGM</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单位：元，小数点后保留两位有效数字。</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期末持有份额</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QMCYFE</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单位：份。</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持有产品级别</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CYCPJB</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参照业务代码表《产品分级类别代码》，填报名称。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68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10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numPr>
          <w:ilvl w:val="0"/>
          <w:numId w:val="8"/>
        </w:numPr>
        <w:tabs>
          <w:tab w:val="left" w:pos="709"/>
          <w:tab w:val="left" w:pos="993"/>
        </w:tabs>
        <w:rPr>
          <w:rFonts w:ascii="仿宋" w:hAnsi="仿宋" w:eastAsia="仿宋"/>
        </w:rPr>
      </w:pPr>
      <w:bookmarkStart w:id="574" w:name="_Toc73958595"/>
      <w:bookmarkStart w:id="575" w:name="_Toc19185"/>
      <w:bookmarkStart w:id="576" w:name="_Toc14857"/>
      <w:bookmarkStart w:id="577" w:name="_Toc12194"/>
      <w:bookmarkStart w:id="578" w:name="_Toc16330"/>
      <w:bookmarkStart w:id="579" w:name="_Toc27903"/>
      <w:bookmarkStart w:id="580" w:name="_Toc5525"/>
      <w:r>
        <w:rPr>
          <w:rFonts w:hint="eastAsia" w:ascii="仿宋" w:hAnsi="仿宋" w:eastAsia="仿宋"/>
        </w:rPr>
        <w:t>资产支持计划</w:t>
      </w:r>
      <w:bookmarkEnd w:id="574"/>
      <w:bookmarkEnd w:id="575"/>
      <w:bookmarkEnd w:id="576"/>
      <w:bookmarkEnd w:id="577"/>
      <w:bookmarkEnd w:id="578"/>
      <w:bookmarkEnd w:id="579"/>
      <w:bookmarkEnd w:id="580"/>
    </w:p>
    <w:p>
      <w:pPr>
        <w:keepNext/>
        <w:keepLines/>
        <w:numPr>
          <w:ilvl w:val="1"/>
          <w:numId w:val="11"/>
        </w:numPr>
        <w:ind w:firstLineChars="0"/>
        <w:outlineLvl w:val="3"/>
        <w:rPr>
          <w:rFonts w:ascii="仿宋" w:hAnsi="仿宋" w:eastAsia="仿宋"/>
          <w:b/>
        </w:rPr>
      </w:pPr>
      <w:bookmarkStart w:id="581" w:name="_Toc57479431"/>
      <w:bookmarkStart w:id="582" w:name="_Toc57495046"/>
      <w:r>
        <w:rPr>
          <w:rFonts w:hint="eastAsia" w:ascii="仿宋" w:hAnsi="仿宋" w:eastAsia="仿宋"/>
          <w:b/>
        </w:rPr>
        <w:t>资产支持计划产品基本信息表</w:t>
      </w:r>
    </w:p>
    <w:tbl>
      <w:tblPr>
        <w:tblStyle w:val="25"/>
        <w:tblW w:w="8824" w:type="dxa"/>
        <w:tblInd w:w="0" w:type="dxa"/>
        <w:tblLayout w:type="fixed"/>
        <w:tblCellMar>
          <w:top w:w="0" w:type="dxa"/>
          <w:left w:w="108" w:type="dxa"/>
          <w:bottom w:w="0" w:type="dxa"/>
          <w:right w:w="108" w:type="dxa"/>
        </w:tblCellMar>
      </w:tblPr>
      <w:tblGrid>
        <w:gridCol w:w="1581"/>
        <w:gridCol w:w="1371"/>
        <w:gridCol w:w="1008"/>
        <w:gridCol w:w="3403"/>
        <w:gridCol w:w="709"/>
        <w:gridCol w:w="752"/>
      </w:tblGrid>
      <w:tr>
        <w:tblPrEx>
          <w:tblCellMar>
            <w:top w:w="0" w:type="dxa"/>
            <w:left w:w="108" w:type="dxa"/>
            <w:bottom w:w="0" w:type="dxa"/>
            <w:right w:w="108" w:type="dxa"/>
          </w:tblCellMar>
        </w:tblPrEx>
        <w:trPr>
          <w:trHeight w:val="280" w:hRule="atLeast"/>
        </w:trPr>
        <w:tc>
          <w:tcPr>
            <w:tcW w:w="15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7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100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ZCZCJHCPJBXXB</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资产支持计划产品基本信息表</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E0501</w:t>
            </w:r>
          </w:p>
        </w:tc>
        <w:tc>
          <w:tcPr>
            <w:tcW w:w="486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本表报送保险资产管理公司管理资产支持计划产品基本信息。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账户代码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ZHDM</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002020</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产品账户代码，应具有唯一标识。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账户名称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ZHMC</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产品账户名称。填写规则：按照合同中约定的账户名称全称填列。</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CPMC</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填写确权登记等有关机构登记的产品名称，若无填写合同上的产品名称。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CPDM</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填写确权登记等有关机构登记的产品代码，若无填写机构自定义代码。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注册登记编号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ZCDJBH</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注册登记编号。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注册日期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HZRQ</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产品注册日期。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注册发行规模</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HZFXGM</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产品注册的发行规模，单位：元。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CPLX</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005035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产品类别。</w:t>
            </w:r>
            <w:r>
              <w:rPr>
                <w:rFonts w:hint="eastAsia" w:ascii="宋体" w:hAnsi="宋体" w:eastAsia="宋体"/>
                <w:color w:val="000000"/>
                <w:sz w:val="21"/>
                <w:szCs w:val="21"/>
              </w:rPr>
              <w:br w:type="textWrapping"/>
            </w:r>
            <w:r>
              <w:rPr>
                <w:rFonts w:hint="eastAsia" w:ascii="宋体" w:hAnsi="宋体" w:eastAsia="宋体"/>
                <w:color w:val="000000"/>
                <w:sz w:val="21"/>
                <w:szCs w:val="21"/>
              </w:rPr>
              <w:t>枚举值为“股权类；收益类；债权类；其他”。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产品期限</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CPQX</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005006</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产品合同约定期限，如为含权产品请填写最大期限；如为永续产品选填"99999”。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期限单位</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QXDW</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产品期限单位。枚举值为“日；月；年”。</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托管人法定名称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GL_TGRFDMC</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托管人法定名称。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托管人证件类型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GL_TGRZJLX</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托管人证件类型，参照业务代码表《证件类型代码》，填报名称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托管人证件号码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GL_TGRZJHM</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托管人证件号码。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托管人证件到期日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GL_TGRZJDQR</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托管人证件到期日。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成立日期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CLRQ</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产品成立日期。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存续规模</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CXGM</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产品存续规模，单位：元。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面值币种</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MZBZ</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参照业务代码表《币种代码》，填写代码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资金用途</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ZJYT</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按合同确认的资金用途范围。</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投资收益率形式</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TZSYLXS</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枚举值为“浮动；固定；其他”。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投资收益率</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TZSYL</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“投资收益率形式”为“固定”时必填。填数字，不填百分比，最少保留四位小数，比如12.34%填写为0.1234。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投资收益率描述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TZSYLMS</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“投资收益率形式”为“浮动”或“其他”时必填。</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融资人法定名称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GL_RZRFDMC</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融资人法定名称。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融资人证件类型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GL_RZRZJLX</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融资人证件类型，参照业务代码表《证件类型代码》，填报名称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融资人证件号码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GL_RZRZJHM</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融资人证件号码。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融资人证件到期日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GL_RZRZJDQR</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融资人证件到期日。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融资人所属地区</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RZRSSDQ</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参照业务代码表《行政区划代码》，境内地区至少精确到省、自治区、直辖市、特别行政区，应逐级填写完整地域名称，如“河北省石家庄市长安区”。如无法区分，填报“其他”。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融资人与受托人关联关系</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RZRYSTRGLGX</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参照业务代码表《关联方类型代码》，填报名称。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政策标签</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ZCBQ</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005024</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参照业务代码表《政策标签代码》，填报名称。可多选，如存在多个标签，以“;”隔开。</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融资人所属行业</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RZRSSHY</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001024</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参照业务代码表《行业类型代码》，例如：农业、林业等，填报名称。如无法区分，填报“不适用”。</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管理费形式</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GLFXS</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005061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枚举值为“固定费率；固定费用；浮动费率；其他费率”。</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管理费率</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GLFL</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填写年化费率，填数字，不填百分比，最少保留四位小数，比如12.34%填写为0.1234。如无法计算管理费率，选填“99999”。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管理费描述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GLFMS</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按产品合同约定的管理费情况填写。</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托管费率</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TGFL</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填写年化托管费率，填数字，不填百分比，最少保留四位小数，比如12.34%填写为0.1234。如无具体费率选填“99999”。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托管费描述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TGFMS</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“托管费率”为“99999”时必填。</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资金监管费率</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ZJJGFL</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填写年化资金监管费率，填数字，不填百分比，最少保留四位小数，比如12.34%填写为0.1234。如无具体费率选填“99999”。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资金监管费描述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ZJJGFMS</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“资金监管费率”为“99999”时必填。</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资产服务费率</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ZCFWFL</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填写年化独立监督费率，填数字，不填百分比，最少保留四位小数，比如12.34%填写为0.1234。如无具体费率选填“99999”。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资产服务费描述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ZCFWFMS</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“独立监督费率”为“99999”时必填。</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存续状态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CXZT</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005016</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枚举值为“存续；到期终止；提前终止 ；行权展期；主动延期 ；被动延期；实质违约”。</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终止日期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ZZRQ</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产品终止日期。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首次延期日期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SCYQRQ</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产品首次延期日期。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延期偿还的本息合计</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YQCHDBXHJ</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截至本报送期末，发行人或融资主体延期偿还（未偿还）的本息合计，单位：元。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延期偿还的本金余额</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YQCHDBJYE</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截至本报送期末，发行人或融资主体延期偿还（未偿还）的本金余额，单位：元。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延期偿还的利息余额</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YQCHDLXYE</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003012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截至本报送期末，发行人或融资主体延期偿还（未偿还）的利息余额，单位：元。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违约本息合计</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WYBXHJ</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产生违约金总额，单位：元。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违约本金余额</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WYBJYE</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截至本报送期末，发行人或融资主体发生违约的本金，单位：元。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违约利息余额</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WYLXYE</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003012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截至本报送期末，发行人或融资主体发生违约的利息，单位：元。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违约发生日期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WYFSRQ</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产品违约情况发生日期。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资产支持计划产品分级信息表</w:t>
      </w:r>
    </w:p>
    <w:tbl>
      <w:tblPr>
        <w:tblStyle w:val="25"/>
        <w:tblW w:w="8824" w:type="dxa"/>
        <w:tblInd w:w="0" w:type="dxa"/>
        <w:tblLayout w:type="fixed"/>
        <w:tblCellMar>
          <w:top w:w="0" w:type="dxa"/>
          <w:left w:w="108" w:type="dxa"/>
          <w:bottom w:w="0" w:type="dxa"/>
          <w:right w:w="108" w:type="dxa"/>
        </w:tblCellMar>
      </w:tblPr>
      <w:tblGrid>
        <w:gridCol w:w="1581"/>
        <w:gridCol w:w="1292"/>
        <w:gridCol w:w="948"/>
        <w:gridCol w:w="3540"/>
        <w:gridCol w:w="709"/>
        <w:gridCol w:w="754"/>
      </w:tblGrid>
      <w:tr>
        <w:tblPrEx>
          <w:tblCellMar>
            <w:top w:w="0" w:type="dxa"/>
            <w:left w:w="108" w:type="dxa"/>
            <w:bottom w:w="0" w:type="dxa"/>
            <w:right w:w="108" w:type="dxa"/>
          </w:tblCellMar>
        </w:tblPrEx>
        <w:trPr>
          <w:trHeight w:val="280" w:hRule="atLeast"/>
        </w:trPr>
        <w:tc>
          <w:tcPr>
            <w:tcW w:w="15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9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4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00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ZCZCJHCPFJXXB</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资产支持计划产品分级信息表</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E0502</w:t>
            </w:r>
          </w:p>
        </w:tc>
        <w:tc>
          <w:tcPr>
            <w:tcW w:w="500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本表报送保险资产管理公司管理资产支持计划分级产品信息。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005002</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填写确权登记等有关机构登记的产品名称，若无填写合同上的产品名称。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所属分级</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SSFJ</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参照业务代码表《产品分级类别代码》，填报名称。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级别细分</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JBXF</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当同一分级中存在进一步分级情况时，请文字描述具体所属级别，例如：优先A-1、优先A-2等。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本级存续规模</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BJCXGM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以报送时点计算，本级存续规模，单位：元。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本级比例</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BJBL</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本级所占比例，填数字，不填百分比，最少保留两位小数，比如12.34%填写为12.34，如无分级情况填写1。</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产品份额起息日</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CPFEQXR</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产品募集份额起息日期。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是否含权</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SFHQ</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含权结构</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HQJG</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005008</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“是否含权”为“是”时必填。</w:t>
            </w:r>
            <w:r>
              <w:rPr>
                <w:rFonts w:hint="eastAsia" w:ascii="宋体" w:hAnsi="宋体" w:eastAsia="宋体"/>
                <w:color w:val="000000"/>
                <w:sz w:val="21"/>
                <w:szCs w:val="21"/>
              </w:rPr>
              <w:br w:type="textWrapping"/>
            </w:r>
            <w:r>
              <w:rPr>
                <w:rFonts w:hint="eastAsia" w:ascii="宋体" w:hAnsi="宋体" w:eastAsia="宋体"/>
                <w:color w:val="000000"/>
                <w:sz w:val="21"/>
                <w:szCs w:val="21"/>
              </w:rPr>
              <w:t>描述含权期限结构，例如：a+b、a+b+c。</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选择权类型</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XZQLX</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005009</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“是否含权”为“是”时必填。</w:t>
            </w:r>
            <w:r>
              <w:rPr>
                <w:rFonts w:hint="eastAsia" w:ascii="宋体" w:hAnsi="宋体" w:eastAsia="宋体"/>
                <w:color w:val="000000"/>
                <w:sz w:val="21"/>
                <w:szCs w:val="21"/>
              </w:rPr>
              <w:br w:type="textWrapping"/>
            </w:r>
            <w:r>
              <w:rPr>
                <w:rFonts w:hint="eastAsia" w:ascii="宋体" w:hAnsi="宋体" w:eastAsia="宋体"/>
                <w:color w:val="000000"/>
                <w:sz w:val="21"/>
                <w:szCs w:val="21"/>
              </w:rPr>
              <w:t>填写选择权类型，枚举值为“投资人选择权；融资人选择权；双向选择权”。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还本付息方式</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HBFXFS</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005010</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参照业务代码表《还本付息方式代码》，填报名称。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付息周期</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FXZQ</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枚举值为“按月；按季；按半年；按年；其他”。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内部增信</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NBZX</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005045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内部增信措施，可多选。</w:t>
            </w:r>
            <w:r>
              <w:rPr>
                <w:rFonts w:hint="eastAsia" w:ascii="宋体" w:hAnsi="宋体" w:eastAsia="宋体"/>
                <w:color w:val="000000"/>
                <w:sz w:val="21"/>
                <w:szCs w:val="21"/>
              </w:rPr>
              <w:br w:type="textWrapping"/>
            </w:r>
            <w:r>
              <w:rPr>
                <w:rFonts w:hint="eastAsia" w:ascii="宋体" w:hAnsi="宋体" w:eastAsia="宋体"/>
                <w:color w:val="000000"/>
                <w:sz w:val="21"/>
                <w:szCs w:val="21"/>
              </w:rPr>
              <w:t>枚举值为“无；分层；超额利差；超额覆盖；储备金账户；其他”。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内部增信描述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NBZXMS</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若涉及内部增信，请进行文字描述。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外部增信</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WBZX</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005046</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外部增信措施，可多选。</w:t>
            </w:r>
            <w:r>
              <w:rPr>
                <w:rFonts w:hint="eastAsia" w:ascii="宋体" w:hAnsi="宋体" w:eastAsia="宋体"/>
                <w:color w:val="000000"/>
                <w:sz w:val="21"/>
                <w:szCs w:val="21"/>
              </w:rPr>
              <w:br w:type="textWrapping"/>
            </w:r>
            <w:r>
              <w:rPr>
                <w:rFonts w:hint="eastAsia" w:ascii="宋体" w:hAnsi="宋体" w:eastAsia="宋体"/>
                <w:color w:val="000000"/>
                <w:sz w:val="21"/>
                <w:szCs w:val="21"/>
              </w:rPr>
              <w:t>枚举值为“无；差额支付承诺；流动性支持承诺；保证；抵押；质押；回售、赎回、优先收购承诺；维好承诺；利率互换；信用违约互换；其他”。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外部增信描述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WBZXMS</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若涉及外部增信，请文字描述。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外部增信机构</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WBZXJG</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若涉及外部增信，需提供外部增信机构名称。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受益人预期收益形式</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SYRYQSYXS</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005061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枚举值为“固定费率；固定费用；浮动费率；其他费率”。</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受益人预期收益率</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SYRYQSYL</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填写年化费率，填数字，不填百分比，最少保留四位小数，比如12.34%填写为0.1234。如无法计算预期收益率，选填“99999”。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受益人预期收益描述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SYRYQSYMS</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按产品合同约定的受益人预期收益率情况填写。</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资产支持计划持有人信息表</w:t>
      </w:r>
    </w:p>
    <w:tbl>
      <w:tblPr>
        <w:tblStyle w:val="25"/>
        <w:tblW w:w="8824" w:type="dxa"/>
        <w:tblInd w:w="0" w:type="dxa"/>
        <w:tblLayout w:type="fixed"/>
        <w:tblCellMar>
          <w:top w:w="0" w:type="dxa"/>
          <w:left w:w="108" w:type="dxa"/>
          <w:bottom w:w="0" w:type="dxa"/>
          <w:right w:w="108" w:type="dxa"/>
        </w:tblCellMar>
      </w:tblPr>
      <w:tblGrid>
        <w:gridCol w:w="1476"/>
        <w:gridCol w:w="1371"/>
        <w:gridCol w:w="850"/>
        <w:gridCol w:w="3664"/>
        <w:gridCol w:w="709"/>
        <w:gridCol w:w="754"/>
      </w:tblGrid>
      <w:tr>
        <w:tblPrEx>
          <w:tblCellMar>
            <w:top w:w="0" w:type="dxa"/>
            <w:left w:w="108" w:type="dxa"/>
            <w:bottom w:w="0" w:type="dxa"/>
            <w:right w:w="108" w:type="dxa"/>
          </w:tblCellMar>
        </w:tblPrEx>
        <w:trPr>
          <w:trHeight w:val="280" w:hRule="atLeast"/>
        </w:trPr>
        <w:tc>
          <w:tcPr>
            <w:tcW w:w="14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7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27"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ZCZCJHCYRXXB</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资产支持计划持有人信息表</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E0503</w:t>
            </w:r>
          </w:p>
        </w:tc>
        <w:tc>
          <w:tcPr>
            <w:tcW w:w="5127"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本表报送保险资产管理公司管理资产支持计划持有人及变动情况信息。</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CPMC</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005002</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填写确权登记等有关机构登记的产品名称，若无填写合同上的产品名称。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005001</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CYRZHMC</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填写该持有人在确权登记等有关机构开立的持有人账户，若无则填写管理人自定义的持有人账户名称。若为自然人账户姓名，隐私，保险资产管理公司变形。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CYRZH</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005017</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填写该持有人在确权登记等有关机构开立的持有人账号，若无则填写管理人自定义的持有人编号。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持有人账户所属人法定名称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GL_CYRZHSSRFDMC</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所属人为机构的填写机构名称，保险产品、养老保障产品填写保险公司名称，企业年金或基本养老保险基金填写投资管理人全称，保险资管产品或其他资管产品填写产品管理人全称；账户所属人为自然人的，填写自然人姓名，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GL_CYRZHSSRZJLX</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持有人账户所属人证件类型，参照业务代码表《证件类型代码》，填报名称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GL_CYRZHSSRZJHM</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持有人账户所属人证件号码。当该号码属于自然人证件号码时，隐私，保险资产管理公司变形。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持有人账户所属人证件到期日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GL_CYRZHSSRZJDQR</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持有人账户所属人证件到期日。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CYRZHLX</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005018</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枚举值为“法人和其他组织；非法人类产品；自然人”。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822"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持有人账户所属机构类型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CYRZHSSJGLX</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004002</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“持有人账户类型”为“法人和其他组织”和“非法人类产品”时必填。参照业务代码表《机构类型代码》，填报名称。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非法人产品名称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FFRCPMC</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“持有人账户类型”为“非法人类产品”时必填。填写产品名称，如 “传统不区分”，或“XX资管产品”。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非法人产品类型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FFRCPLX</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005020</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“持有人账户类型”为“非法人类产品”时必填。参照业务代码表《产品类型代码》，填报名称。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持有份额起息日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CYFEQXR</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持有人份额起息日期。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期末持有规模</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QMCYGM</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截止至报送前，持有人期末持有金额，单位：元。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持有产品级别</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CYCPJB</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如产品分级信息表中，有“级别细分”，此项填写细分级别。如产品分级信息表中，没有“级别细分”，此项填写“所属分级”中的分级类型。</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资产支持计划基础资产信息表</w:t>
      </w:r>
    </w:p>
    <w:tbl>
      <w:tblPr>
        <w:tblStyle w:val="25"/>
        <w:tblW w:w="8824" w:type="dxa"/>
        <w:tblInd w:w="0" w:type="dxa"/>
        <w:tblLayout w:type="fixed"/>
        <w:tblCellMar>
          <w:top w:w="0" w:type="dxa"/>
          <w:left w:w="108" w:type="dxa"/>
          <w:bottom w:w="0" w:type="dxa"/>
          <w:right w:w="108" w:type="dxa"/>
        </w:tblCellMar>
      </w:tblPr>
      <w:tblGrid>
        <w:gridCol w:w="1582"/>
        <w:gridCol w:w="2001"/>
        <w:gridCol w:w="944"/>
        <w:gridCol w:w="2834"/>
        <w:gridCol w:w="709"/>
        <w:gridCol w:w="754"/>
      </w:tblGrid>
      <w:tr>
        <w:tblPrEx>
          <w:tblCellMar>
            <w:top w:w="0" w:type="dxa"/>
            <w:left w:w="108" w:type="dxa"/>
            <w:bottom w:w="0" w:type="dxa"/>
            <w:right w:w="108" w:type="dxa"/>
          </w:tblCellMar>
        </w:tblPrEx>
        <w:trPr>
          <w:trHeight w:val="280" w:hRule="atLeast"/>
        </w:trPr>
        <w:tc>
          <w:tcPr>
            <w:tcW w:w="158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200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4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297"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ZCZCJHJCZCXXB</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资产支持计划基础资产信息表</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E0504</w:t>
            </w:r>
          </w:p>
        </w:tc>
        <w:tc>
          <w:tcPr>
            <w:tcW w:w="4297"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本表报送保险资产管理公司管理资产支持计划投资基础资产信息。</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产品名称</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CPMC</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005002</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填写确权登记等有关机构登记的产品名称，若无填写合同上的产品名称。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产品代码</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CPDM</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005001</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填写确权登记等有关机构登记的产品代码，若无填写机构自定义代码。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基础资产名称</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JCZCMC</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003008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基础资产全称。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基础资产编号</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JCZCBH</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001023</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机构自定义基础资产编号。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基础资产类别</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JCZCLB</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005031</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基础资产类别。</w:t>
            </w:r>
            <w:r>
              <w:rPr>
                <w:rFonts w:hint="eastAsia" w:ascii="宋体" w:hAnsi="宋体" w:eastAsia="宋体"/>
                <w:color w:val="000000"/>
                <w:sz w:val="21"/>
                <w:szCs w:val="21"/>
              </w:rPr>
              <w:br w:type="textWrapping"/>
            </w:r>
            <w:r>
              <w:rPr>
                <w:rFonts w:hint="eastAsia" w:ascii="宋体" w:hAnsi="宋体" w:eastAsia="宋体"/>
                <w:color w:val="000000"/>
                <w:sz w:val="21"/>
                <w:szCs w:val="21"/>
              </w:rPr>
              <w:t>枚举值为“单一项目；一组项目”。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基础资产类型</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JCZCLX</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005047</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基础资产类型。</w:t>
            </w:r>
            <w:r>
              <w:rPr>
                <w:rFonts w:hint="eastAsia" w:ascii="宋体" w:hAnsi="宋体" w:eastAsia="宋体"/>
                <w:color w:val="000000"/>
                <w:sz w:val="21"/>
                <w:szCs w:val="21"/>
              </w:rPr>
              <w:br w:type="textWrapping"/>
            </w:r>
            <w:r>
              <w:rPr>
                <w:rFonts w:hint="eastAsia" w:ascii="宋体" w:hAnsi="宋体" w:eastAsia="宋体"/>
                <w:color w:val="000000"/>
                <w:sz w:val="21"/>
                <w:szCs w:val="21"/>
              </w:rPr>
              <w:t>枚举值为“融资租赁；金融租赁；保理债权；小额贷款；应收账款；基础设施收费权；重组债权；股权；供应链资产；信托资产；保单；其他”。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基础资产描述</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JCZCMS</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按合同对基础资产进行文字描述。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基础资产持有人法定名称</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GL_JCZCCYRFDMC</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基础资产持有人法定名称。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基础资产持有人证件类型</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GL_JCZCCYRZJLX</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基础资产持有人证件类型，参照业务代码表《证件类型代码》，填报名称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基础资产持有人证件号码</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GL_JCZCCYRZJHM</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基础资产持有人证件号码。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基础资产持有人证件到期日</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GL_JCZCCYRZJDQR</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基础资产持有人证件到期日。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基础资产评估价值</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JCZCPGJZ</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基础资产评估价值，单位：元。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基础资产评估日期</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JCZCPGRQ</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基础资产评估日期。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资产服务机构</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ZCFWJG</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资产服务机构全称，可为原始权益人或其他资产服务机构。</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原始权益人法定名称</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GL_YSQYRFDMC</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原始权益人法定名称。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原始权益人证件类型</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GL_YSQYRZJLX</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原始权益人证件类型，参照业务代码表《证件类型代码》，填报名称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原始权益人证件号码</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GL_YSQYRZJHM</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原始权益人证件号码。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原始权益人证件到期日</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GL_YSQYRZJDQR</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原始权益人证件到期日。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原始权益人所属地区</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YSQYRSSDQ</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001017</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参照业务代码表《行政区划代码》，境内地区至少精确到省、自治区、直辖市、特别行政区，应逐级填写完整地域名称，如“河北省石家庄市长安区”。如无法区分，填报“其他”。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原始权益人所属行业</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YSQYRSSHY</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001024</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参照业务代码表《行业类型代码》，例如：农业、林业等，填报名称。如无法区分，填报“不适用”。</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原始权益人与基础资产持有人关联关系</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YSQYRYJCZCCYRGLGX</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005023</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参照业务代码表《关联方类型代码》，填报名称。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20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keepNext/>
        <w:keepLines/>
        <w:numPr>
          <w:ilvl w:val="1"/>
          <w:numId w:val="11"/>
        </w:numPr>
        <w:ind w:firstLineChars="0"/>
        <w:outlineLvl w:val="3"/>
        <w:rPr>
          <w:rFonts w:ascii="仿宋" w:hAnsi="仿宋" w:eastAsia="仿宋"/>
          <w:b/>
        </w:rPr>
      </w:pPr>
      <w:r>
        <w:rPr>
          <w:rFonts w:hint="eastAsia" w:ascii="仿宋" w:hAnsi="仿宋" w:eastAsia="仿宋"/>
          <w:b/>
        </w:rPr>
        <w:t>资产支持计划资信情况表</w:t>
      </w:r>
    </w:p>
    <w:tbl>
      <w:tblPr>
        <w:tblStyle w:val="25"/>
        <w:tblW w:w="8824" w:type="dxa"/>
        <w:tblInd w:w="0" w:type="dxa"/>
        <w:tblLayout w:type="fixed"/>
        <w:tblCellMar>
          <w:top w:w="0" w:type="dxa"/>
          <w:left w:w="108" w:type="dxa"/>
          <w:bottom w:w="0" w:type="dxa"/>
          <w:right w:w="108" w:type="dxa"/>
        </w:tblCellMar>
      </w:tblPr>
      <w:tblGrid>
        <w:gridCol w:w="1371"/>
        <w:gridCol w:w="1332"/>
        <w:gridCol w:w="888"/>
        <w:gridCol w:w="3771"/>
        <w:gridCol w:w="807"/>
        <w:gridCol w:w="655"/>
      </w:tblGrid>
      <w:tr>
        <w:tblPrEx>
          <w:tblCellMar>
            <w:top w:w="0" w:type="dxa"/>
            <w:left w:w="108" w:type="dxa"/>
            <w:bottom w:w="0" w:type="dxa"/>
            <w:right w:w="108" w:type="dxa"/>
          </w:tblCellMar>
        </w:tblPrEx>
        <w:trPr>
          <w:trHeight w:val="280" w:hRule="atLeast"/>
        </w:trPr>
        <w:tc>
          <w:tcPr>
            <w:tcW w:w="137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3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8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ZCZCJHZXQKB</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资产支持计划资信情况表</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E0505</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本表报送保险资产管理公司管理资产支持计划相关主体及项目资信信息。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填报统一社会信用代码。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填报保险许可证中的机构名称。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填写确权登记等有关机构登记的产品名称，若无填写合同上的产品名称。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评级对象</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PJDX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枚举值为“担保主体；融资主体；产品”。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评级阶段</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PJJD</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枚举值为“发行阶段；存续阶段”。</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外部信用评级</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WBXYPJ</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005059</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参照业务代码表《信用评级等级代码》，填报名称。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外部评级机构法定名称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GL_WBPJJGFDMC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外部评级机构法定名称。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外部评级机构证件类型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GL_WBPJJGZJLX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外部评级机构证件类型，参照业务代码表《证件类型代码》，填报名称 。</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外部评级机构证件号码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GL_WBPJJGZJHM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外部评级机构证件号码。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外部评级机构证件到期日</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GL_WBPJJGZJDQR</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外部评级机构证件到期日。</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外部评级日期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WBPJRQ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外部评级日期。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内部信用评级</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NBXYPJ</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005059</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参照业务代码表《信用评级等级代码》，填报名称。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是否违约</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SFWY</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是否有无法兑付其他债务融资工具情况发生。具体信息在备注中填写。枚举值为“是；否”。</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内部评级日期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NBPJRQ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内部评级日期。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备注</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备注说明。</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keepNext/>
        <w:keepLines/>
        <w:numPr>
          <w:ilvl w:val="1"/>
          <w:numId w:val="11"/>
        </w:numPr>
        <w:ind w:firstLineChars="0"/>
        <w:outlineLvl w:val="3"/>
        <w:rPr>
          <w:rFonts w:ascii="仿宋" w:hAnsi="仿宋" w:eastAsia="仿宋"/>
          <w:b/>
        </w:rPr>
      </w:pPr>
      <w:r>
        <w:rPr>
          <w:rFonts w:hint="eastAsia" w:ascii="仿宋" w:hAnsi="仿宋" w:eastAsia="仿宋"/>
          <w:b/>
        </w:rPr>
        <w:t>资产支持计划专业服务机构信息表</w:t>
      </w:r>
    </w:p>
    <w:tbl>
      <w:tblPr>
        <w:tblStyle w:val="25"/>
        <w:tblW w:w="8824" w:type="dxa"/>
        <w:tblInd w:w="0" w:type="dxa"/>
        <w:tblLayout w:type="fixed"/>
        <w:tblCellMar>
          <w:top w:w="0" w:type="dxa"/>
          <w:left w:w="108" w:type="dxa"/>
          <w:bottom w:w="0" w:type="dxa"/>
          <w:right w:w="108" w:type="dxa"/>
        </w:tblCellMar>
      </w:tblPr>
      <w:tblGrid>
        <w:gridCol w:w="1791"/>
        <w:gridCol w:w="1248"/>
        <w:gridCol w:w="1062"/>
        <w:gridCol w:w="3260"/>
        <w:gridCol w:w="709"/>
        <w:gridCol w:w="754"/>
      </w:tblGrid>
      <w:tr>
        <w:tblPrEx>
          <w:tblCellMar>
            <w:top w:w="0" w:type="dxa"/>
            <w:left w:w="108" w:type="dxa"/>
            <w:bottom w:w="0" w:type="dxa"/>
            <w:right w:w="108" w:type="dxa"/>
          </w:tblCellMar>
        </w:tblPrEx>
        <w:trPr>
          <w:trHeight w:val="280" w:hRule="atLeast"/>
        </w:trPr>
        <w:tc>
          <w:tcPr>
            <w:tcW w:w="17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4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10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72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ZCZCJHZYFWJGXXB</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资产支持计划专业服务机构信息表</w:t>
            </w:r>
          </w:p>
        </w:tc>
        <w:tc>
          <w:tcPr>
            <w:tcW w:w="10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E0506</w:t>
            </w:r>
          </w:p>
        </w:tc>
        <w:tc>
          <w:tcPr>
            <w:tcW w:w="472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本表报送保险资产管理公司管理资产支持计划相关专业服务机构信息，如法律顾问、财务顾问、投资顾问、评估机构等。</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10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10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10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10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10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产品名称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CPMC</w:t>
            </w:r>
          </w:p>
        </w:tc>
        <w:tc>
          <w:tcPr>
            <w:tcW w:w="10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填写确权登记等有关机构登记的产品名称，若无填写合同上的产品名称。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10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机构法定名称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GL_JGFDMC</w:t>
            </w:r>
          </w:p>
        </w:tc>
        <w:tc>
          <w:tcPr>
            <w:tcW w:w="10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专业服务机构法定名称。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机构证件类型</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GL_JGZJLX</w:t>
            </w:r>
          </w:p>
        </w:tc>
        <w:tc>
          <w:tcPr>
            <w:tcW w:w="10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专业服务机构证件类型，参照业务代码表《证件类型代码》，填报名称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机构证件号码</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GL_JGZJHM</w:t>
            </w:r>
          </w:p>
        </w:tc>
        <w:tc>
          <w:tcPr>
            <w:tcW w:w="10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专业服务机构证件号码。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rPr>
          <w:trHeight w:val="55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机构证件到期日</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GL_JGZJDQR</w:t>
            </w:r>
          </w:p>
        </w:tc>
        <w:tc>
          <w:tcPr>
            <w:tcW w:w="10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专业服务机构证件到期日。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服务内容描述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FWNRMS</w:t>
            </w:r>
          </w:p>
        </w:tc>
        <w:tc>
          <w:tcPr>
            <w:tcW w:w="10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填写机构服务内容。</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10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pStyle w:val="4"/>
        <w:numPr>
          <w:ilvl w:val="0"/>
          <w:numId w:val="8"/>
        </w:numPr>
        <w:tabs>
          <w:tab w:val="left" w:pos="709"/>
          <w:tab w:val="left" w:pos="993"/>
        </w:tabs>
        <w:rPr>
          <w:rFonts w:ascii="仿宋" w:hAnsi="仿宋" w:eastAsia="仿宋"/>
        </w:rPr>
      </w:pPr>
      <w:bookmarkStart w:id="583" w:name="_Toc32338"/>
      <w:bookmarkStart w:id="584" w:name="_Toc27593"/>
      <w:bookmarkStart w:id="585" w:name="_Toc32565"/>
      <w:bookmarkStart w:id="586" w:name="_Toc20872"/>
      <w:bookmarkStart w:id="587" w:name="_Toc676"/>
      <w:bookmarkStart w:id="588" w:name="_Toc73958596"/>
      <w:bookmarkStart w:id="589" w:name="_Toc19534"/>
      <w:r>
        <w:rPr>
          <w:rFonts w:hint="eastAsia" w:ascii="仿宋" w:hAnsi="仿宋" w:eastAsia="仿宋"/>
        </w:rPr>
        <w:t>保险私募基金</w:t>
      </w:r>
      <w:bookmarkEnd w:id="583"/>
      <w:bookmarkEnd w:id="584"/>
      <w:bookmarkEnd w:id="585"/>
      <w:bookmarkEnd w:id="586"/>
      <w:bookmarkEnd w:id="587"/>
      <w:bookmarkEnd w:id="588"/>
      <w:bookmarkEnd w:id="589"/>
    </w:p>
    <w:p>
      <w:pPr>
        <w:keepNext/>
        <w:keepLines/>
        <w:numPr>
          <w:ilvl w:val="1"/>
          <w:numId w:val="11"/>
        </w:numPr>
        <w:ind w:firstLineChars="0"/>
        <w:outlineLvl w:val="3"/>
        <w:rPr>
          <w:rFonts w:ascii="仿宋" w:hAnsi="仿宋" w:eastAsia="仿宋"/>
          <w:b/>
        </w:rPr>
      </w:pPr>
      <w:r>
        <w:rPr>
          <w:rFonts w:hint="eastAsia" w:ascii="仿宋" w:hAnsi="仿宋" w:eastAsia="仿宋"/>
          <w:b/>
        </w:rPr>
        <w:t>保险私募基金基本信息表</w:t>
      </w:r>
    </w:p>
    <w:tbl>
      <w:tblPr>
        <w:tblStyle w:val="25"/>
        <w:tblW w:w="8824" w:type="dxa"/>
        <w:tblInd w:w="0" w:type="dxa"/>
        <w:tblLayout w:type="fixed"/>
        <w:tblCellMar>
          <w:top w:w="0" w:type="dxa"/>
          <w:left w:w="108" w:type="dxa"/>
          <w:bottom w:w="0" w:type="dxa"/>
          <w:right w:w="108" w:type="dxa"/>
        </w:tblCellMar>
      </w:tblPr>
      <w:tblGrid>
        <w:gridCol w:w="1371"/>
        <w:gridCol w:w="1332"/>
        <w:gridCol w:w="888"/>
        <w:gridCol w:w="3771"/>
        <w:gridCol w:w="807"/>
        <w:gridCol w:w="655"/>
      </w:tblGrid>
      <w:tr>
        <w:tblPrEx>
          <w:tblCellMar>
            <w:top w:w="0" w:type="dxa"/>
            <w:left w:w="108" w:type="dxa"/>
            <w:bottom w:w="0" w:type="dxa"/>
            <w:right w:w="108" w:type="dxa"/>
          </w:tblCellMar>
        </w:tblPrEx>
        <w:trPr>
          <w:trHeight w:val="280" w:hRule="atLeast"/>
        </w:trPr>
        <w:tc>
          <w:tcPr>
            <w:tcW w:w="137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3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8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BXSMJJJBXXB</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保险私募基金基本信息表</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E0601</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本表报送保险资产管理公司管理保险私募基金基本信息。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账户代码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ZHDM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002020</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产品账户代码，应具有唯一标识。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账户名称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ZHMC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产品账户名称。填写规则：按照合同中约定的账户名称全称填列。</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基金名称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JJMC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填写基金名称全称。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基金编号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JJBH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005019</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中基协备案基金填备案编号，其余基金如有行业备案编号填编号，如无则填写管理人自定义编号。</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成立日期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CLRQ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以基金在政府部门登记注册的日期为准。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到期日期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DQRQ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以投资合同中到期日期为准。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投资期期限</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TZQQX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005006</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投资期期限。</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退出期期限</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TCQQX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005006</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退出期期限，单位需与投资期期限相同。</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期限单位</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QXDW</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005007</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期限单位。枚举值为“日；月；年”。</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主发起人法定名称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GL_ZFQRFDMC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主发起人法定名称。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主发起人证件类型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GL_ZFQRZJLX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主发起人证件类型，参照业务代码表《证件类型代码》，填报名称 。</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主发起人证件号码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GL_ZFQRZJHM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主发起人证件号码。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主发起人证件到期日</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GL_ZFQRZJDQR</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主发起人证件到期日。</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托管机构法定名称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GL_TGJGFDMC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精确至分支机构。托管机构法定名称。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托管机构证件类型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GL_TGJGZJLX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托管机构证件类型，参照业务代码表《证件类型代码》，填报名称 。</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托管机构证件号码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GL_TGJGZJHM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托管机构证件号码。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托管机构证件到期日</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GL_TGJGZJDQR</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托管机构证件到期日。</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合伙人法定名称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GL_HHRFDMC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普通合伙人法定名称。“基金组织形式”为“合伙型”时必填。</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合伙人证件类型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GL_HHRZJLX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001019</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“基金组织形式”为“合伙型”时必填。普通合伙人证件类型，参照业务代码表《证件类型代码》，填报名称 。</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合伙人证件号码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GL_HHRZJHM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普通合伙人证件号码。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合伙人证件到期日</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GL_HHRZJDQR</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普通合伙人证件到期日。</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基金总规模</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JJZGM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以投资合同中基金总规模为准，单位：元。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基金组织形式</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JJZZXS</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填写基金组织形式。枚举值为“公司型；契约型；合伙型；其他”。</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基金分类</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JJFL</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005049</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填写基金分类。枚举值为“私募证券投资基金；私募证券类FOF基金；私募股权投资基金；私募股权投资类FOF基金；创业投资基金；创业投资类FOF基金；其他类别私募基金；其他类别私募FOF基金”。</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投资方向</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TZFX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填写投资方向。枚举值为“综合；先进制造；能源；建筑；交通；电子信息；金融；房地产；医疗健康；教育文化；其他”。</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政策标签</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ZCBQ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005024</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参照业务代码表《政策标签代码》，填报名称。可多选，如存在多个标签，以“;”隔开。如为其他，需在备注里描述。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投资阶段</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TZJD</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005050</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填写投资阶段。枚举值为“天使投资；初创期投资；成长期投资；IPO前投资；并购投资；多个阶段投资；全阶段投资”。</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基金状态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JJZT</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填写基金状态。 枚举值为“投资期；退出期；清算期；已清盘；其他”。</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是否延期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SFYQ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延长期期限</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YCQQX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005006</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延长期期限，单位需与投资期期限相同。</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延期原因</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YQYY</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如有延期计划或已发生延期，请注明原因。</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初始投资日期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CSTZRQ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以投资合同中初始投资日期为准。</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投资币种</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TZBZ</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参照业务代码表《币种代码》，填报代码。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认缴金额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RJJE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若币种单位选择外币，无须转化为人民币金额，单位：元。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实缴金额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SJJE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若币种单位选择外币，无须转化为人民币金额，单位：元。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投资余额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TZYE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实际投资金额，单位：元。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已实现投资收益</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YSXTZSY</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数据填报口径为截至报送日上月月末数据，单位：元。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当年累计收益率</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DNLJSYL</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当期收益率，需年化。填数字，不填百分比，最少保留四位小数，比如12.34%填写为0.1234。默认值99999。</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累计收益率</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LJSYL</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累计已实现投资收益/本金，填数字，不填百分比，最少保留四位小数，比如12.34%填写为0.1234。</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项目退出情况</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XMTCQK</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005065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枚举值为“未退出，部分退出，全部退出”。</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退出日期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TCRQ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“项目退出情况”为“全部退出”时必填。请填写退出日期。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退出方式</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TCFS</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005027</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“项目退出情况”为“全部退出”时必填。填写退出方式。枚举值为“上市转让；挂牌转让；协议转让；清算；其他”。可多选，如存在多种方式，以英文分号“;”分隔。</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收益分配方案</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SYFPFA</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003007</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文字描述收益分配方案。</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投资团队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TZTD</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003007</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文字描述投资团队。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备注</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填写其他需要报送的但是目前无法标准化的信息。</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keepNext/>
        <w:keepLines/>
        <w:numPr>
          <w:ilvl w:val="1"/>
          <w:numId w:val="11"/>
        </w:numPr>
        <w:ind w:firstLineChars="0"/>
        <w:outlineLvl w:val="3"/>
        <w:rPr>
          <w:rFonts w:ascii="仿宋" w:hAnsi="仿宋" w:eastAsia="仿宋"/>
          <w:b/>
        </w:rPr>
      </w:pPr>
      <w:r>
        <w:rPr>
          <w:rFonts w:hint="eastAsia" w:ascii="仿宋" w:hAnsi="仿宋" w:eastAsia="仿宋"/>
          <w:b/>
        </w:rPr>
        <w:t>保险私募基金持有人信息表</w:t>
      </w:r>
    </w:p>
    <w:tbl>
      <w:tblPr>
        <w:tblStyle w:val="25"/>
        <w:tblW w:w="8824" w:type="dxa"/>
        <w:tblInd w:w="0" w:type="dxa"/>
        <w:tblLayout w:type="fixed"/>
        <w:tblCellMar>
          <w:top w:w="0" w:type="dxa"/>
          <w:left w:w="108" w:type="dxa"/>
          <w:bottom w:w="0" w:type="dxa"/>
          <w:right w:w="108" w:type="dxa"/>
        </w:tblCellMar>
      </w:tblPr>
      <w:tblGrid>
        <w:gridCol w:w="1476"/>
        <w:gridCol w:w="1476"/>
        <w:gridCol w:w="1007"/>
        <w:gridCol w:w="3402"/>
        <w:gridCol w:w="709"/>
        <w:gridCol w:w="754"/>
      </w:tblGrid>
      <w:tr>
        <w:tblPrEx>
          <w:tblCellMar>
            <w:top w:w="0" w:type="dxa"/>
            <w:left w:w="108" w:type="dxa"/>
            <w:bottom w:w="0" w:type="dxa"/>
            <w:right w:w="108" w:type="dxa"/>
          </w:tblCellMar>
        </w:tblPrEx>
        <w:trPr>
          <w:trHeight w:val="280" w:hRule="atLeast"/>
        </w:trPr>
        <w:tc>
          <w:tcPr>
            <w:tcW w:w="14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47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100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5"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BXSMJJCYRXXB</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保险私募基金持有人信息表</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E0602</w:t>
            </w:r>
          </w:p>
        </w:tc>
        <w:tc>
          <w:tcPr>
            <w:tcW w:w="4865"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本表报送保险资产管理公司管理保险私募基金持有人及变动情况信息。</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基金名称</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JJMC</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填写基金名称全称。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基金编号</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JJBH</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005019</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中基协备案基金填备案编号，其余基金如有行业备案编号填编号，如无则填写管理人自定义编号。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持有人编号</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CYRBH</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001023</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公司自行定义的持有人编号，应具有唯一标识。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持有人法定名称</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GL_CYRFDMC</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法定名称或持有人所属机构法定名称。保险产品、养老保障产品填写保险公司名称，企业年金或基本养老保险基金填写投资管理人全称，保险资管产品或其他资管产品填写产品管理人全称；账户所属人为自然人的，填写自然人姓名，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持有人证件类型</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GL_CYRZJLX</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持有人证件类型，参照业务代码表《证件类型代码》，填报名称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持有人证件号码</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GL_CYRZJHM</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持有人证件到期日</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GL_CYRZJDQR</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持有人类型</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CYRLX</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005018</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枚举值为“法人和其他组织；非法人类产品；自然人”。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持有人机构类型</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CYRJGLX</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004002</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“持有人类型”为“法人和其他组织”时必填。参照业务代码表《机构类型代码》，填报名称。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非法人产品名称</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FFRCPMC</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“持有人类型”为“非法人类产品”时必填。填写产品名称。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非法人产品类型</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FFRCPLX</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005020</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“持有人类型”为“非法人类产品”时必填。参照业务代码表《产品类型代码》，填报名称。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出资日期</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CZRQ</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优先填写产品募集份额起息日期，无起息日填写出资日期。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期末持有规模</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QMCYGM</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截止至报送前，持有人期末持有金额，单位：元。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持有人与标的企业关联关系</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CYRYBDQYGLGX</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005023</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参照业务代码表《关联方类型代码》，填报名称。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10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keepNext/>
        <w:keepLines/>
        <w:numPr>
          <w:ilvl w:val="1"/>
          <w:numId w:val="11"/>
        </w:numPr>
        <w:ind w:firstLineChars="0"/>
        <w:outlineLvl w:val="3"/>
        <w:rPr>
          <w:rFonts w:ascii="仿宋" w:hAnsi="仿宋" w:eastAsia="仿宋"/>
          <w:b/>
        </w:rPr>
      </w:pPr>
      <w:r>
        <w:rPr>
          <w:rFonts w:hint="eastAsia" w:ascii="仿宋" w:hAnsi="仿宋" w:eastAsia="仿宋"/>
          <w:b/>
        </w:rPr>
        <w:t>保险私募基金投资资产信息表</w:t>
      </w:r>
    </w:p>
    <w:tbl>
      <w:tblPr>
        <w:tblStyle w:val="25"/>
        <w:tblW w:w="8824" w:type="dxa"/>
        <w:tblInd w:w="0" w:type="dxa"/>
        <w:tblLayout w:type="fixed"/>
        <w:tblCellMar>
          <w:top w:w="0" w:type="dxa"/>
          <w:left w:w="108" w:type="dxa"/>
          <w:bottom w:w="0" w:type="dxa"/>
          <w:right w:w="108" w:type="dxa"/>
        </w:tblCellMar>
      </w:tblPr>
      <w:tblGrid>
        <w:gridCol w:w="1581"/>
        <w:gridCol w:w="1290"/>
        <w:gridCol w:w="1089"/>
        <w:gridCol w:w="3401"/>
        <w:gridCol w:w="709"/>
        <w:gridCol w:w="754"/>
      </w:tblGrid>
      <w:tr>
        <w:tblPrEx>
          <w:tblCellMar>
            <w:top w:w="0" w:type="dxa"/>
            <w:left w:w="108" w:type="dxa"/>
            <w:bottom w:w="0" w:type="dxa"/>
            <w:right w:w="108" w:type="dxa"/>
          </w:tblCellMar>
        </w:tblPrEx>
        <w:trPr>
          <w:trHeight w:val="280" w:hRule="atLeast"/>
        </w:trPr>
        <w:tc>
          <w:tcPr>
            <w:tcW w:w="15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108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BXSMJJTZZCXXB</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保险私募基金投资资产信息表</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E0603</w:t>
            </w:r>
          </w:p>
        </w:tc>
        <w:tc>
          <w:tcPr>
            <w:tcW w:w="486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本表报送保险资产管理公司管理保险私募基金投资资产信息。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基金名称</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JJMC</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填写基金名称全称。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基金编号</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JJBH</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005019</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中基协备案基金填备案编号，其余基金如有行业备案编号填编号，如无则填写管理人自定义编号。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投资资产类别</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TZZCLB</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005030</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枚举值为“非上市企业股权；私募股权投资基金；创业投资基金；公开交易的股份有限公司股票、债券、期货、期权、基金份额以及中国证监会规定的其他证券及其衍生品种；证券类私募基金、信托计划、券商资管、基金专户等资产管理计划；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标的企业法定名称</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GL_BDQYFDMC</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“投资资产类别”为“非上市企业股权”时必填。标的企业法定名称。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标的企业证件类型</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GL_BDQYZJLX</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001019</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“投资资产类别”为“非上市企业股权”时必填。标的企业证件类型，参照业务代码表《证件类型代码》，填报名称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标的企业证件号码</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GL_BDQYZJHM</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“投资资产类别”为“非上市企业股权”时必填。标的企业证件号码。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标的企业证件到期日</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GL_BDQYZJDQR</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标的企业证件到期日。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标的企业所属地区</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BDQYSSDQ</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001017</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“投资资产类别”为“非上市企业股权”时必填。</w:t>
            </w:r>
            <w:r>
              <w:rPr>
                <w:rFonts w:hint="eastAsia" w:ascii="宋体" w:hAnsi="宋体" w:eastAsia="宋体"/>
                <w:color w:val="000000"/>
                <w:sz w:val="21"/>
                <w:szCs w:val="21"/>
              </w:rPr>
              <w:br w:type="textWrapping"/>
            </w:r>
            <w:r>
              <w:rPr>
                <w:rFonts w:hint="eastAsia" w:ascii="宋体" w:hAnsi="宋体" w:eastAsia="宋体"/>
                <w:color w:val="000000"/>
                <w:sz w:val="21"/>
                <w:szCs w:val="21"/>
              </w:rPr>
              <w:t>标的企业融资人注册地所属地区，参照业务代码表《行政区划代码》，境内地区至少精确到省、自治区、直辖市、特别行政区，应逐级填写完整地域名称，如“河北省石家庄市长安区”。如无法区分，填报“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标的企业所属行业</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BDQYSSHY</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001024</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“投资资产类别”为“非上市企业股权”时必填。</w:t>
            </w:r>
            <w:r>
              <w:rPr>
                <w:rFonts w:hint="eastAsia" w:ascii="宋体" w:hAnsi="宋体" w:eastAsia="宋体"/>
                <w:color w:val="000000"/>
                <w:sz w:val="21"/>
                <w:szCs w:val="21"/>
              </w:rPr>
              <w:br w:type="textWrapping"/>
            </w:r>
            <w:r>
              <w:rPr>
                <w:rFonts w:hint="eastAsia" w:ascii="宋体" w:hAnsi="宋体" w:eastAsia="宋体"/>
                <w:color w:val="000000"/>
                <w:sz w:val="21"/>
                <w:szCs w:val="21"/>
              </w:rPr>
              <w:t>参照业务代码表《行业类型代码》，例如：农业、林业等，填报名称。如无法区分，填报“不适用”。</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持股比例</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CGBL</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“投资资产类别”为“非上市企业股权”时必填。</w:t>
            </w:r>
            <w:r>
              <w:rPr>
                <w:rFonts w:hint="eastAsia" w:ascii="宋体" w:hAnsi="宋体" w:eastAsia="宋体"/>
                <w:color w:val="000000"/>
                <w:sz w:val="21"/>
                <w:szCs w:val="21"/>
              </w:rPr>
              <w:br w:type="textWrapping"/>
            </w:r>
            <w:r>
              <w:rPr>
                <w:rFonts w:hint="eastAsia" w:ascii="宋体" w:hAnsi="宋体" w:eastAsia="宋体"/>
                <w:color w:val="000000"/>
                <w:sz w:val="21"/>
                <w:szCs w:val="21"/>
              </w:rPr>
              <w:t>投资时点持股占比，填数字，不填百分比，最少保留两位小数，比如12.34%填写为12.34。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被投基金名称</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BTJJMC</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投资资产为基金时必填，填写被投基金全称。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被投基金编号</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BTJJBH</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005019</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投资资产为基金时必填，优先填写被投基金的中基协备案编号；如未备案，机构可自行定义。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基金组织形式</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JJZZXS</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填写被投基金组织形式。枚举值为“公司型；契约型；合伙型；其他”。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境内外标识</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JNWBS</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002017</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填报境内外标识。枚举值为“境内；境外”。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36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成立日期</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CLRQ</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以被投基金在有关部门登记注册的日期为准。如无法获取，以合同签署日期为准。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36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到期日期</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DQRQ</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以投资合同中到期日期为准。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36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普通合伙人法定名称</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GL_PTHHRFDMC</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“基金组织形式”为“合伙型”时必填。普通合伙人法定名称。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36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普通合伙人证件类型</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GL_PTHHRZJLX</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“基金组织形式”为“合伙型”时必填。普通合伙人证件类型，参照业务代码表《证件类型代码》，填报名称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36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普通合伙人证件号码</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GL_PTHHRZJHM</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“基金组织形式”为“合伙型”时必填。普通合伙人证件号码。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36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普通合伙人证件到期日</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GL_PTHHRZJDQR</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普通合伙人证件到期日。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36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普通合伙人LEI编码</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PTHHRLEIBM</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001004</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填写普通合伙人识别编码。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36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被投基金管理人法定名称</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GL_BTJJGLRFDMC</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被投基金管理人法定名称。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36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被投基金管理人证件类型</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GL_BTJJGLRZJLX</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被投基金管理人证件类型，参照业务代码表《证件类型代码》，填报名称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63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被投基金管理人证件号码</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GL_BTJJGLRZJHM</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被投基金管理人证件号码。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36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被投基金管理人证件到期日</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GL_BTJJGLRZJDQR</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被投基金管理人证件到期日。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63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基金管理人LEI编码</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JJGLRLEIBM</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001004</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填写被投基金管理人全球法人识别编码。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982"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有限合伙人名称</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YXHHRMC</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001016</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有限合伙人名称全称。如有多个需列填，以英文分号“;”分隔。</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基金总规模</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JJZGM</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001008</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投资资产为基金时必填，以合同为准，单位：元。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基金认购份额比例</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JJRGFEBL</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001051</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投资资产为基金时必填。投资时点基金认购份额比例，填数字，不填百分比，最少保留两位小数，比如12.34%填写为12.34。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投资方向</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TZFX</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005033</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投资资产为基金时必填，填写投资方向。枚举值为“综合；先进制造；能源；建筑；交通；电子信息；金融；房地产；医疗健康；教育文化；其他”。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政策标签</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ZCBQ</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005024</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投资资产政策标签。参照业务代码表《政策标签代码》，填报名称。可多选，如存在多个标签，以“;”隔开。</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2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108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bookmarkStart w:id="590" w:name="_Toc73958597"/>
      <w:r>
        <w:rPr>
          <w:rFonts w:hint="eastAsia" w:ascii="仿宋" w:hAnsi="仿宋" w:eastAsia="仿宋"/>
          <w:b/>
        </w:rPr>
        <w:t>保险私募基金专业服务机构信息表</w:t>
      </w:r>
    </w:p>
    <w:tbl>
      <w:tblPr>
        <w:tblStyle w:val="25"/>
        <w:tblW w:w="8824" w:type="dxa"/>
        <w:tblInd w:w="0" w:type="dxa"/>
        <w:tblLayout w:type="fixed"/>
        <w:tblCellMar>
          <w:top w:w="0" w:type="dxa"/>
          <w:left w:w="108" w:type="dxa"/>
          <w:bottom w:w="0" w:type="dxa"/>
          <w:right w:w="108" w:type="dxa"/>
        </w:tblCellMar>
      </w:tblPr>
      <w:tblGrid>
        <w:gridCol w:w="1791"/>
        <w:gridCol w:w="1248"/>
        <w:gridCol w:w="919"/>
        <w:gridCol w:w="3403"/>
        <w:gridCol w:w="709"/>
        <w:gridCol w:w="754"/>
      </w:tblGrid>
      <w:tr>
        <w:tblPrEx>
          <w:tblCellMar>
            <w:top w:w="0" w:type="dxa"/>
            <w:left w:w="108" w:type="dxa"/>
            <w:bottom w:w="0" w:type="dxa"/>
            <w:right w:w="108" w:type="dxa"/>
          </w:tblCellMar>
        </w:tblPrEx>
        <w:trPr>
          <w:trHeight w:val="280" w:hRule="atLeast"/>
        </w:trPr>
        <w:tc>
          <w:tcPr>
            <w:tcW w:w="17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4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BXSMJJZYFWJGXXB</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保险私募基金专业服务机构信息表</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E0604</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本表报送保险资产管理公司管理保险私募基金相关专业服务机构信息，如法律顾问、财务顾问、投资顾问、评估机构等。</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基金名称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JJMC</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填写基金名称全称。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基金编号</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JJBH</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005019</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中基协备案基金填备案编号，其余基金如有行业备案编号填编号，如无则填写管理人自定义编号。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机构法定名称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GL_JGFDMC</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专业服务机构法定名称。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机构证件类型</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GL_JGZJLX</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专业服务机构证件类型，参照业务代码表《证件类型代码》，填报名称 。</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机构证件号码</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GL_JGZJHM</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专业服务机构证件号码。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机构证件到期日</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GL_JGZJDQR</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专业服务机构证件到期日。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服务内容描述</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FWNRMS</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填写机构服务内容。</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7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2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numPr>
          <w:ilvl w:val="0"/>
          <w:numId w:val="8"/>
        </w:numPr>
        <w:tabs>
          <w:tab w:val="left" w:pos="709"/>
          <w:tab w:val="left" w:pos="993"/>
        </w:tabs>
        <w:rPr>
          <w:rFonts w:ascii="仿宋" w:hAnsi="仿宋" w:eastAsia="仿宋"/>
        </w:rPr>
      </w:pPr>
      <w:bookmarkStart w:id="591" w:name="_Toc14194"/>
      <w:bookmarkStart w:id="592" w:name="_Toc30067"/>
      <w:bookmarkStart w:id="593" w:name="_Toc17596"/>
      <w:bookmarkStart w:id="594" w:name="_Toc27767"/>
      <w:bookmarkStart w:id="595" w:name="_Toc26500"/>
      <w:bookmarkStart w:id="596" w:name="_Toc14105"/>
      <w:r>
        <w:rPr>
          <w:rFonts w:hint="eastAsia" w:ascii="仿宋" w:hAnsi="仿宋" w:eastAsia="仿宋"/>
        </w:rPr>
        <w:t>专项产品</w:t>
      </w:r>
      <w:bookmarkEnd w:id="581"/>
      <w:bookmarkEnd w:id="582"/>
      <w:bookmarkEnd w:id="590"/>
      <w:bookmarkEnd w:id="591"/>
      <w:bookmarkEnd w:id="592"/>
      <w:bookmarkEnd w:id="593"/>
      <w:bookmarkEnd w:id="594"/>
      <w:bookmarkEnd w:id="595"/>
      <w:bookmarkEnd w:id="596"/>
    </w:p>
    <w:p>
      <w:pPr>
        <w:keepNext/>
        <w:keepLines/>
        <w:numPr>
          <w:ilvl w:val="1"/>
          <w:numId w:val="11"/>
        </w:numPr>
        <w:ind w:firstLineChars="0"/>
        <w:outlineLvl w:val="3"/>
        <w:rPr>
          <w:rFonts w:ascii="仿宋" w:hAnsi="仿宋" w:eastAsia="仿宋"/>
          <w:b/>
        </w:rPr>
      </w:pPr>
      <w:bookmarkStart w:id="597" w:name="_Toc1798"/>
      <w:bookmarkStart w:id="598" w:name="_Toc30164"/>
      <w:bookmarkStart w:id="599" w:name="_Toc16200"/>
      <w:bookmarkStart w:id="600" w:name="_Toc23529"/>
      <w:bookmarkStart w:id="601" w:name="_Toc1636"/>
      <w:bookmarkStart w:id="602" w:name="_Toc23685"/>
      <w:bookmarkStart w:id="603" w:name="_Toc57495048"/>
      <w:bookmarkStart w:id="604" w:name="_Toc19326"/>
      <w:bookmarkStart w:id="605" w:name="_Toc20378"/>
      <w:bookmarkStart w:id="606" w:name="_Toc16377"/>
      <w:bookmarkStart w:id="607" w:name="_Toc13120"/>
      <w:bookmarkStart w:id="608" w:name="_Toc9713"/>
      <w:bookmarkStart w:id="609" w:name="_Toc28078"/>
      <w:bookmarkStart w:id="610" w:name="_Toc23874"/>
      <w:bookmarkStart w:id="611" w:name="_Toc22588"/>
      <w:bookmarkStart w:id="612" w:name="_Toc8120"/>
      <w:bookmarkStart w:id="613" w:name="_Toc27652"/>
      <w:bookmarkStart w:id="614" w:name="_Toc3980"/>
      <w:bookmarkStart w:id="615" w:name="_Toc57479659"/>
      <w:bookmarkStart w:id="616" w:name="_Toc27968"/>
      <w:bookmarkStart w:id="617" w:name="_Toc23527"/>
      <w:r>
        <w:rPr>
          <w:rFonts w:hint="eastAsia" w:ascii="仿宋" w:hAnsi="仿宋" w:eastAsia="仿宋"/>
          <w:b/>
        </w:rPr>
        <w:t>专项产品基本信息表</w:t>
      </w:r>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9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ZXCPJBXXB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专项产品基本信息表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E0701</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本表报送保险资产管理公司管理专项产品基本信息。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账户代码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ZHDM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产品账户代码，应具有唯一标识。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账户名称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产品账户名称。填写规则：按照合同中约定的账户名称全称填列。</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产品登记通知书文号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CPDJTZSWH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登记机构出具的产品登记通知书所载文号。</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产品全称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CPQC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根据合同或募集说明书所载明的产品全称填报。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产品登记通知书上所载产品代码。产品分期发行的，应按期填报产品信息。从第二期起，产品代码按“第一期产品代码+N+产品期数”的格式填报，如“11818111113N2”。</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产品托管人法定名称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GL_CPTGRFDMC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产品托管人法定名称。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产品托管人证件类型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GL_CPTGRZJLX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产品托管人证件类型，参照业务代码表《证件类型代码》，填报名称 。</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产品托管人证件号码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GL_CPTGRZJHM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产品托管人证件号码。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产品托管人证件到期日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GL_CPTGRZJDQR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产品托管人证件到期日。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投资范围</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TZFW</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合同约定的投资范围及各类标的投资比例范围。</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是否分期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SFFQ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结构化属性</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JGHSX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填写结构化属性。枚举值为“分级；非分级”。</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成立日期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CLRQ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产品成立日期。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产品期限</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CPQX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产品合同约定期限，如为永续产品选填"99999”。</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期限单位</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QXDW</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产品期限单位。枚举值为“日；月；年”。</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预计规模</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YJGM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产品预计发行总规模。如为分期产品，则第一期产品填报该系列产品预期发行总规模，后期产品无须填报，单位：元。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初始规模</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CSGM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产品初始规模，单位：元。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最新规模</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ZXGM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最新净资产规模，单位：元。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运行方式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YXFS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枚举值为“开放式；封闭式”。</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开放周期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KFZQ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“运行方式”为“开放型”则必填。</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是否为净值型产品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SFWJZXCP</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管理费形式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GLFXS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005061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枚举值为“固定费率；固定费用；浮动费率；其他费率”。</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管理费率</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填写年化费率，填数字，不填百分比，最少保留四位小数，比如12.34%填写为0.1234。如无法计算管理费率，选填“99999”。</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管理费描述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GLFMS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按产品合同约定的管理费情况填写。</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托管费率</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TGFL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填写年化托管费率，填数字，不填百分比，最少保留四位小数，比如12.34%填写为0.1234。如无具体费率选填“99999”。</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分红方式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FHFS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填写分红方式。枚举值为“不分配；现金分红；红利再投；其他”。可多选，如存在多种方式，以英文分号“;”分隔。</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最新份额净值</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ZXFEJZ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“是否为净值型产品”为“是”时必填。单位：元/份。</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最新累计净值</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ZXLJJZ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“是否为净值型产品”为“是”时必填。单位：元/份。</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杠杆比率</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GGBL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当期产品总资产与净资产实际比例。填数字，不填百分比，最少保留两位小数，比如12.34%填写为12.34。</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资管新规</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ZGXG</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填报产品实际运作与资管新规有关规定是否存在差异。</w:t>
            </w:r>
            <w:r>
              <w:rPr>
                <w:rFonts w:hint="eastAsia" w:ascii="宋体" w:hAnsi="宋体" w:eastAsia="宋体"/>
                <w:color w:val="000000"/>
                <w:sz w:val="21"/>
                <w:szCs w:val="21"/>
              </w:rPr>
              <w:br w:type="textWrapping"/>
            </w:r>
            <w:r>
              <w:rPr>
                <w:rFonts w:hint="eastAsia" w:ascii="宋体" w:hAnsi="宋体" w:eastAsia="宋体"/>
                <w:color w:val="000000"/>
                <w:sz w:val="21"/>
                <w:szCs w:val="21"/>
              </w:rPr>
              <w:t>枚举值为“是；否”。</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差异情况说明</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CYQKSM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如产品实际运作与资管新规有关规定存在差异，请具体描述。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产品终止状态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CPZZZT</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005041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枚举值为“本报告期未终止；已终止并处于清算中；本报告期清算完毕；产品终止，因资产无法变现或回款，无法按预期清算”。本期完成清算的产品，在本期报送终止信息，下期无需报送该产品。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实际终止日期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SJZZRQ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实际终止日期。产品终止时填写。</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退出方式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TCFS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填写退出方式。枚举值为“股东受让；上市公司回购；大宗交易；协议转让；其他”。如多选，则以英文分号“;”分隔各选项。</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其他退出方式描述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QTTCFSMS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“退出方式”为“其他”时必填。应填报具体退出方式。</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备注</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填报其他需要报送的但是目前无法标准化的信息。</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专项产品持有人信息表</w:t>
      </w:r>
    </w:p>
    <w:tbl>
      <w:tblPr>
        <w:tblStyle w:val="25"/>
        <w:tblW w:w="8824" w:type="dxa"/>
        <w:tblInd w:w="0" w:type="dxa"/>
        <w:tblLayout w:type="fixed"/>
        <w:tblCellMar>
          <w:top w:w="0" w:type="dxa"/>
          <w:left w:w="108" w:type="dxa"/>
          <w:bottom w:w="0" w:type="dxa"/>
          <w:right w:w="108" w:type="dxa"/>
        </w:tblCellMar>
      </w:tblPr>
      <w:tblGrid>
        <w:gridCol w:w="1267"/>
        <w:gridCol w:w="1476"/>
        <w:gridCol w:w="877"/>
        <w:gridCol w:w="3741"/>
        <w:gridCol w:w="815"/>
        <w:gridCol w:w="648"/>
      </w:tblGrid>
      <w:tr>
        <w:tblPrEx>
          <w:tblCellMar>
            <w:top w:w="0" w:type="dxa"/>
            <w:left w:w="108" w:type="dxa"/>
            <w:bottom w:w="0" w:type="dxa"/>
            <w:right w:w="108" w:type="dxa"/>
          </w:tblCellMar>
        </w:tblPrEx>
        <w:trPr>
          <w:trHeight w:val="290" w:hRule="atLeast"/>
        </w:trPr>
        <w:tc>
          <w:tcPr>
            <w:tcW w:w="126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47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7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0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ZXCPCYRXXB</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专项产品持有人信息表</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E0702</w:t>
            </w:r>
          </w:p>
        </w:tc>
        <w:tc>
          <w:tcPr>
            <w:tcW w:w="520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本表报送保险资产管理公司管理专项产品持有人及变动情况信息。</w:t>
            </w:r>
          </w:p>
        </w:tc>
      </w:tr>
      <w:tr>
        <w:tblPrEx>
          <w:tblCellMar>
            <w:top w:w="0" w:type="dxa"/>
            <w:left w:w="108" w:type="dxa"/>
            <w:bottom w:w="0" w:type="dxa"/>
            <w:right w:w="108" w:type="dxa"/>
          </w:tblCellMar>
        </w:tblPrEx>
        <w:trPr>
          <w:trHeight w:val="29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82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流水号</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LSH</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001001</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sz w:val="21"/>
                <w:szCs w:val="21"/>
              </w:rPr>
              <w:t>统一社会信用代码+日期（YYYYMMDD）+10位流水，流水号是每天的流水号，每天都是从‘0000000001’开始。其中日期为上报数据时当前的系统日期。</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产品全称</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CPQC</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005002</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sz w:val="21"/>
                <w:szCs w:val="21"/>
              </w:rPr>
              <w:t>根据合同或募集说明书所载明的产品全称填报。</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82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产品代码</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CPDM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005001</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产品登记通知书上所载产品代码。产品分期发行的，应按期填报产品信息。从第二期起，产品代码按“第一期产品代码+N+产品期数”的格式填报，如“11818111113N2”。</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29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持有人账户名称</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CYRZHMC</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002021</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sz w:val="21"/>
                <w:szCs w:val="21"/>
              </w:rPr>
              <w:t>填写该持有人在确权登记等有关机构开立的持有人账户，若无则填写管理人自定义的持有人账户名称。若为自然人账户姓名，隐私，保险资产管理公司变形。</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29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持有人账号</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CYRZH</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005017</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sz w:val="21"/>
                <w:szCs w:val="21"/>
              </w:rPr>
              <w:t>填写该持有人在确权登记等有关机构开立的持有人账号，若无则填写管理人自定义的持有人编号。</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29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持有人账户所属人法定名称</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GL_CYRZHSSRFDMC</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001015</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sz w:val="21"/>
                <w:szCs w:val="21"/>
              </w:rPr>
              <w:t>持有人账户所属人为机构的填写机构名称，保险产品、养老保障产品填写保险公司名称，企业年金或基本养老保险基金填写投资管理人全称，保险资管产品或其他资管产品填写产品管理人全称；账户所属人为自然人的，填写自然人姓名，隐私，保险资产管理公司变形。</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持有人账户所属人证件类型</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GL_CYRZHSSRZJLX</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001019</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sz w:val="21"/>
                <w:szCs w:val="21"/>
              </w:rPr>
              <w:t>持有人账户所属人证件类型，参照业务代码表《证件类型代码》，填报名称 。</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29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持有人账户所属人证件号码</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GL_CYRZHSSRZJHM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001018</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sz w:val="21"/>
                <w:szCs w:val="21"/>
              </w:rPr>
              <w:t>持有人账户所属人证件号码。当该号码属于自然人证件号码时，隐私，保险资产管理公司变形。</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持有人账户所属人证件到期日</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GL_CYRZHSSRZJDQR</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001005</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sz w:val="21"/>
                <w:szCs w:val="21"/>
              </w:rPr>
              <w:t>持有人账户所属人证件到期日。</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持有人账户类型</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CYRZHLX</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005018</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sz w:val="21"/>
                <w:szCs w:val="21"/>
              </w:rPr>
              <w:t>枚举值为“法人和其他组织；非法人类产品；自然人”。</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　</w:t>
            </w:r>
          </w:p>
        </w:tc>
      </w:tr>
      <w:tr>
        <w:trPr>
          <w:trHeight w:val="82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持有人账户所属机构类型</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CYRZHSSJGLX</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004002</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sz w:val="21"/>
                <w:szCs w:val="21"/>
              </w:rPr>
              <w:t>“持有人账户类型”为“法人和其他组织”和“非法人类产品”时必填。参照业务代码表《机构类型代码》，填报名称。</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非法人产品名称</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FFRCPMC</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001015</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sz w:val="21"/>
                <w:szCs w:val="21"/>
              </w:rPr>
              <w:t>“持有人账户类型”为“非法人类产品”时必填。填写产品名称，如 “传统不区分”，或“XX资管产品”。</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非法人产品类型</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FFRCPLX</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005020</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sz w:val="21"/>
                <w:szCs w:val="21"/>
              </w:rPr>
              <w:t>“持有人账户类型”为“非法人类产品”时必填。参照业务代码表《产品类型代码》，填报名称。</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29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期末持有规模</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QMCYGM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本报送期末持有专项产品的余额，单位：元。</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所属分级</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SSFJ</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005021</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参照业务代码表《产品分级类别代码》，填报名称。</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备注</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填报其他需要报送的但是目前无法标准化的信息。</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67"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4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Pr>
        <w:pStyle w:val="4"/>
        <w:numPr>
          <w:ilvl w:val="0"/>
          <w:numId w:val="8"/>
        </w:numPr>
        <w:tabs>
          <w:tab w:val="left" w:pos="709"/>
          <w:tab w:val="left" w:pos="993"/>
        </w:tabs>
        <w:rPr>
          <w:rFonts w:ascii="仿宋" w:hAnsi="仿宋" w:eastAsia="仿宋"/>
        </w:rPr>
      </w:pPr>
      <w:bookmarkStart w:id="618" w:name="_Toc29428"/>
      <w:bookmarkStart w:id="619" w:name="_Toc57538986"/>
      <w:bookmarkStart w:id="620" w:name="_Toc17543"/>
      <w:bookmarkStart w:id="621" w:name="_Toc1182"/>
      <w:bookmarkStart w:id="622" w:name="_Toc27875"/>
      <w:bookmarkStart w:id="623" w:name="_Toc7079"/>
      <w:bookmarkStart w:id="624" w:name="_Toc57479530"/>
      <w:bookmarkStart w:id="625" w:name="_Toc27162"/>
      <w:bookmarkStart w:id="626" w:name="_Toc73958598"/>
      <w:r>
        <w:rPr>
          <w:rFonts w:hint="eastAsia" w:ascii="仿宋" w:hAnsi="仿宋" w:eastAsia="仿宋"/>
        </w:rPr>
        <w:t>养老金产品</w:t>
      </w:r>
      <w:bookmarkEnd w:id="618"/>
      <w:bookmarkEnd w:id="619"/>
      <w:bookmarkEnd w:id="620"/>
      <w:bookmarkEnd w:id="621"/>
      <w:bookmarkEnd w:id="622"/>
      <w:bookmarkEnd w:id="623"/>
      <w:bookmarkEnd w:id="624"/>
      <w:bookmarkEnd w:id="625"/>
      <w:bookmarkEnd w:id="626"/>
    </w:p>
    <w:p>
      <w:pPr>
        <w:keepNext/>
        <w:keepLines/>
        <w:numPr>
          <w:ilvl w:val="1"/>
          <w:numId w:val="11"/>
        </w:numPr>
        <w:ind w:firstLineChars="0"/>
        <w:outlineLvl w:val="3"/>
        <w:rPr>
          <w:rFonts w:ascii="仿宋" w:hAnsi="仿宋" w:eastAsia="仿宋"/>
          <w:b/>
        </w:rPr>
      </w:pPr>
      <w:r>
        <w:rPr>
          <w:rFonts w:hint="eastAsia" w:ascii="仿宋" w:hAnsi="仿宋" w:eastAsia="仿宋"/>
          <w:b/>
        </w:rPr>
        <w:t>养老金产品基本信息表</w:t>
      </w:r>
    </w:p>
    <w:tbl>
      <w:tblPr>
        <w:tblStyle w:val="25"/>
        <w:tblW w:w="8824" w:type="dxa"/>
        <w:tblInd w:w="0" w:type="dxa"/>
        <w:tblLayout w:type="fixed"/>
        <w:tblCellMar>
          <w:top w:w="0" w:type="dxa"/>
          <w:left w:w="108" w:type="dxa"/>
          <w:bottom w:w="0" w:type="dxa"/>
          <w:right w:w="108" w:type="dxa"/>
        </w:tblCellMar>
      </w:tblPr>
      <w:tblGrid>
        <w:gridCol w:w="1266"/>
        <w:gridCol w:w="1371"/>
        <w:gridCol w:w="1390"/>
        <w:gridCol w:w="3411"/>
        <w:gridCol w:w="722"/>
        <w:gridCol w:w="664"/>
      </w:tblGrid>
      <w:tr>
        <w:tblPrEx>
          <w:tblCellMar>
            <w:top w:w="0" w:type="dxa"/>
            <w:left w:w="108" w:type="dxa"/>
            <w:bottom w:w="0" w:type="dxa"/>
            <w:right w:w="108" w:type="dxa"/>
          </w:tblCellMar>
        </w:tblPrEx>
        <w:trPr>
          <w:trHeight w:val="290" w:hRule="atLeast"/>
        </w:trPr>
        <w:tc>
          <w:tcPr>
            <w:tcW w:w="126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7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13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797"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YLJCPJBXXB</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养老金产品基本信息表</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E0801</w:t>
            </w:r>
          </w:p>
        </w:tc>
        <w:tc>
          <w:tcPr>
            <w:tcW w:w="4797"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本表报送保险资产管理公司管理养老金产品基本信息。</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账户代码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ZHDM</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002020</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产品账户代码，应具有唯一标识。</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账户名称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ZHMC</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002021</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产品账户名称。填写规则：按照合同中约定的账户名称全称填列。</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CPMC</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005002</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产品合同中的产品名称。</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CPDM</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005001</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按人社部要求的编码。首次披露时如因未运作无“产品代码”的，机构自定义，正式运作后及时补录更新。</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确认函号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QRHH</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001023</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人社部基金监督局在对养老金产品备案申请审核通过后确认批复函的函号，形如“人社厅函[2013] 357号”。</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确认函日期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QRHRQ</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人社部基金监督局在对养老金产品备案申请审核通过后确认批复函的日期。</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产品登记号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CPDJH</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005056</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人社部基金监督局在对养老金产品备案申请审核通过后确认批复函中的产品登记号，形如“99PF20130018”。</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注册登记人法定名称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GL_ZCDJRFDMC</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注册登记人法定名称。</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center"/>
              <w:textAlignment w:val="center"/>
              <w:outlineLvl w:val="0"/>
              <w:rPr>
                <w:rFonts w:ascii="宋体" w:hAnsi="宋体" w:eastAsia="宋体" w:cs="宋体"/>
                <w:color w:val="000000"/>
                <w:kern w:val="0"/>
                <w:sz w:val="21"/>
                <w:szCs w:val="21"/>
              </w:rPr>
            </w:pPr>
            <w:bookmarkStart w:id="627" w:name="_Toc30449"/>
            <w:bookmarkStart w:id="628" w:name="_Toc30342"/>
            <w:bookmarkStart w:id="629" w:name="_Toc13810"/>
            <w:bookmarkStart w:id="630" w:name="_Toc17842"/>
            <w:bookmarkStart w:id="631" w:name="_Toc31124"/>
            <w:bookmarkStart w:id="632" w:name="_Toc27730"/>
            <w:bookmarkStart w:id="633" w:name="_Toc25140"/>
            <w:bookmarkStart w:id="634" w:name="_Toc18856"/>
            <w:bookmarkStart w:id="635" w:name="_Toc7487"/>
            <w:r>
              <w:rPr>
                <w:rFonts w:hint="eastAsia" w:ascii="宋体" w:hAnsi="宋体" w:eastAsia="宋体"/>
                <w:color w:val="000000"/>
                <w:sz w:val="21"/>
                <w:szCs w:val="21"/>
              </w:rPr>
              <w:t>注册登记人证件类型</w:t>
            </w:r>
            <w:bookmarkEnd w:id="627"/>
            <w:bookmarkEnd w:id="628"/>
            <w:bookmarkEnd w:id="629"/>
            <w:bookmarkEnd w:id="630"/>
            <w:bookmarkEnd w:id="631"/>
            <w:bookmarkEnd w:id="632"/>
            <w:bookmarkEnd w:id="633"/>
            <w:bookmarkEnd w:id="634"/>
            <w:bookmarkEnd w:id="635"/>
          </w:p>
        </w:tc>
        <w:tc>
          <w:tcPr>
            <w:tcW w:w="1371" w:type="dxa"/>
            <w:tcBorders>
              <w:top w:val="nil"/>
              <w:left w:val="nil"/>
              <w:bottom w:val="single" w:color="auto" w:sz="8" w:space="0"/>
              <w:right w:val="single" w:color="auto" w:sz="8" w:space="0"/>
            </w:tcBorders>
            <w:shd w:val="clear" w:color="auto" w:fill="auto"/>
            <w:vAlign w:val="center"/>
          </w:tcPr>
          <w:p>
            <w:pPr>
              <w:widowControl/>
              <w:ind w:firstLine="210" w:firstLineChars="100"/>
              <w:textAlignment w:val="center"/>
              <w:outlineLvl w:val="0"/>
              <w:rPr>
                <w:rFonts w:ascii="宋体" w:hAnsi="宋体" w:eastAsia="宋体" w:cs="宋体"/>
                <w:color w:val="000000"/>
                <w:kern w:val="0"/>
                <w:sz w:val="21"/>
                <w:szCs w:val="21"/>
              </w:rPr>
            </w:pPr>
            <w:bookmarkStart w:id="636" w:name="_Toc29412"/>
            <w:bookmarkStart w:id="637" w:name="_Toc21635"/>
            <w:bookmarkStart w:id="638" w:name="_Toc13757"/>
            <w:bookmarkStart w:id="639" w:name="_Toc2276"/>
            <w:bookmarkStart w:id="640" w:name="_Toc6646"/>
            <w:bookmarkStart w:id="641" w:name="_Toc5826"/>
            <w:bookmarkStart w:id="642" w:name="_Toc19885"/>
            <w:bookmarkStart w:id="643" w:name="_Toc19427"/>
            <w:bookmarkStart w:id="644" w:name="_Toc10111"/>
            <w:r>
              <w:rPr>
                <w:rFonts w:hint="eastAsia" w:ascii="宋体" w:hAnsi="宋体" w:eastAsia="宋体"/>
                <w:color w:val="000000"/>
                <w:sz w:val="21"/>
                <w:szCs w:val="21"/>
              </w:rPr>
              <w:t>GL_ZCDJRZJLX</w:t>
            </w:r>
            <w:bookmarkEnd w:id="636"/>
            <w:bookmarkEnd w:id="637"/>
            <w:bookmarkEnd w:id="638"/>
            <w:bookmarkEnd w:id="639"/>
            <w:bookmarkEnd w:id="640"/>
            <w:bookmarkEnd w:id="641"/>
            <w:bookmarkEnd w:id="642"/>
            <w:bookmarkEnd w:id="643"/>
            <w:bookmarkEnd w:id="644"/>
          </w:p>
        </w:tc>
        <w:tc>
          <w:tcPr>
            <w:tcW w:w="1390" w:type="dxa"/>
            <w:tcBorders>
              <w:top w:val="nil"/>
              <w:left w:val="nil"/>
              <w:bottom w:val="single" w:color="auto" w:sz="8" w:space="0"/>
              <w:right w:val="single" w:color="auto" w:sz="8" w:space="0"/>
            </w:tcBorders>
            <w:shd w:val="clear" w:color="auto" w:fill="auto"/>
            <w:vAlign w:val="center"/>
          </w:tcPr>
          <w:p>
            <w:pPr>
              <w:widowControl/>
              <w:ind w:firstLine="210" w:firstLineChars="100"/>
              <w:textAlignment w:val="center"/>
              <w:outlineLvl w:val="0"/>
              <w:rPr>
                <w:rFonts w:ascii="宋体" w:hAnsi="宋体" w:eastAsia="宋体" w:cs="宋体"/>
                <w:color w:val="000000"/>
                <w:kern w:val="0"/>
                <w:sz w:val="21"/>
                <w:szCs w:val="21"/>
              </w:rPr>
            </w:pPr>
            <w:bookmarkStart w:id="645" w:name="_Toc3384"/>
            <w:bookmarkStart w:id="646" w:name="_Toc9622"/>
            <w:bookmarkStart w:id="647" w:name="_Toc31942"/>
            <w:bookmarkStart w:id="648" w:name="_Toc26267"/>
            <w:bookmarkStart w:id="649" w:name="_Toc13200"/>
            <w:bookmarkStart w:id="650" w:name="_Toc32280"/>
            <w:bookmarkStart w:id="651" w:name="_Toc3337"/>
            <w:bookmarkStart w:id="652" w:name="_Toc24897"/>
            <w:bookmarkStart w:id="653" w:name="_Toc11135"/>
            <w:r>
              <w:rPr>
                <w:rFonts w:hint="eastAsia" w:ascii="宋体" w:hAnsi="宋体" w:eastAsia="宋体"/>
                <w:color w:val="000000"/>
                <w:sz w:val="21"/>
                <w:szCs w:val="21"/>
              </w:rPr>
              <w:t>001019</w:t>
            </w:r>
            <w:bookmarkEnd w:id="645"/>
            <w:bookmarkEnd w:id="646"/>
            <w:bookmarkEnd w:id="647"/>
            <w:bookmarkEnd w:id="648"/>
            <w:bookmarkEnd w:id="649"/>
            <w:bookmarkEnd w:id="650"/>
            <w:bookmarkEnd w:id="651"/>
            <w:bookmarkEnd w:id="652"/>
            <w:bookmarkEnd w:id="653"/>
          </w:p>
        </w:tc>
        <w:tc>
          <w:tcPr>
            <w:tcW w:w="3411" w:type="dxa"/>
            <w:tcBorders>
              <w:top w:val="nil"/>
              <w:left w:val="nil"/>
              <w:bottom w:val="single" w:color="auto" w:sz="8" w:space="0"/>
              <w:right w:val="single" w:color="auto" w:sz="8" w:space="0"/>
            </w:tcBorders>
            <w:shd w:val="clear" w:color="auto" w:fill="auto"/>
            <w:vAlign w:val="center"/>
          </w:tcPr>
          <w:p>
            <w:pPr>
              <w:widowControl/>
              <w:ind w:firstLine="0" w:firstLineChars="0"/>
              <w:textAlignment w:val="center"/>
              <w:outlineLvl w:val="0"/>
              <w:rPr>
                <w:rFonts w:ascii="宋体" w:hAnsi="宋体" w:eastAsia="宋体" w:cs="宋体"/>
                <w:color w:val="000000"/>
                <w:kern w:val="0"/>
                <w:sz w:val="21"/>
                <w:szCs w:val="21"/>
              </w:rPr>
            </w:pPr>
            <w:bookmarkStart w:id="654" w:name="_Toc21668"/>
            <w:bookmarkStart w:id="655" w:name="_Toc27198"/>
            <w:bookmarkStart w:id="656" w:name="_Toc28007"/>
            <w:bookmarkStart w:id="657" w:name="_Toc3465"/>
            <w:bookmarkStart w:id="658" w:name="_Toc10491"/>
            <w:bookmarkStart w:id="659" w:name="_Toc25736"/>
            <w:bookmarkStart w:id="660" w:name="_Toc16460"/>
            <w:bookmarkStart w:id="661" w:name="_Toc18496"/>
            <w:bookmarkStart w:id="662" w:name="_Toc27756"/>
            <w:r>
              <w:rPr>
                <w:rFonts w:hint="eastAsia" w:ascii="宋体" w:hAnsi="宋体" w:eastAsia="宋体"/>
                <w:color w:val="000000"/>
                <w:sz w:val="21"/>
                <w:szCs w:val="21"/>
              </w:rPr>
              <w:t>注册登记人证件类型，参照业务代码表《证件类型代码》，填报名称 。</w:t>
            </w:r>
            <w:bookmarkEnd w:id="654"/>
            <w:bookmarkEnd w:id="655"/>
            <w:bookmarkEnd w:id="656"/>
            <w:bookmarkEnd w:id="657"/>
            <w:bookmarkEnd w:id="658"/>
            <w:bookmarkEnd w:id="659"/>
            <w:bookmarkEnd w:id="660"/>
            <w:bookmarkEnd w:id="661"/>
            <w:bookmarkEnd w:id="662"/>
          </w:p>
        </w:tc>
        <w:tc>
          <w:tcPr>
            <w:tcW w:w="722"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textAlignment w:val="center"/>
              <w:outlineLvl w:val="0"/>
              <w:rPr>
                <w:rFonts w:ascii="宋体" w:hAnsi="宋体" w:eastAsia="宋体" w:cs="宋体"/>
                <w:color w:val="000000"/>
                <w:kern w:val="0"/>
                <w:sz w:val="21"/>
                <w:szCs w:val="21"/>
              </w:rPr>
            </w:pPr>
            <w:bookmarkStart w:id="663" w:name="_Toc6440"/>
            <w:bookmarkStart w:id="664" w:name="_Toc22691"/>
            <w:bookmarkStart w:id="665" w:name="_Toc9625"/>
            <w:bookmarkStart w:id="666" w:name="_Toc12768"/>
            <w:bookmarkStart w:id="667" w:name="_Toc26541"/>
            <w:bookmarkStart w:id="668" w:name="_Toc1205"/>
            <w:bookmarkStart w:id="669" w:name="_Toc16240"/>
            <w:bookmarkStart w:id="670" w:name="_Toc21420"/>
            <w:bookmarkStart w:id="671" w:name="_Toc16978"/>
            <w:r>
              <w:rPr>
                <w:rFonts w:hint="eastAsia" w:ascii="宋体" w:hAnsi="宋体" w:eastAsia="宋体"/>
                <w:color w:val="000000"/>
                <w:sz w:val="21"/>
                <w:szCs w:val="21"/>
              </w:rPr>
              <w:t>是</w:t>
            </w:r>
            <w:bookmarkEnd w:id="663"/>
            <w:bookmarkEnd w:id="664"/>
            <w:bookmarkEnd w:id="665"/>
            <w:bookmarkEnd w:id="666"/>
            <w:bookmarkEnd w:id="667"/>
            <w:bookmarkEnd w:id="668"/>
            <w:bookmarkEnd w:id="669"/>
            <w:bookmarkEnd w:id="670"/>
            <w:bookmarkEnd w:id="671"/>
          </w:p>
        </w:tc>
        <w:tc>
          <w:tcPr>
            <w:tcW w:w="664" w:type="dxa"/>
            <w:tcBorders>
              <w:top w:val="nil"/>
              <w:left w:val="nil"/>
              <w:bottom w:val="single" w:color="auto" w:sz="8" w:space="0"/>
              <w:right w:val="single" w:color="auto" w:sz="8" w:space="0"/>
            </w:tcBorders>
            <w:shd w:val="clear" w:color="auto" w:fill="auto"/>
            <w:vAlign w:val="center"/>
          </w:tcPr>
          <w:p>
            <w:pPr>
              <w:widowControl/>
              <w:ind w:firstLine="420"/>
              <w:jc w:val="center"/>
              <w:textAlignment w:val="center"/>
              <w:outlineLvl w:val="0"/>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405"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center"/>
              <w:textAlignment w:val="center"/>
              <w:outlineLvl w:val="0"/>
              <w:rPr>
                <w:rFonts w:ascii="宋体" w:hAnsi="宋体" w:eastAsia="宋体" w:cs="宋体"/>
                <w:color w:val="000000"/>
                <w:kern w:val="0"/>
                <w:sz w:val="21"/>
                <w:szCs w:val="21"/>
              </w:rPr>
            </w:pPr>
            <w:bookmarkStart w:id="672" w:name="_Toc11654"/>
            <w:bookmarkStart w:id="673" w:name="_Toc27623"/>
            <w:bookmarkStart w:id="674" w:name="_Toc3553"/>
            <w:bookmarkStart w:id="675" w:name="_Toc25239"/>
            <w:bookmarkStart w:id="676" w:name="_Toc31306"/>
            <w:bookmarkStart w:id="677" w:name="_Toc3225"/>
            <w:bookmarkStart w:id="678" w:name="_Toc1757"/>
            <w:bookmarkStart w:id="679" w:name="_Toc11233"/>
            <w:bookmarkStart w:id="680" w:name="_Toc2368"/>
            <w:r>
              <w:rPr>
                <w:rFonts w:hint="eastAsia" w:ascii="宋体" w:hAnsi="宋体" w:eastAsia="宋体"/>
                <w:color w:val="000000"/>
                <w:sz w:val="21"/>
                <w:szCs w:val="21"/>
              </w:rPr>
              <w:t>注册登记人证件号码</w:t>
            </w:r>
            <w:bookmarkEnd w:id="672"/>
            <w:bookmarkEnd w:id="673"/>
            <w:bookmarkEnd w:id="674"/>
            <w:bookmarkEnd w:id="675"/>
            <w:bookmarkEnd w:id="676"/>
            <w:bookmarkEnd w:id="677"/>
            <w:bookmarkEnd w:id="678"/>
            <w:bookmarkEnd w:id="679"/>
            <w:bookmarkEnd w:id="680"/>
          </w:p>
        </w:tc>
        <w:tc>
          <w:tcPr>
            <w:tcW w:w="1371" w:type="dxa"/>
            <w:tcBorders>
              <w:top w:val="nil"/>
              <w:left w:val="nil"/>
              <w:bottom w:val="single" w:color="auto" w:sz="8" w:space="0"/>
              <w:right w:val="single" w:color="auto" w:sz="8" w:space="0"/>
            </w:tcBorders>
            <w:shd w:val="clear" w:color="auto" w:fill="auto"/>
            <w:vAlign w:val="center"/>
          </w:tcPr>
          <w:p>
            <w:pPr>
              <w:widowControl/>
              <w:ind w:firstLine="210" w:firstLineChars="100"/>
              <w:textAlignment w:val="center"/>
              <w:outlineLvl w:val="0"/>
              <w:rPr>
                <w:rFonts w:ascii="宋体" w:hAnsi="宋体" w:eastAsia="宋体" w:cs="宋体"/>
                <w:color w:val="000000"/>
                <w:kern w:val="0"/>
                <w:sz w:val="21"/>
                <w:szCs w:val="21"/>
              </w:rPr>
            </w:pPr>
            <w:bookmarkStart w:id="681" w:name="_Toc19133"/>
            <w:bookmarkStart w:id="682" w:name="_Toc26219"/>
            <w:bookmarkStart w:id="683" w:name="_Toc30079"/>
            <w:bookmarkStart w:id="684" w:name="_Toc19268"/>
            <w:bookmarkStart w:id="685" w:name="_Toc7215"/>
            <w:bookmarkStart w:id="686" w:name="_Toc27735"/>
            <w:bookmarkStart w:id="687" w:name="_Toc14319"/>
            <w:bookmarkStart w:id="688" w:name="_Toc30189"/>
            <w:bookmarkStart w:id="689" w:name="_Toc13841"/>
            <w:r>
              <w:rPr>
                <w:rFonts w:hint="eastAsia" w:ascii="宋体" w:hAnsi="宋体" w:eastAsia="宋体"/>
                <w:color w:val="000000"/>
                <w:sz w:val="21"/>
                <w:szCs w:val="21"/>
              </w:rPr>
              <w:t>GL_ZCDJRZJHM</w:t>
            </w:r>
            <w:bookmarkEnd w:id="681"/>
            <w:bookmarkEnd w:id="682"/>
            <w:bookmarkEnd w:id="683"/>
            <w:bookmarkEnd w:id="684"/>
            <w:bookmarkEnd w:id="685"/>
            <w:bookmarkEnd w:id="686"/>
            <w:bookmarkEnd w:id="687"/>
            <w:bookmarkEnd w:id="688"/>
            <w:bookmarkEnd w:id="689"/>
          </w:p>
        </w:tc>
        <w:tc>
          <w:tcPr>
            <w:tcW w:w="1390" w:type="dxa"/>
            <w:tcBorders>
              <w:top w:val="nil"/>
              <w:left w:val="nil"/>
              <w:bottom w:val="single" w:color="auto" w:sz="8" w:space="0"/>
              <w:right w:val="single" w:color="auto" w:sz="8" w:space="0"/>
            </w:tcBorders>
            <w:shd w:val="clear" w:color="auto" w:fill="auto"/>
            <w:vAlign w:val="center"/>
          </w:tcPr>
          <w:p>
            <w:pPr>
              <w:widowControl/>
              <w:ind w:firstLine="210" w:firstLineChars="100"/>
              <w:textAlignment w:val="center"/>
              <w:outlineLvl w:val="0"/>
              <w:rPr>
                <w:rFonts w:ascii="宋体" w:hAnsi="宋体" w:eastAsia="宋体" w:cs="宋体"/>
                <w:color w:val="000000"/>
                <w:kern w:val="0"/>
                <w:sz w:val="21"/>
                <w:szCs w:val="21"/>
              </w:rPr>
            </w:pPr>
            <w:bookmarkStart w:id="690" w:name="_Toc11269"/>
            <w:bookmarkStart w:id="691" w:name="_Toc20556"/>
            <w:bookmarkStart w:id="692" w:name="_Toc3395"/>
            <w:bookmarkStart w:id="693" w:name="_Toc15001"/>
            <w:bookmarkStart w:id="694" w:name="_Toc830"/>
            <w:bookmarkStart w:id="695" w:name="_Toc27117"/>
            <w:bookmarkStart w:id="696" w:name="_Toc10231"/>
            <w:bookmarkStart w:id="697" w:name="_Toc22889"/>
            <w:bookmarkStart w:id="698" w:name="_Toc4288"/>
            <w:r>
              <w:rPr>
                <w:rFonts w:hint="eastAsia" w:ascii="宋体" w:hAnsi="宋体" w:eastAsia="宋体"/>
                <w:color w:val="000000"/>
                <w:sz w:val="21"/>
                <w:szCs w:val="21"/>
              </w:rPr>
              <w:t>001018</w:t>
            </w:r>
            <w:bookmarkEnd w:id="690"/>
            <w:bookmarkEnd w:id="691"/>
            <w:bookmarkEnd w:id="692"/>
            <w:bookmarkEnd w:id="693"/>
            <w:bookmarkEnd w:id="694"/>
            <w:bookmarkEnd w:id="695"/>
            <w:bookmarkEnd w:id="696"/>
            <w:bookmarkEnd w:id="697"/>
            <w:bookmarkEnd w:id="698"/>
          </w:p>
        </w:tc>
        <w:tc>
          <w:tcPr>
            <w:tcW w:w="3411" w:type="dxa"/>
            <w:tcBorders>
              <w:top w:val="nil"/>
              <w:left w:val="nil"/>
              <w:bottom w:val="single" w:color="auto" w:sz="8" w:space="0"/>
              <w:right w:val="single" w:color="auto" w:sz="8" w:space="0"/>
            </w:tcBorders>
            <w:shd w:val="clear" w:color="auto" w:fill="auto"/>
            <w:vAlign w:val="center"/>
          </w:tcPr>
          <w:p>
            <w:pPr>
              <w:widowControl/>
              <w:ind w:firstLine="0" w:firstLineChars="0"/>
              <w:textAlignment w:val="center"/>
              <w:outlineLvl w:val="0"/>
              <w:rPr>
                <w:rFonts w:ascii="宋体" w:hAnsi="宋体" w:eastAsia="宋体" w:cs="宋体"/>
                <w:color w:val="000000"/>
                <w:kern w:val="0"/>
                <w:sz w:val="21"/>
                <w:szCs w:val="21"/>
              </w:rPr>
            </w:pPr>
            <w:bookmarkStart w:id="699" w:name="_Toc7050"/>
            <w:bookmarkStart w:id="700" w:name="_Toc5046"/>
            <w:bookmarkStart w:id="701" w:name="_Toc19302"/>
            <w:bookmarkStart w:id="702" w:name="_Toc1127"/>
            <w:bookmarkStart w:id="703" w:name="_Toc19925"/>
            <w:bookmarkStart w:id="704" w:name="_Toc13773"/>
            <w:bookmarkStart w:id="705" w:name="_Toc23226"/>
            <w:bookmarkStart w:id="706" w:name="_Toc9115"/>
            <w:bookmarkStart w:id="707" w:name="_Toc11179"/>
            <w:r>
              <w:rPr>
                <w:rFonts w:hint="eastAsia" w:ascii="宋体" w:hAnsi="宋体" w:eastAsia="宋体"/>
                <w:color w:val="000000"/>
                <w:sz w:val="21"/>
                <w:szCs w:val="21"/>
              </w:rPr>
              <w:t>注册登记人证件号码。</w:t>
            </w:r>
            <w:bookmarkEnd w:id="699"/>
            <w:bookmarkEnd w:id="700"/>
            <w:bookmarkEnd w:id="701"/>
            <w:bookmarkEnd w:id="702"/>
            <w:bookmarkEnd w:id="703"/>
            <w:bookmarkEnd w:id="704"/>
            <w:bookmarkEnd w:id="705"/>
            <w:bookmarkEnd w:id="706"/>
            <w:bookmarkEnd w:id="707"/>
          </w:p>
        </w:tc>
        <w:tc>
          <w:tcPr>
            <w:tcW w:w="722"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textAlignment w:val="center"/>
              <w:outlineLvl w:val="0"/>
              <w:rPr>
                <w:rFonts w:ascii="宋体" w:hAnsi="宋体" w:eastAsia="宋体" w:cs="宋体"/>
                <w:color w:val="000000"/>
                <w:kern w:val="0"/>
                <w:sz w:val="21"/>
                <w:szCs w:val="21"/>
              </w:rPr>
            </w:pPr>
            <w:bookmarkStart w:id="708" w:name="_Toc27897"/>
            <w:bookmarkStart w:id="709" w:name="_Toc31572"/>
            <w:bookmarkStart w:id="710" w:name="_Toc8988"/>
            <w:bookmarkStart w:id="711" w:name="_Toc27184"/>
            <w:bookmarkStart w:id="712" w:name="_Toc31282"/>
            <w:bookmarkStart w:id="713" w:name="_Toc6007"/>
            <w:bookmarkStart w:id="714" w:name="_Toc20873"/>
            <w:bookmarkStart w:id="715" w:name="_Toc3419"/>
            <w:bookmarkStart w:id="716" w:name="_Toc1241"/>
            <w:r>
              <w:rPr>
                <w:rFonts w:hint="eastAsia" w:ascii="宋体" w:hAnsi="宋体" w:eastAsia="宋体"/>
                <w:color w:val="000000"/>
                <w:sz w:val="21"/>
                <w:szCs w:val="21"/>
              </w:rPr>
              <w:t>是</w:t>
            </w:r>
            <w:bookmarkEnd w:id="708"/>
            <w:bookmarkEnd w:id="709"/>
            <w:bookmarkEnd w:id="710"/>
            <w:bookmarkEnd w:id="711"/>
            <w:bookmarkEnd w:id="712"/>
            <w:bookmarkEnd w:id="713"/>
            <w:bookmarkEnd w:id="714"/>
            <w:bookmarkEnd w:id="715"/>
            <w:bookmarkEnd w:id="716"/>
          </w:p>
        </w:tc>
        <w:tc>
          <w:tcPr>
            <w:tcW w:w="664" w:type="dxa"/>
            <w:tcBorders>
              <w:top w:val="nil"/>
              <w:left w:val="nil"/>
              <w:bottom w:val="single" w:color="auto" w:sz="8" w:space="0"/>
              <w:right w:val="single" w:color="auto" w:sz="8" w:space="0"/>
            </w:tcBorders>
            <w:shd w:val="clear" w:color="auto" w:fill="auto"/>
            <w:vAlign w:val="center"/>
          </w:tcPr>
          <w:p>
            <w:pPr>
              <w:widowControl/>
              <w:ind w:firstLine="0" w:firstLineChars="0"/>
              <w:jc w:val="center"/>
              <w:textAlignment w:val="center"/>
              <w:outlineLvl w:val="0"/>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注册登记人证件到期日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GL_ZCDJRZJDQR</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注册登记人证件到期日。</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产品托管人法定名称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GL_CPTGRFDMC</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001015</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产品托管人法定名称。</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产品托管人证件类型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GL_CPTGRZJLX</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001019</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产品托管人证件类型，参照业务代码表《证件类型代码》，填报名称 。</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产品托管人证件号码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GL_CPTGRZJHM</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产品托管人证件号码。</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产品托管人证件到期日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GL_CPTGRZJDQR</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产品托管人证件到期日。</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发行方式</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FXFS</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005057</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枚举值为“公开；不公开”。</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63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产品大类</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CPDL</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005034</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枚举值为“权益类；固定收益类；流动性；其他”。</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CPLX</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005036</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养老金产品备案申请及人社部基金监督局确认批复的产品类型。枚举值为“股票型；股权型；优先股型；股票专项型；混合型；固定收益-普通型；固定收益-存款型；固定收益-债券型；固定收益-债券基金型；固定收益-商业银行理财产品型；固定收益-信托产品型；固定收益-基础设施债权投资计划型；固定收益-特定资产管理计划型；固定收益-保险产品型；固定收益-其他型；货币型；其他型”。</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起始投资日期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QSTZRQ</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起始投资日期指首笔资金到达投资资产托管账户当日。首次披露时如因未运作无“起始投资日期”的，填写99991231，正式运作后须及时补录更新该信息。</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投资经理姓名</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TZJLXM</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001016</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养老金产品的投资经理，每季度更新为最新投资经理，可有多位，需用英文分号“;”隔开。变更情况需在备注中说明。</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投管费率</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TGFL</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合同约定的管理费率，变更情况需在备注中说明，填数字，不填百分比，最少保留四位小数，比如12.34%填写为0.1234。如无具体费率选填“99999”。</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当年投资管理费</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DNTZGLF</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投资管理费是指当年年初至报告期末实际收到的养老金产品投资管理费累计数，单位：元。</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期初产品资产净值</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QCCPZCJZ</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报告期初的上一自然日组合净资产，对于报告期间成立的新组合，期初是指产品起始投资运作时点的数据。单位：元。</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期末产品资产净值</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QMCPZCJZ</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报告期末的组合净资产。单位：元。</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期初资产份额</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QCZCFE</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001048</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报告期初的上一自然日组合资产份额，对于报告期间成立的新组合，期初是指产品起始投资运作时点的数据，单位：份。</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期末资产份额</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QMZCFE</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001048</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报告期末的组合资产份额，单位：份。</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期初单位净值</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QCDWJZ</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报告期初的上一自然日单位净值，对于报告期间成立的新组合，期初是指产品起始投资运作时点的数据。单位：元。</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期末单位净值</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QMDWJZ</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报告期末的单位净值。单位：元。</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报告期内投资收益</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BGQNTZSY</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报告期的组合净利润，单位：元。</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报告期内投资收益率</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BGQNTZSYL</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时间跨度为报告期内，计算方法同本期，填数字，不填百分比，最少保留四位小数，比如12.34%填写为0.1234。</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本年以来投资收益率</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BNYLTZSYL</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时间跨度为本年以来，计算方法同本期，填数字，不填百分比，最少保留四位小数，比如12.34%填写为0.1234。</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产品成立以来累计收益率</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CPCLYLLJSYL</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时间跨度为本投资管理人管理本产品开展投资以来，计算方法同本期，填数字，不填百分比，最少保留四位小数，比如12.34%填写为0.1234。</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当期分配金额</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DQFPJE</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实际分红总金额，单位：元。</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13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2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6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养老金产品持有人信息表</w:t>
      </w:r>
    </w:p>
    <w:tbl>
      <w:tblPr>
        <w:tblStyle w:val="25"/>
        <w:tblW w:w="8824" w:type="dxa"/>
        <w:tblInd w:w="0" w:type="dxa"/>
        <w:tblLayout w:type="fixed"/>
        <w:tblCellMar>
          <w:top w:w="0" w:type="dxa"/>
          <w:left w:w="108" w:type="dxa"/>
          <w:bottom w:w="0" w:type="dxa"/>
          <w:right w:w="108" w:type="dxa"/>
        </w:tblCellMar>
      </w:tblPr>
      <w:tblGrid>
        <w:gridCol w:w="1371"/>
        <w:gridCol w:w="1332"/>
        <w:gridCol w:w="888"/>
        <w:gridCol w:w="3771"/>
        <w:gridCol w:w="807"/>
        <w:gridCol w:w="655"/>
      </w:tblGrid>
      <w:tr>
        <w:tblPrEx>
          <w:tblCellMar>
            <w:top w:w="0" w:type="dxa"/>
            <w:left w:w="108" w:type="dxa"/>
            <w:bottom w:w="0" w:type="dxa"/>
            <w:right w:w="108" w:type="dxa"/>
          </w:tblCellMar>
        </w:tblPrEx>
        <w:trPr>
          <w:trHeight w:val="290" w:hRule="atLeast"/>
        </w:trPr>
        <w:tc>
          <w:tcPr>
            <w:tcW w:w="137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3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8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YLJCPCYRXXB</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养老金产品持有人信息表</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E0802</w:t>
            </w:r>
          </w:p>
        </w:tc>
        <w:tc>
          <w:tcPr>
            <w:tcW w:w="523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本表报送保险资产管理公司管理养老金产品持有人及变动情况信息。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005002</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产品合同中的产品名称。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005001</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按人社部要求的编码。首次披露时如因未运作无“产品代码”的，机构自定义，正式运作后及时补录更新。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10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组合代码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ZHDM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组合代码为受托人、投资管理人编制的8位代码，即“3位受托人/投资管理人机构代码+Q+4位序列号”。一般在份额持有人开户过程获取该项客户资料。</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持有人编码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CYRBM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公司自行定义的持有人编码，应具有唯一性。</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持有人法定名称</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GL_CYRFDMC</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持有人法定名称。</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持有人证件类型</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GL_CYRZJLX</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持有人证件类型，参照业务代码表《证件类型代码》，填报名称 。</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持有人证件号码</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GL_CYRZJHM</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持有人证件号码。</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持有人证件到期日</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GL_CYRZJDQR</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持有人证件到期日。</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资金来源</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ZJLY</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005063</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枚举值为“职业年金计划；企业年金基金；基本养老；其他”。</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报告期末持有份额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BGQMCYFE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截止至期末客户持有份额，单位：份。</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报告期末资产净值</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BGQMZCJZ</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截止至期末客户持有市值，单位：元。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报告期内合计申购份额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BGQNHJSGFE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报告期内合计申购总份额，单位：份。</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报告期内合计申购金额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BGQNHJSGJE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报告期内合计申购总金额，单位：元。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报告期内合计赎回份额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BGQNHJSHFE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报告期内合计赎回总份额，单位：份。</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报告期内合计赎回金额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BGQNHJSHJE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报告期内合计赎回总金额，单位：元。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报告期内收益分配金额</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BGQNSYFPJE</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报告期内收益分配总金额，单位：元。</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37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8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8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3"/>
        <w:numPr>
          <w:ilvl w:val="0"/>
          <w:numId w:val="6"/>
        </w:numPr>
        <w:ind w:left="0"/>
        <w:rPr>
          <w:szCs w:val="30"/>
        </w:rPr>
      </w:pPr>
      <w:bookmarkStart w:id="717" w:name="_Toc16536"/>
      <w:bookmarkStart w:id="718" w:name="_Toc21570"/>
      <w:bookmarkStart w:id="719" w:name="_Toc20572"/>
      <w:bookmarkStart w:id="720" w:name="_Toc18892"/>
      <w:bookmarkStart w:id="721" w:name="_Toc6167"/>
      <w:bookmarkStart w:id="722" w:name="_Toc3896"/>
      <w:bookmarkStart w:id="723" w:name="_Toc6414"/>
      <w:bookmarkStart w:id="724" w:name="_Toc27444"/>
      <w:bookmarkStart w:id="725" w:name="_Toc4963"/>
      <w:bookmarkStart w:id="726" w:name="_Toc22342"/>
      <w:bookmarkStart w:id="727" w:name="_Toc73958610"/>
      <w:bookmarkStart w:id="728" w:name="_Toc25993"/>
      <w:r>
        <w:rPr>
          <w:rFonts w:hint="eastAsia"/>
          <w:szCs w:val="30"/>
        </w:rPr>
        <w:t>投资资产信息</w:t>
      </w:r>
      <w:bookmarkEnd w:id="717"/>
      <w:bookmarkEnd w:id="718"/>
      <w:bookmarkEnd w:id="719"/>
      <w:bookmarkEnd w:id="720"/>
      <w:bookmarkEnd w:id="721"/>
      <w:bookmarkEnd w:id="722"/>
      <w:bookmarkEnd w:id="723"/>
      <w:bookmarkEnd w:id="724"/>
      <w:bookmarkEnd w:id="725"/>
      <w:bookmarkEnd w:id="726"/>
      <w:bookmarkEnd w:id="727"/>
      <w:bookmarkEnd w:id="728"/>
    </w:p>
    <w:p>
      <w:pPr>
        <w:pStyle w:val="4"/>
        <w:numPr>
          <w:ilvl w:val="0"/>
          <w:numId w:val="12"/>
        </w:numPr>
        <w:tabs>
          <w:tab w:val="left" w:pos="709"/>
          <w:tab w:val="left" w:pos="993"/>
        </w:tabs>
        <w:rPr>
          <w:rFonts w:ascii="仿宋" w:hAnsi="仿宋" w:eastAsia="仿宋"/>
        </w:rPr>
      </w:pPr>
      <w:bookmarkStart w:id="729" w:name="_Toc7897"/>
      <w:bookmarkStart w:id="730" w:name="_Toc17807"/>
      <w:bookmarkStart w:id="731" w:name="_Toc24226"/>
      <w:bookmarkStart w:id="732" w:name="_Toc16977"/>
      <w:bookmarkStart w:id="733" w:name="_Toc17909"/>
      <w:bookmarkStart w:id="734" w:name="_Toc73958611"/>
      <w:bookmarkStart w:id="735" w:name="_Toc16882"/>
      <w:r>
        <w:rPr>
          <w:rFonts w:hint="eastAsia" w:ascii="仿宋" w:hAnsi="仿宋" w:eastAsia="仿宋"/>
        </w:rPr>
        <w:t>信托计划</w:t>
      </w:r>
      <w:bookmarkEnd w:id="729"/>
      <w:bookmarkEnd w:id="730"/>
      <w:bookmarkEnd w:id="731"/>
      <w:bookmarkEnd w:id="732"/>
      <w:bookmarkEnd w:id="733"/>
      <w:bookmarkEnd w:id="734"/>
      <w:bookmarkEnd w:id="735"/>
    </w:p>
    <w:p>
      <w:pPr>
        <w:keepNext/>
        <w:keepLines/>
        <w:numPr>
          <w:ilvl w:val="1"/>
          <w:numId w:val="11"/>
        </w:numPr>
        <w:ind w:firstLineChars="0"/>
        <w:outlineLvl w:val="3"/>
        <w:rPr>
          <w:rFonts w:ascii="仿宋" w:hAnsi="仿宋" w:eastAsia="仿宋"/>
          <w:b/>
        </w:rPr>
      </w:pPr>
      <w:r>
        <w:rPr>
          <w:rFonts w:hint="eastAsia" w:ascii="仿宋" w:hAnsi="仿宋" w:eastAsia="仿宋"/>
          <w:b/>
        </w:rPr>
        <w:t>信托计划基本信息表</w:t>
      </w:r>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9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bookmarkStart w:id="736" w:name="_Hlk60232546"/>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XTJHJBXXB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信托计划基本信息表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F0101</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本表报送机构持有信托计划基本信息。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信托产品全称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XTCPQC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信托计划全称。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产品登记编号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CPDJBH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006002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信托产品登记编码是指在中国信登所登记的信托产品唯一编码。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信托产品代码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XTCPDM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006003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信托公司内部产品代码或编号。信托公司自定义，信托产品的内部唯一编号。</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信托产品存续标识</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XTCPCXBS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006004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枚举值为“存续(正常)；存续(展期)；存续(逾期)；终止”。终止在此表示信托产品已终止但还未出具清算报告。</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信托功能分类</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XTGNFL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006005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枚举值为“融资类；投资类；事务管理类”。</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资管产品类型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ZGCPLX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枚举值为“固定收益类；权益类；商品及金融衍生品类；混合类”。</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信托财产运用方式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XTCCYYFS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006006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枚举值为“股票投资；债券投资；金融衍生品；信托贷款；信贷资产转让；资产收（受）益权；资产支持证券化；准资产支持证券化；特定目的载体份额；应收账款转让；其他非标准化债权投资；其他股权投资；非私募基金类有限合伙份额；固定资产投资；另类资产投资；出售；出租；持有并管理；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管理方式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GLFS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006007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枚举值为“单一；集合”。根据同一信托中委托人的数量而进行的分类。</w:t>
            </w:r>
            <w:r>
              <w:rPr>
                <w:rFonts w:hint="eastAsia" w:ascii="宋体" w:hAnsi="宋体" w:eastAsia="宋体"/>
                <w:color w:val="000000"/>
                <w:sz w:val="21"/>
                <w:szCs w:val="21"/>
              </w:rPr>
              <w:br w:type="textWrapping"/>
            </w:r>
            <w:r>
              <w:rPr>
                <w:rFonts w:hint="eastAsia" w:ascii="宋体" w:hAnsi="宋体" w:eastAsia="宋体"/>
                <w:color w:val="000000"/>
                <w:sz w:val="21"/>
                <w:szCs w:val="21"/>
              </w:rPr>
              <w:t>单一：设立信托时委托人为单个人的信托，其中财产共有人以共有财产设立的信托属于单一信托。</w:t>
            </w:r>
            <w:r>
              <w:rPr>
                <w:rFonts w:hint="eastAsia" w:ascii="宋体" w:hAnsi="宋体" w:eastAsia="宋体"/>
                <w:color w:val="000000"/>
                <w:sz w:val="21"/>
                <w:szCs w:val="21"/>
              </w:rPr>
              <w:br w:type="textWrapping"/>
            </w:r>
            <w:r>
              <w:rPr>
                <w:rFonts w:hint="eastAsia" w:ascii="宋体" w:hAnsi="宋体" w:eastAsia="宋体"/>
                <w:color w:val="000000"/>
                <w:sz w:val="21"/>
                <w:szCs w:val="21"/>
              </w:rPr>
              <w:t>集合：设立信托时委托人为两个人以上（含两个）的信托。</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管理责任</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GLZR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004004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信托合同中约定的信托公司应承担的责任（合同约定责任），枚举值为“主动管理；非主动管理”。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产品成立日期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CPCLRQ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产品实际成立日期，YYYYMMDD。</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预计到期日期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YJDQRQ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根据信托合同约定计算的产品预计到期日期，YYYYMMDD，未规定到期日期或永久信托，填写99991231。</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结构化属性</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JGHSX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枚举值为“分级；非分级”。</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优先劣后受益权比例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YXLHSYQBL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001051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结构化属性”为“分级”时必填。根据合同按实际认购和申购情况填写，本信托产品所有优先受益权份额与劣后受益权份额之比。如分为优先、中间、劣后，则将中间层填报至优先级。填数字，不填百分比，最少保留两位小数，比如12.34%填写为12.34。</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还本付息方式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HBFXFS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参照业务代码表《还本付息方式代码》，填报名称。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付息周期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FXZQ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枚举值为“按月；按季；按半年；按年；其他”。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当前产品存续规模</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DQCPCXGM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截至填报期存续的受托规模。若金额涉及到外币，自行转换成人民币进行填报。按实际金额填写，单位：元。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投资收益率</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TZSYL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信托计划的投资收益率，填数字，不填百分比，最少保留四位小数，比如12.34%填写为0.1234。如无具体费率选填“99999”。</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资金运用方式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ZJYYFS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信托资金运用方式描述。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资金投向</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ZJTX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006009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枚举值为“基础设施；工商企业；房地产；金融机构；证券类；其他”。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投向行业明细</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TXHYMX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参照业务代码表《行业类型代码》，例如：农业、林业等，填报名称。如无法区分，填报“不适用”。</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信托财产运用地区</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XTCCYYDQ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信托财产运用地区，涉及多地的，填报主要地区。参照业务代码表《行政区划代码》，境内地区至少精确到省、自治区、直辖市、特别行政区，应逐级填写完整地域名称，如“河北省石家庄市长安区”。如无法区分，填报“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信用增级安排</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XYZJAP</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枚举值为“保证担保；抵押担保；质押担保；流动性支持；回购承诺；差额补足；无；其他”。可多选，以“;”隔开。</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抵质押物账面价值</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DZYWZMJZ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抵质押物的原有价值，按实际金额填写。若涉及到外币，自行转换成人民币进行填报。单位：元。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评估机构名称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PGJGMC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抵质押物价值评估时的评估机构名称，名称应与公章所使用的名称完全一致。如为内部评估，填写机构本身名称。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36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评估价值</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PGJZ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评估机构对抵质押物的评估价值，按实际金额填写。若金额涉及到外币，自行转换成人民币进行填报。单位：元。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评估日期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PGRQ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评估机构对抵质押物的评估日期，YYYYMMDD。</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抵质押率</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DZYL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押品担保本金余额/押品评估价值。按合同内整体押品计算的抵质押率，不是单件押品计算出来的抵质押率。填数字，不填百分比，最少保留两位小数，比如12.34%填写为12.34。</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受托人LEI编码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STRLEIBM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填写受托人全球法人识别编码。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受托人法定名称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GL_STRFDMC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受托人法定名称。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受托人证件类型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GL_STRZJLX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受托人证件类型，参照业务代码表《证件类型代码》，填报名称。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受托人证件号码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GL_STRZJHM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受托人证件号码。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受托人证件到期日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GL_STRZJDQR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受托人证件到期日。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托管人LEI编码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TGRLEIBM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填写托管人全球法人识别编码。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托管人法定名称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GL_TGRFDMC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托管人法定名称。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托管人证件类型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GL_TGRZJLX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托管人证件类型，参照业务代码表《证件类型代码》，填报名称。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托管人证件号码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GL_TGRZJHM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托管人证件号码。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托管人证件到期日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GL_TGRZJDQR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托管人证件到期日。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投资账户名称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TZZHMC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机构自有资金、受托资金或产品管理账户名称。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投资账户代码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TZZHDM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机构自有资金、受托资金或产品管理账户代码。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持有份额起息日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CYFEQXR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产品募集份额起息日期。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期末持有规模</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QMCYGM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受益人期末持有金额，单位：元。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所属分级</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SSFJ</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参照业务代码表《产品分级类别代码》，填报名称。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本级存续规模</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BJCXGM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以报送时点计算，本级存续规模，单位：元。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收益率计提方式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SYLJTFS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枚举值为“固定收益率；浮动收益率；固定+浮动收益率；其他”。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持有人预期收益率</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CYRYQSYL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填写持有人预期收益率。不带百分号，按小数形式填写，保留小数点后6位，如3.1234%填写为0.031234。</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收益率描述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SYLMS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收益率具体描述。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退出方式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TCFS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006040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全部份额实际退出时必填。枚举值为“正常持有到期；提前赎回；转让第三方；信托计划提前终止；其他”。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实际退出日期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SJTCRQ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持有人实际退出日期。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实际收益率</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SJSYL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全部份额实际退出时必填。不带百分号，按小数形式填写，保留小数点后6位，如3.1234%填写为0.031234。</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备注</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信托产品信息及投资人信息备注。</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bookmarkEnd w:id="736"/>
    <w:p>
      <w:pPr>
        <w:keepNext/>
        <w:keepLines/>
        <w:numPr>
          <w:ilvl w:val="1"/>
          <w:numId w:val="11"/>
        </w:numPr>
        <w:ind w:firstLineChars="0"/>
        <w:outlineLvl w:val="3"/>
        <w:rPr>
          <w:rFonts w:ascii="仿宋" w:hAnsi="仿宋" w:eastAsia="仿宋"/>
          <w:b/>
        </w:rPr>
      </w:pPr>
      <w:r>
        <w:rPr>
          <w:rFonts w:hint="eastAsia" w:ascii="仿宋" w:hAnsi="仿宋" w:eastAsia="仿宋"/>
          <w:b/>
        </w:rPr>
        <w:t>信托计划融资人信息表</w:t>
      </w:r>
    </w:p>
    <w:tbl>
      <w:tblPr>
        <w:tblStyle w:val="25"/>
        <w:tblW w:w="8824" w:type="dxa"/>
        <w:tblInd w:w="0" w:type="dxa"/>
        <w:tblLayout w:type="fixed"/>
        <w:tblCellMar>
          <w:top w:w="0" w:type="dxa"/>
          <w:left w:w="108" w:type="dxa"/>
          <w:bottom w:w="0" w:type="dxa"/>
          <w:right w:w="108" w:type="dxa"/>
        </w:tblCellMar>
      </w:tblPr>
      <w:tblGrid>
        <w:gridCol w:w="1266"/>
        <w:gridCol w:w="1353"/>
        <w:gridCol w:w="909"/>
        <w:gridCol w:w="3974"/>
        <w:gridCol w:w="644"/>
        <w:gridCol w:w="678"/>
      </w:tblGrid>
      <w:tr>
        <w:tblPrEx>
          <w:tblCellMar>
            <w:top w:w="0" w:type="dxa"/>
            <w:left w:w="108" w:type="dxa"/>
            <w:bottom w:w="0" w:type="dxa"/>
            <w:right w:w="108" w:type="dxa"/>
          </w:tblCellMar>
        </w:tblPrEx>
        <w:trPr>
          <w:trHeight w:val="290" w:hRule="atLeast"/>
        </w:trPr>
        <w:tc>
          <w:tcPr>
            <w:tcW w:w="126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5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0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9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XTJHRZRXXB</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信托计划融资人信息表</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F010</w:t>
            </w:r>
            <w:r>
              <w:rPr>
                <w:rFonts w:ascii="宋体" w:hAnsi="宋体" w:eastAsia="宋体" w:cs="宋体"/>
                <w:color w:val="000000"/>
                <w:kern w:val="0"/>
                <w:sz w:val="21"/>
                <w:szCs w:val="21"/>
              </w:rPr>
              <w:t>2</w:t>
            </w:r>
          </w:p>
        </w:tc>
        <w:tc>
          <w:tcPr>
            <w:tcW w:w="529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本表报送机构持有信托计划融资人相关信息。</w:t>
            </w:r>
          </w:p>
        </w:tc>
      </w:tr>
      <w:tr>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信托产品全称</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XTCPQC</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006001</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信托计划全称。</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产品登记编号</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CPDJBH</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006002</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信托产品登记编码是指在中国信登所登记的信托产品唯一编码。</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信托产品代码</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XTCPDM</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006003</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信托公司内部产品代码或编号。信托公司自定义，信托产品的内部唯一编号。</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受托人法定名称</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GL_STRFDMC</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受托人法定名称。</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受托人证件类型</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GL_STRZJLX</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受托人证件类型，参照业务代码表《证件类型代码》，填报名称。</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受托人证件号码</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GL_STRZJHM</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受托人证件号码。</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受托人证件到期日</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GL_STRZJDQR</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受托人证件到期日。</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融资人法定名称</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GL_RZRFDMC</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填写融资人全称。若为自然人姓名，隐私，保险资产管理公司变形。</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融资人证件类型</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GL_RZRZJLX</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融资人证件类型，参照业务代码表《证件类型代码》，填报名称。</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融资人证件号码</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GL_RZRZJHM</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融资人证件号码。若为自然人证件号码，隐私，保险资产管理公司变形。</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融资人证件到期日</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GL_RZRZJDQR</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融资人证件到期日。</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融资人类型</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RZRLX</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006039</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枚举值为“自然人；个体工商户；广义政府；非金融企业；金融机构（实体）；特定目的载体；境外”。</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融资人所属地区</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RZRSSDQ</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001017</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参照业务代码表《行政区划代码》，境内地区至少精确到省、自治区、直辖市、特别行政区，应逐级填写完整地域名称，如“河北省石家庄市长安区”。如无法区分，填报“其他”。</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融资人所属行业</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RZRSSXY</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001024</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参照业务代码表《行业类型代码》，例如：农业、林业等，填报名称。如无法区分，填报“不适用”。</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numPr>
          <w:ilvl w:val="0"/>
          <w:numId w:val="12"/>
        </w:numPr>
        <w:tabs>
          <w:tab w:val="left" w:pos="709"/>
          <w:tab w:val="left" w:pos="993"/>
        </w:tabs>
        <w:rPr>
          <w:rFonts w:ascii="仿宋" w:hAnsi="仿宋" w:eastAsia="仿宋"/>
        </w:rPr>
      </w:pPr>
      <w:bookmarkStart w:id="737" w:name="_Toc20072"/>
      <w:bookmarkStart w:id="738" w:name="_Toc7886"/>
      <w:bookmarkStart w:id="739" w:name="_Toc73958612"/>
      <w:bookmarkStart w:id="740" w:name="_Toc28232"/>
      <w:bookmarkStart w:id="741" w:name="_Toc6480"/>
      <w:bookmarkStart w:id="742" w:name="_Toc18241"/>
      <w:bookmarkStart w:id="743" w:name="_Toc26298"/>
      <w:r>
        <w:rPr>
          <w:rFonts w:hint="eastAsia" w:ascii="仿宋" w:hAnsi="仿宋" w:eastAsia="仿宋"/>
        </w:rPr>
        <w:t>银行存款</w:t>
      </w:r>
      <w:bookmarkEnd w:id="737"/>
      <w:bookmarkEnd w:id="738"/>
      <w:bookmarkEnd w:id="739"/>
      <w:bookmarkEnd w:id="740"/>
      <w:bookmarkEnd w:id="741"/>
      <w:bookmarkEnd w:id="742"/>
      <w:bookmarkEnd w:id="743"/>
    </w:p>
    <w:p>
      <w:pPr>
        <w:keepNext/>
        <w:keepLines/>
        <w:numPr>
          <w:ilvl w:val="1"/>
          <w:numId w:val="11"/>
        </w:numPr>
        <w:ind w:firstLineChars="0"/>
        <w:outlineLvl w:val="3"/>
        <w:rPr>
          <w:rFonts w:ascii="仿宋" w:hAnsi="仿宋" w:eastAsia="仿宋"/>
          <w:b/>
        </w:rPr>
      </w:pPr>
      <w:r>
        <w:rPr>
          <w:rFonts w:hint="eastAsia" w:ascii="仿宋" w:hAnsi="仿宋" w:eastAsia="仿宋"/>
          <w:b/>
        </w:rPr>
        <w:t>存款证实书信息表</w:t>
      </w:r>
    </w:p>
    <w:tbl>
      <w:tblPr>
        <w:tblStyle w:val="25"/>
        <w:tblW w:w="8824" w:type="dxa"/>
        <w:tblInd w:w="0" w:type="dxa"/>
        <w:tblLayout w:type="fixed"/>
        <w:tblCellMar>
          <w:top w:w="0" w:type="dxa"/>
          <w:left w:w="108" w:type="dxa"/>
          <w:bottom w:w="0" w:type="dxa"/>
          <w:right w:w="108" w:type="dxa"/>
        </w:tblCellMar>
      </w:tblPr>
      <w:tblGrid>
        <w:gridCol w:w="1056"/>
        <w:gridCol w:w="1266"/>
        <w:gridCol w:w="929"/>
        <w:gridCol w:w="4100"/>
        <w:gridCol w:w="777"/>
        <w:gridCol w:w="696"/>
      </w:tblGrid>
      <w:tr>
        <w:tblPrEx>
          <w:tblCellMar>
            <w:top w:w="0" w:type="dxa"/>
            <w:left w:w="108" w:type="dxa"/>
            <w:bottom w:w="0" w:type="dxa"/>
            <w:right w:w="108" w:type="dxa"/>
          </w:tblCellMar>
        </w:tblPrEx>
        <w:trPr>
          <w:trHeight w:val="290" w:hRule="atLeast"/>
        </w:trPr>
        <w:tc>
          <w:tcPr>
            <w:tcW w:w="105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2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57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CKZSSXXB</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存款证实书信息表</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F0201</w:t>
            </w:r>
          </w:p>
        </w:tc>
        <w:tc>
          <w:tcPr>
            <w:tcW w:w="557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本表报送机构持有存款证实书基本信息、信用风险、交易规模以及质押相关信息。不包含活期存款。</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rPr>
          <w:trHeight w:val="82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投资账户名称</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TZZHMC</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机构自有资金、受托资金或产品管理账户名称。</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投资账户代码</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TZZHDM</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机构自有资金、受托资金或产品管理账户代码。</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投资机构类型</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TZJGLX</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004002</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参照业务代码表《机构类型代码》，填报名称。</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存款证实书编号</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CKZSSBH</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006015</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存款银行给出的存款证实书编号，包括“NO.”“浙”“（03）”等字样，如无存款证实书编号，优先填列业务编号或账号，如上述编号均没有，机构可自行编制，但需保持机构内部唯一性。</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存款证实书全称</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CKZSSQC</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006016</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存款银行名称+发行年份+存款类型。</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存款证实书简称</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CKZSSJC</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006016</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发行人简称+发行年份（两位数字）+存款类型简称。</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存款类型</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CKLX</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006017</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枚举值为“定期存款；协议存款；结构性存款；同业存款；大额存款”。</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存款币种</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CKBZ</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参照业务代码表《币种代码》，填报代码。</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存款银行法定名称</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GL_CKYHFDMC</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开户银行名称，需与存单银行签章一致。</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存款银行证件类型</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GL_CKYHZJLX</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存款银行证件类型，参照业务代码表《证件类型代码》，填报名称。</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存款银行证件号码</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GL_CKYHZJHM</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存款银行证件号码。</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存款银行证件到期日</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GL_CKYHZJDQR</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存款银行证件到期日。</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存款银行LEI编码</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CKYHLEIBM</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001004</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填写存款银行全球法人识别编码。</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存款银行所在地</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CKYHSZD</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001017</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参照业务代码表《行政区划代码》，境内地区至少精确到省、自治区、直辖市、特别行政区，应逐级填写完整地域名称，如“河北省石家庄市长安区”。如无法区分，填报“其他”。</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存款银行外部信用评级</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CKYHWBXYPJ</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005059</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填写外部机构评级。参照业务代码表《信用评级等级代码》，填报名称。</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外部评级机构</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WBPJJG</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评级机构名称。</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存款起息日</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CKQXR</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存款起息日。</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存款到期日</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CKDQR</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存款证实书到期日。</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存款期限</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CKQX</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005006</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按实际存款期限填写。</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期限单位</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QXDW</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005007</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存款期限单位。枚举值为“日；月；年”。</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利率类型</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LLLX</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006018</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枚举值为“浮动；固定；结构化；其他”。</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存款利率</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CKLL</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利率为直接按小数形式填写，保留小数点后6位。非固定利率以当前节点利率填写。</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计息基准</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JXJZ</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006019</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枚举值为“实际/365；实际/实际；实际/360；30/360”。</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基准利率</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JZLL</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006036</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“利率类型”为“浮动”时必填。基准利率的类型，参照业务代码表《基准利率代码》，填报名称。</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利差</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LC</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006037</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“利率类型”为“浮动”时为必填。利差点数，可以为正数、零或负数，不含%，如：填50代表50BP表示0.50%。</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利率描述</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LLMS</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当“利率类型”“存款利率”“计息基准”“基准利率”“利差”等数据项无法完全体现计息结构时，此项填写具体情况。如前述字段能够体现计息结构，可选填“无”。</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年付息频率</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NFXPL</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005066</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枚举值为“0；1；2；4；12”。0为到期一次还本付息；1年；2半年；4季；12月。</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存款本金</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CKBJ</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存款本金，单位：元。</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剩余本金</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SYBJ</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剩余本金。单位：元。</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是否可以提前支取</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SFKYTQZQ</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最近一次提前支取日期</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ZJYCTQZQRQ</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如发生过提前支取，填写最近一次提前支取发生日期。</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是否质押</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SFZY</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质押用途</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ZYYT</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006020</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“是否质押”为“是”时必填。包括：融资；担保；委托贷款。</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备注</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填写其他需要报送的但是目前无法标准化的信息。</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05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4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9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numPr>
          <w:ilvl w:val="0"/>
          <w:numId w:val="12"/>
        </w:numPr>
        <w:tabs>
          <w:tab w:val="left" w:pos="709"/>
          <w:tab w:val="left" w:pos="993"/>
        </w:tabs>
        <w:rPr>
          <w:rFonts w:ascii="仿宋" w:hAnsi="仿宋" w:eastAsia="仿宋"/>
        </w:rPr>
      </w:pPr>
      <w:bookmarkStart w:id="744" w:name="_Toc5756"/>
      <w:bookmarkStart w:id="745" w:name="_Toc7721"/>
      <w:bookmarkStart w:id="746" w:name="_Toc9634"/>
      <w:bookmarkStart w:id="747" w:name="_Toc4271"/>
      <w:bookmarkStart w:id="748" w:name="_Toc19495"/>
      <w:bookmarkStart w:id="749" w:name="_Toc24937"/>
      <w:bookmarkStart w:id="750" w:name="_Toc73958613"/>
      <w:r>
        <w:rPr>
          <w:rFonts w:hint="eastAsia" w:ascii="仿宋" w:hAnsi="仿宋" w:eastAsia="仿宋"/>
        </w:rPr>
        <w:t>其他资产</w:t>
      </w:r>
      <w:bookmarkEnd w:id="744"/>
      <w:bookmarkEnd w:id="745"/>
      <w:bookmarkEnd w:id="746"/>
      <w:bookmarkEnd w:id="747"/>
      <w:bookmarkEnd w:id="748"/>
      <w:bookmarkEnd w:id="749"/>
      <w:bookmarkEnd w:id="750"/>
    </w:p>
    <w:p>
      <w:pPr>
        <w:keepNext/>
        <w:keepLines/>
        <w:numPr>
          <w:ilvl w:val="1"/>
          <w:numId w:val="11"/>
        </w:numPr>
        <w:ind w:firstLineChars="0"/>
        <w:outlineLvl w:val="3"/>
        <w:rPr>
          <w:rFonts w:ascii="仿宋" w:hAnsi="仿宋" w:eastAsia="仿宋"/>
          <w:b/>
        </w:rPr>
      </w:pPr>
      <w:r>
        <w:rPr>
          <w:rFonts w:hint="eastAsia" w:ascii="仿宋" w:hAnsi="仿宋" w:eastAsia="仿宋"/>
          <w:b/>
        </w:rPr>
        <w:t>理财产品信息表</w:t>
      </w:r>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9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LCCPXXB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理财产品信息表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F0301</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本表报送机构持有的银行及银行理财子公司理财产品信息。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投资账户名称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TZZHMC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机构自有资金、受托资金或产品管理账户名称。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投资账户代码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TZZHDM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机构自有资金、受托资金或产品管理账户代码。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投资机构类型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TZJGLX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004002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参照业务代码表《机构类型代码》，填报名称。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填写确权登记等有关机构登记的产品名称，若无填写合同上的产品名称。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产品起始日期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CPQSRQ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产品初始运作日期。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产品预计终止日期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CPYJZZRQ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产品预计终止日期。默认值99991231。</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发行方式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FXFS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枚举值为“公开；不公开”。</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运行方式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YXFS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枚举值为“开放式；封闭式”。</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产品发行人法定名称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GL_CPFXRFDMC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指产品说明书中登载的发行人全称。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产品发行人证件类型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GL_CPFXRZJLX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产品发行人证件类型，参照业务代码表《证件类型代码》，填报名称。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产品发行人证件号码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GL_CPFXRZJHM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产品发行人证件号码。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产品发行人证件到期日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GL_CPFXRZJDQR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产品发行人证件到期日。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发行人LEI编码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FXRLEIBM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填写发行人全球法人识别编码。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发行人所在地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FXRSZD</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参照业务代码表《行政区划代码》，境内地区至少精确到省、自治区、直辖市、特别行政区，应逐级填写完整地域名称，如“河北省石家庄市长安区”。如无法区分，填报“其他”。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发行人类型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FXRLX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006038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枚举值为“银行；银行理财子公司”。</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核算方式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HSFS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枚举值为“净值型；非净值型”。</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36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枚举值为“固定收益类；权益类；商品及金融衍生品类；混合类 ”。固定收益类：投资债权类资产的比例不低于80%；权益类：投资股权类资产的比例不低于80%；商品及金融衍生品类：投资商品及金融衍生品的比例不低于80%；混合类：投资债权类资产、股权类资产、商品及金融衍生品且任一资产的投资比例未达到前三类标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收益类型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SYLX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006021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枚举值为“保本保收益类；保本浮动收益类；非保本浮动收益类；其他”。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风险评级</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FXPJ</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006022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根据《商业银行理财业务监督管理办法》第二十七条：理财产品风险评级结果应当以风险等级体现，由低到高至少包括一级至五级。枚举值为“一级；二级；三级；四级；五级”。</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资金投向</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ZJTX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006009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枚举值为“基础设施；工商企业；房地产；金融机构；证券类；其他”。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结构化属性</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JGHSX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枚举值为“分级；非分级”。</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结构化级别</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JGHJB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“结构化属性”为“分级”时必填。参照业务代码表《产品分级类别代码》，填报名称。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交易结构描述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JYJGMS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交易结构文字描述。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预期收益率上限</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YQSYLSX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填写持有人购买产品时持有人的预期收益率上限。不带百分号，按小数形式填写，保留小数点后6位，如3.1234%填写为0.031234。默认999999。</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预期收益率下限</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YQSYLXX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填写持有人购买产品时持有人的预期收益率下限。不带百分号，按小数形式填写，保留小数点后6位，如3.1234%填写为0.031234。默认999999。</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成本</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初始投资总成本，单位：元。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单位净值</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DWJZ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“核算方式”为“净值型”时必填。单位：元/份。</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市值</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备注</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填写其他需要报送的但是目前无法标准化的信息。</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持有状态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CYZT</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006023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枚举值为“持有；退出”。</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退出日期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TCRQ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产品退出日期。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实际收益率</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SJSYL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“持有状态”选“退出”时必填。填写持有人退出时持有人实际收益率。不带百分号，按小数形式填写，保留小数点后6位，如3.1234%填写为0.031234。</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违约本息合计</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WYBXHJ</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截至本报送期末，发行人或融资主体发生违约本息合计，单位：元。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违约本金余额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WYBJYE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截至本报送期末，发行人或融资主体发生违约的本金，单位：元。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违约利息余额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WYLXYE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003012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截至本报送期末，发行人或融资主体发生违约的利息，单位：元。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违约发生日期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WYFSRQ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产品违约日期。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证券公司专项资管计划信息表</w:t>
      </w:r>
    </w:p>
    <w:tbl>
      <w:tblPr>
        <w:tblStyle w:val="25"/>
        <w:tblW w:w="8824" w:type="dxa"/>
        <w:tblInd w:w="0" w:type="dxa"/>
        <w:tblLayout w:type="fixed"/>
        <w:tblCellMar>
          <w:top w:w="0" w:type="dxa"/>
          <w:left w:w="108" w:type="dxa"/>
          <w:bottom w:w="0" w:type="dxa"/>
          <w:right w:w="108" w:type="dxa"/>
        </w:tblCellMar>
      </w:tblPr>
      <w:tblGrid>
        <w:gridCol w:w="1581"/>
        <w:gridCol w:w="1371"/>
        <w:gridCol w:w="1008"/>
        <w:gridCol w:w="3401"/>
        <w:gridCol w:w="709"/>
        <w:gridCol w:w="754"/>
      </w:tblGrid>
      <w:tr>
        <w:tblPrEx>
          <w:tblCellMar>
            <w:top w:w="0" w:type="dxa"/>
            <w:left w:w="108" w:type="dxa"/>
            <w:bottom w:w="0" w:type="dxa"/>
            <w:right w:w="108" w:type="dxa"/>
          </w:tblCellMar>
        </w:tblPrEx>
        <w:trPr>
          <w:trHeight w:val="290" w:hRule="atLeast"/>
        </w:trPr>
        <w:tc>
          <w:tcPr>
            <w:tcW w:w="15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7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100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ZQGSZXZGJHXXB</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证券公司专项资管计划信息表</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F0302</w:t>
            </w:r>
          </w:p>
        </w:tc>
        <w:tc>
          <w:tcPr>
            <w:tcW w:w="486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本表报送机构持有证券公司专项资管计划信息。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投资账户名称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TZZHMC</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机构自有资金、受托资金或产品管理账户名称。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投资账户代码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TZZHDM</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机构自有资金、受托资金或产品管理账户代码。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投资机构类型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TZJGLX</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参照业务代码表《机构类型代码》，填报名称。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CPMC</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填写确权登记等有关机构登记的产品名称，若无填写合同上的产品名称。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持有余额</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CYYE</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投资人持有余额，单位：元。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产品管理人法定名称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GL_CPGLRFDMC</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产品管理人法定名称。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产品管理人证件类型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GL_CPGLRZJLX</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产品管理人证件类型，参照业务代码表《证件类型代码》，填报名称。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产品管理人证件号码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GL_CPGLRZJHM</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产品管理人证件号码。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产品管理人证件到期日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GL_CPGLRZJDQR</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产品管理人证件到期日。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产品管理人LEI编码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CPGLRLEIBM</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001004</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填写产品管理人全球法人识别编码。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原始权益人</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YSQYR</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原始权益人全称。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基础资产名称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JCZCMC</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003008</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基础资产全称。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基础资产类别</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JCZCLB</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005031</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枚举值为“单一项目；一组项目”。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基础资产类型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JCZCLX</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005047</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枚举值为“融资租赁；金融租赁；保理债权；小额贷款；应收账款；基础设施收费权；重组债权；股权；供应链资产；信托资产；保单；其他”，可多选。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产品份额起息日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CPFEQXR</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产品募集份额起息日期。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产品预计到期日期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CPYJDQRQ</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产品预计到期日期。若没有则填写99991231。</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是否含权</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SFHQ</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含权结构</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HQJG</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005008</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“是否含权”为“是”时必填。</w:t>
            </w:r>
            <w:r>
              <w:rPr>
                <w:rFonts w:hint="eastAsia" w:ascii="宋体" w:hAnsi="宋体" w:eastAsia="宋体"/>
                <w:color w:val="000000"/>
                <w:sz w:val="21"/>
                <w:szCs w:val="21"/>
              </w:rPr>
              <w:br w:type="textWrapping"/>
            </w:r>
            <w:r>
              <w:rPr>
                <w:rFonts w:hint="eastAsia" w:ascii="宋体" w:hAnsi="宋体" w:eastAsia="宋体"/>
                <w:color w:val="000000"/>
                <w:sz w:val="21"/>
                <w:szCs w:val="21"/>
              </w:rPr>
              <w:t>描述含权期限结构，例如：a+b、a+b+c。</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选择权类型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XZQLX</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005009</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“是否含权”为“是”时必填。</w:t>
            </w:r>
            <w:r>
              <w:rPr>
                <w:rFonts w:hint="eastAsia" w:ascii="宋体" w:hAnsi="宋体" w:eastAsia="宋体"/>
                <w:color w:val="000000"/>
                <w:sz w:val="21"/>
                <w:szCs w:val="21"/>
              </w:rPr>
              <w:br w:type="textWrapping"/>
            </w:r>
            <w:r>
              <w:rPr>
                <w:rFonts w:hint="eastAsia" w:ascii="宋体" w:hAnsi="宋体" w:eastAsia="宋体"/>
                <w:color w:val="000000"/>
                <w:sz w:val="21"/>
                <w:szCs w:val="21"/>
              </w:rPr>
              <w:t>填写选择权类型。包括：投资人选择权；融资人选择权；双向选择权。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外部信用评级</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WBXYPJ</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005059</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参照业务代码表《信用评级等级代码》，填报名称。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外部评级机构</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WBPJJG</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评级机构名称。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资金运用</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ZJYY</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006024</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文字描述，如用于某项目或投资某企业债。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所属分级</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SSFJ</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005021</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参照业务代码表《产品分级类别代码》，填报名称。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级别细分</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JBXF</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当同一分级中存在进一步分级情况时，描述具体所属级别，例如：优先A-1、优先A-2等。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证券持有人预期收益形式</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ZQCYRYQSYXS</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005061</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枚举值为“固定费率；固定费用；浮动费率；其他费率”。</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证券持有人预期收益率</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ZQCYRYQSYL</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填写年化费率，填数字，不填百分比，最少保留四位小数，比如12.34%填写为0.1234。如无法计算预期收益率，选填“99999”。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证券持有人预期收益描述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ZQCYRYQSYMS</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按产品合同约定的证券持有人预期收益率情况填写。</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利率类型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LLLX</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006018</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枚举值为“浮动；固定；结构化；其他”。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利率浮动形式</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LLFDXS</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006025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枚举值为“即时；按月；按季度；按年”。</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还本付息方式</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HBFXFS</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005010</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参照业务代码表《还本付息方式代码》，填报名称。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付息周期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FXZQ</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005011</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枚举值为“按月；按季；按半年；按年；其他”。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持有状态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CYZT</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006023</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枚举值为“持有；退出”。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退出日期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TCRQ</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“持有状态”为“退出”时必填。填写产品退出日期。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实际收益率</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SJSYL</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“持有状态”为“退出”时必填。填写持有人退出时持有人实际收益率。按不带百分号，按小数形式填写，保留小数点后6位，如3.1234%填写为0.031234。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违约本息合计</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WYBXHJ</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截至本报送期末，发行人或融资主体发生违约本息合计，单位：元。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违约本金余额</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WYBJYE</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截至本报送期末，发行人或融资主体发生违约的本金，单位：元。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违约利息余额</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WYLXYE</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003012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截至本报送期末，发行人或融资主体发生违约的利息，单位：元。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违约发生日期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WYFSRQ</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产品违约日期。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10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信贷资产支持证券信息表</w:t>
      </w:r>
    </w:p>
    <w:tbl>
      <w:tblPr>
        <w:tblStyle w:val="25"/>
        <w:tblW w:w="8824" w:type="dxa"/>
        <w:tblInd w:w="0" w:type="dxa"/>
        <w:tblLayout w:type="fixed"/>
        <w:tblCellMar>
          <w:top w:w="0" w:type="dxa"/>
          <w:left w:w="108" w:type="dxa"/>
          <w:bottom w:w="0" w:type="dxa"/>
          <w:right w:w="108" w:type="dxa"/>
        </w:tblCellMar>
      </w:tblPr>
      <w:tblGrid>
        <w:gridCol w:w="1372"/>
        <w:gridCol w:w="1371"/>
        <w:gridCol w:w="877"/>
        <w:gridCol w:w="3741"/>
        <w:gridCol w:w="815"/>
        <w:gridCol w:w="648"/>
      </w:tblGrid>
      <w:tr>
        <w:tblPrEx>
          <w:tblCellMar>
            <w:top w:w="0" w:type="dxa"/>
            <w:left w:w="108" w:type="dxa"/>
            <w:bottom w:w="0" w:type="dxa"/>
            <w:right w:w="108" w:type="dxa"/>
          </w:tblCellMar>
        </w:tblPrEx>
        <w:trPr>
          <w:trHeight w:val="290" w:hRule="atLeast"/>
        </w:trPr>
        <w:tc>
          <w:tcPr>
            <w:tcW w:w="137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7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7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0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XDZCZCZQXXB</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信贷资产支持证券信息表</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F0303</w:t>
            </w:r>
          </w:p>
        </w:tc>
        <w:tc>
          <w:tcPr>
            <w:tcW w:w="520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本表报送机构持有信贷资产支持证券信息。</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投资账户名称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TZZHMC</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002021</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机构自有资金、受托资金或产品管理账户名称。</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投资账户代码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TZZHDM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002020</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机构自有资金、受托资金或产品管理账户代码。</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投资机构类型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TZJGLX</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004002</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参照业务代码表《机构类型代码》，填报名称。</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CPMC</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005002</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填写确权登记等有关机构登记的产品名称，若无填写合同上的产品名称。</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003002</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持有余额</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CYYE</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投资人持有余额，单位：元。</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受托机构法定名称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GL_STJGFDMC</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受托机构法定名称。</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受托机构证件类型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GL_STJGZJLX</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受托机构证件类型，参照业务代码表《证件类型代码》，填报名称。</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受托机构证件号码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GL_STJGZJHM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受托机构证件号码。</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受托机构证件到期日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GL_STJGZJDQR</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受托机构证件到期日。</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受托机构LEI编码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STJGLEIBM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001004</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填写受托机构全球法人识别编码。</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发起机构法定名称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GL_FQJGFDMC</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发起机构法定名称。</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发起机构证件类型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GL_FQJGZJLX</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发起机构证件类型，参照业务代码表《证件类型代码》，填报名称。</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发起机构证件号码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GL_FQJGZJHM</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发起机构证件号码。</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发起机构证件到期日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GL_FQJGZJDQR</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发起机构证件到期日。</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基础资产名称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JCZCMC</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003008</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基础资产全称。</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基础资产类别</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JCZCLB</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005031</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枚举值为“单一项目；一组项目”。</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基础资产类型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JCZCLX</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005048</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枚举值为“企业贷款；汽车贷款；个人住房抵押贷款；其他”，可多选。</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产品份额起息日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CPFEQXR</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产品募集份额起息日期。</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产品预计到期日期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CPYJDQRQ</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产品预计到期日期。若没有则填写99991231。</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是否含权</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SFHQ</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含权结构</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HQJG</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005008</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“是否含权”为“是”时必填。</w:t>
            </w:r>
            <w:r>
              <w:rPr>
                <w:rFonts w:hint="eastAsia" w:ascii="宋体" w:hAnsi="宋体" w:eastAsia="宋体"/>
                <w:color w:val="000000"/>
                <w:sz w:val="21"/>
                <w:szCs w:val="21"/>
              </w:rPr>
              <w:br w:type="textWrapping"/>
            </w:r>
            <w:r>
              <w:rPr>
                <w:rFonts w:hint="eastAsia" w:ascii="宋体" w:hAnsi="宋体" w:eastAsia="宋体"/>
                <w:color w:val="000000"/>
                <w:sz w:val="21"/>
                <w:szCs w:val="21"/>
              </w:rPr>
              <w:t>描述含权期限结构，例如：a+b、a+b+c。</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选择权类型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XZQLX</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005009</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“是否含权”为“是”时必填。</w:t>
            </w:r>
            <w:r>
              <w:rPr>
                <w:rFonts w:hint="eastAsia" w:ascii="宋体" w:hAnsi="宋体" w:eastAsia="宋体"/>
                <w:color w:val="000000"/>
                <w:sz w:val="21"/>
                <w:szCs w:val="21"/>
              </w:rPr>
              <w:br w:type="textWrapping"/>
            </w:r>
            <w:r>
              <w:rPr>
                <w:rFonts w:hint="eastAsia" w:ascii="宋体" w:hAnsi="宋体" w:eastAsia="宋体"/>
                <w:color w:val="000000"/>
                <w:sz w:val="21"/>
                <w:szCs w:val="21"/>
              </w:rPr>
              <w:t>填写选择权类型。包括：投资人选择权；融资人选择权；双向选择权。</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资金运用</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ZJYY</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006024</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文字描述，如用于某项目或投资某企业债。</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所属分级</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SSFJ</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005021</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参照业务代码表《产品分级类别代码》，填报名称。</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级别细分</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JBXF</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当同一分级中存在进一步分级情况时，描述具体所属级别，例如：优先A-1、优先A-2等。</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外部信用评级</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WBXYPJ</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005059</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优先填写持有级别的信用评级。参照业务代码表《信用评级等级代码》，填报名称。</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外部评级机构</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WBPJJG</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评级机构名称。</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证券持有人预期收益形式</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ZQCYRYQSYXS</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005061</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枚举值为“固定费率；固定费用；浮动费率；其他费率”。</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证券持有人预期收益率</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ZQCYRYQSYL</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填写年化费率，填数字，不填百分比，最少保留四位小数，比如12.34%填写为0.1234。如无法计算预期收益率，选填“99999”。</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证券持有人预期收益描述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ZQCYRYQSYMS</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按产品合同约定的证券持有人预期收益率情况填写。</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持有状态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CYZT</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006023</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枚举值为“持有；退出”。</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退出日期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TCRQ</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“持有状态”为“退出”时必填。</w:t>
            </w:r>
            <w:r>
              <w:rPr>
                <w:rFonts w:hint="eastAsia" w:ascii="宋体" w:hAnsi="宋体" w:eastAsia="宋体"/>
                <w:color w:val="000000"/>
                <w:sz w:val="21"/>
                <w:szCs w:val="21"/>
              </w:rPr>
              <w:br w:type="textWrapping"/>
            </w:r>
            <w:r>
              <w:rPr>
                <w:rFonts w:hint="eastAsia" w:ascii="宋体" w:hAnsi="宋体" w:eastAsia="宋体"/>
                <w:color w:val="000000"/>
                <w:sz w:val="21"/>
                <w:szCs w:val="21"/>
              </w:rPr>
              <w:t>产品退出日期。</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实际收益率</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SJSYL</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“持有状态”为“退出”时必填。填写持有人退出时持有人实际收益率。不带百分号，按小数形式填写，保留小数点后6位，如3.1234%填写为0.031234。</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违约本息合计</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WYBXHJ</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截至本报送期末，发行人或融资主体发生违约本息合计，单位：元。</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违约本金余额</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WYBJYE</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截至本报送期末，发行人或融资主体发生违约的本金，单位：元。</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违约利息余额</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WYLXYE</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003012</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截至本报送期末，发行人或融资主体发生违约的利息，单位：元。</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违约发生日期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WYFSRQ</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产品违约日期。</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37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74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8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直接股权投资信息表</w:t>
      </w:r>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9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ZJGQTZXXB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直接股权投资信息表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F0304</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本表报送机构持有直接股权投资相关信息。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投资账户名称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TZZHMC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机构自有资金、受托资金或产品管理账户名称。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投资账户代码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TZZHDM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机构自有资金、受托资金或产品管理账户代码。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投资机构类型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TZJGLX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004002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参照业务代码表《机构类型代码》，填报名称。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资产名称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填写确权登记等有关机构登记的资产名称，若无填写合同上的资产名称。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资产代码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填写确权登记等有关机构登记的资产代码，若无填写机构自定义代码。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参股原因</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CGYY</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006028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枚举值为“改制退出；合资设立；股权收购；增资入股；股权划转；长期持有；其他”。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是否属于重大股权投资</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SFSYZDGQTZ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重大股权投资指对拟投资企业实施控制的投资行为。</w:t>
            </w:r>
            <w:r>
              <w:rPr>
                <w:rFonts w:hint="eastAsia" w:ascii="宋体" w:hAnsi="宋体" w:eastAsia="宋体"/>
                <w:color w:val="000000"/>
                <w:sz w:val="21"/>
                <w:szCs w:val="21"/>
              </w:rPr>
              <w:br w:type="textWrapping"/>
            </w:r>
            <w:r>
              <w:rPr>
                <w:rFonts w:hint="eastAsia" w:ascii="宋体" w:hAnsi="宋体" w:eastAsia="宋体"/>
                <w:color w:val="000000"/>
                <w:sz w:val="21"/>
                <w:szCs w:val="21"/>
              </w:rPr>
              <w:t>枚举值为“是；否”。</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xml:space="preserve">是 </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是否属于关联交易</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SFSYGLJY</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与标的企业是否存在关联方关系。</w:t>
            </w:r>
            <w:r>
              <w:rPr>
                <w:rFonts w:hint="eastAsia" w:ascii="宋体" w:hAnsi="宋体" w:eastAsia="宋体"/>
                <w:color w:val="000000"/>
                <w:sz w:val="21"/>
                <w:szCs w:val="21"/>
              </w:rPr>
              <w:br w:type="textWrapping"/>
            </w:r>
            <w:r>
              <w:rPr>
                <w:rFonts w:hint="eastAsia" w:ascii="宋体" w:hAnsi="宋体" w:eastAsia="宋体"/>
                <w:color w:val="000000"/>
                <w:sz w:val="21"/>
                <w:szCs w:val="21"/>
              </w:rPr>
              <w:t>枚举值为“是；否”。</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xml:space="preserve">是 </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是否派驻人员</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SFPZRY</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是否选派董事、监事或重要岗位人员。枚举值为“是；否”。</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xml:space="preserve">是 </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派驻人员情况</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PZRYQK</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填写派出的股东代表、董事、监事、高管的姓名及岗位。</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标的企业法定名称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GL_BDQYFDMC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名称应与营业执照上所使用的名称完全一致。如暂未取得营业执照，机构可自行定义。</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标的企业证件类型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GL_BDQYZJLX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标的企业证件类型，参照业务代码表《证件类型代码》，填报名称。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标的企业证件号码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GL_BDQYZJHM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标的企业证件号码。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标的企业证件到期日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GL_BDQYZJDQR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标的企业证件到期日。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标的企业LEI编码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BDQYLEIBM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填写标的企业全球法人识别编码。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境内外标识</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JNWBS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002017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填报境内外标识。枚举值为“境内；境外”。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标的企业所属地区</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BDQYSSDQ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参照业务代码表《行政区划代码》，境内地区至少精确到省、自治区、直辖市、特别行政区，应逐级填写完整地域名称，如“河北省石家庄市长安区”。如无法区分，填报“其他”。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标的企业控股股东性质</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BDQYKGGDXZ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006029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枚举值为“中央国有企业，地方国有企业，民营企业，外资企业，公众公司，其他”。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标的企业类型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BDQYLX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006030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枚举值为“保险类企业；非保险类金融企业；能源企业；资源企业；保险业务相关企业；其他”。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标的企业所属行业</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BDQYSSHY</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参照业务代码表《行业类型代码》，例如：农业、林业等，填报名称。如无法区分，填报“不适用”。</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政策标签</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ZCBQ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参照业务代码表《政策标签代码》，填报名称。可多选，如存在多个标签，以“;”隔开。如为其他，需在备注里描述。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总资产</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ZZC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净资产</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JZC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累计营业收入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LJYYSR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累计净利润</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LJJLR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会计期间</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KJQJ</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归属期间。格式：YYYYMM，年度审计报告出具后报送包含审计调整的数据。</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初始投资日期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CSTZRQ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以投资合同中初始投资日期为准。如合同未约定初始投资日期，以首笔出资支付日期为准。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标的企业估值</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BDQYGZ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投资时点标的企业估值。若金额涉及到外币，由机构自行转换成人民币进行填报。单位：元。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初始持股占比</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CSCGZB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初始持股占比，填数字，不填百分比，最少保留两位小数，比如12.34%填写为12.34。</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控股方式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KGFS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006041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枚举值为“绝对控股，相对控股，协议控股，其他，非控股”。</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投资币种</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初始投资金额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CSTZJE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累计投资金额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LJTZJE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xml:space="preserve">是 </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累计投资账面余额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LJTZZMYE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xml:space="preserve">是 </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累计投资账面价值</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LJTZZMJZ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累计最新持股占比</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LJZXCGZB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数据填报口径为截至报送日上月月末数据，填数字，不填百分比，最少保留两位小数，比如12.34%填写为12.34。</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xml:space="preserve">是 </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累计已实现投资收益</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LJYSXTZSY</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数据填报口径为截至报送日上月月末数据，单位：元。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当年收益率</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DNSYL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当年以来的收益率，需年化。填数字，不填百分比，最少保留四位小数，比如12.34%填写为0.1234。默认值99999。</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xml:space="preserve">是 </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累计收益率</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LJSYL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投资以来的累计收益率，填数字，不填百分比，最少保留四位小数，比如12.34%填写为0.1234。默认值99999。</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xml:space="preserve">是 </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是否退出</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SFTC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退出日期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TCRQ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“是否退出”为“是”时必填。</w:t>
            </w:r>
            <w:r>
              <w:rPr>
                <w:rFonts w:hint="eastAsia" w:ascii="宋体" w:hAnsi="宋体" w:eastAsia="宋体"/>
                <w:color w:val="000000"/>
                <w:sz w:val="21"/>
                <w:szCs w:val="21"/>
              </w:rPr>
              <w:br w:type="textWrapping"/>
            </w:r>
            <w:r>
              <w:rPr>
                <w:rFonts w:hint="eastAsia" w:ascii="宋体" w:hAnsi="宋体" w:eastAsia="宋体"/>
                <w:color w:val="000000"/>
                <w:sz w:val="21"/>
                <w:szCs w:val="21"/>
              </w:rPr>
              <w:t>填写退出日期。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退出方式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TCFS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“是否退出”为“是”时必填。</w:t>
            </w:r>
            <w:r>
              <w:rPr>
                <w:rFonts w:hint="eastAsia" w:ascii="宋体" w:hAnsi="宋体" w:eastAsia="宋体"/>
                <w:color w:val="000000"/>
                <w:sz w:val="21"/>
                <w:szCs w:val="21"/>
              </w:rPr>
              <w:br w:type="textWrapping"/>
            </w:r>
            <w:r>
              <w:rPr>
                <w:rFonts w:hint="eastAsia" w:ascii="宋体" w:hAnsi="宋体" w:eastAsia="宋体"/>
                <w:color w:val="000000"/>
                <w:sz w:val="21"/>
                <w:szCs w:val="21"/>
              </w:rPr>
              <w:t>填写退出方式。包括：回购；清算；转让第三方；IPO；并购；其他。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备注</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填写其他需要报送的但是目前无法标准化的信息。</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私募投资基金信息表</w:t>
      </w:r>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9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SMTZJJXXB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私募投资基金信息表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F0305</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本表报送机构持有私募投资基金相关信息。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投资账户名称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TZZHMC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机构自有资金、受托资金或产品管理账户名称。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投资账户代码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TZZHDM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002020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机构自有资金、受托资金或产品管理账户代码。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投资机构类型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TZJGLX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004002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参照业务代码表《机构类型代码》，填报名称。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资产名称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填写确权登记等有关机构登记的资产名称，或有关机构备案名称。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资产代码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填写确权登记等有关机构登记的资产代码，或有关机构备案编码，若无填写机构自定义代码。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投资期期限</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TZQQX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投资期期限。</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退出期期限</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TCQQX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005006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退出期期限，单位需与投资期期限相同。</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期限单位</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QXDW</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期限单位。枚举值为“日；月；年”。</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管理方式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管理方式。枚举值为“管理；参与；实际控制”。管理是指实际控制基金管理人；参与是指仅作为基金的出资人，不实际控制基金管理人。实际控制是指为基金管理人的第一大股东或出资人，并通过投资关系、协议或者其他安排，能够实际支配基金管理人行为。</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基金组织形式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JJZZXS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填写基金组织形式。枚举值为“公司型；契约型；合伙型；其他”。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境内外标识</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JNWBS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002017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填报境内外标识。枚举值为“境内；境外”。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outlineLvl w:val="0"/>
              <w:rPr>
                <w:rFonts w:ascii="宋体" w:hAnsi="宋体" w:eastAsia="宋体"/>
                <w:color w:val="000000"/>
                <w:kern w:val="0"/>
                <w:sz w:val="21"/>
                <w:szCs w:val="21"/>
              </w:rPr>
            </w:pPr>
            <w:bookmarkStart w:id="751" w:name="_Toc27815"/>
            <w:bookmarkStart w:id="752" w:name="_Toc6535"/>
            <w:bookmarkStart w:id="753" w:name="_Toc29545"/>
            <w:bookmarkStart w:id="754" w:name="_Toc31378"/>
            <w:bookmarkStart w:id="755" w:name="_Toc27136"/>
            <w:bookmarkStart w:id="756" w:name="_Toc17128"/>
            <w:bookmarkStart w:id="757" w:name="_Toc19614"/>
            <w:bookmarkStart w:id="758" w:name="_Toc16539"/>
            <w:bookmarkStart w:id="759" w:name="_Toc22677"/>
            <w:r>
              <w:rPr>
                <w:rFonts w:hint="eastAsia" w:ascii="宋体" w:hAnsi="宋体" w:eastAsia="宋体"/>
                <w:color w:val="000000"/>
                <w:sz w:val="21"/>
                <w:szCs w:val="21"/>
              </w:rPr>
              <w:t>成立日期</w:t>
            </w:r>
            <w:bookmarkEnd w:id="751"/>
            <w:bookmarkEnd w:id="752"/>
            <w:bookmarkEnd w:id="753"/>
            <w:bookmarkEnd w:id="754"/>
            <w:bookmarkEnd w:id="755"/>
            <w:bookmarkEnd w:id="756"/>
            <w:bookmarkEnd w:id="757"/>
            <w:bookmarkEnd w:id="758"/>
            <w:bookmarkEnd w:id="759"/>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CLRQ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以基金在有关部门登记注册的日期为准。如无法获取，以合同签署日期为准。</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到期日期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DQRQ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以投资合同中到期日期为准。如未到期，填写默认值99991231。</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普通合伙人法定名称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GL_PTHHRFDMC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普通合伙人全称。“基金组织形式”为“合伙型”时必填。</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普通合伙人证件类型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GL_PTHHRZJLX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普通合伙人证件类型。“基金组织形式”为“合伙型”时必填。参照业务代码表《证件类型代码》，填报名称。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普通合伙人证件号码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GL_PTHHRZJHM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普通合伙人证件号码。“基金组织形式”为“合伙型”时必填。</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普通合伙人证件到期日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GL_PTHHRZJDQR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普通合伙人证件到期日。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普通合伙人LEI编码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PTHHRLEIBM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填写普通合伙人识别编码。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基金管理人法定名称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GL_JJGLRFDMC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基金管理人法定名称。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基金管理人证件类型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GL_JJGLRZJLX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基金管理人证件类型，参照业务代码表《证件类型代码》，填报名称。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基金管理人证件号码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GL_JJGLRZJHM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基金管理人证件号码。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基金管理人证件到期日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GL_JJGLRZJDQR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基金管理人证件到期日。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基金管理人LEI编码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JJGLRLEIBM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填写基金管理人全球法人识别编码。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有限合伙人名称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YXHHRMC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001016</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有限合伙人名称全称。如有多个需列填，以英文分号“;”分隔。</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基金总规模</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JJZGM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以投资合同中基金总规模为准。若金额涉及到外币，由机构自行转换成人民币进行填报。单位：元。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基金分类</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JJFL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005049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填写基金分类。枚举值为“私募证券投资基金；私募证券类FOF基金；私募股权投资基金；私募股权投资类FOF基金；创业投资基金；创业投资类FOF基金；其他类别私募基金；其他类别私募FOF基金”。</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投资方向</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TZFX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005033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填写投资方向。枚举值为“综合；先进制造；能源；建筑；交通；电子信息；金融；房地产；医疗健康；教育文化；其他”。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政策标签</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ZCBQ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参照业务代码表《政策标签代码》，填报名称。可多选，如存在多个标签，以“;”隔开。如为其他，需在备注里描述。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投资阶段</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TZJD</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填写投资阶段。枚举值为“天使投资；初创期投资；成长期投资；IPO前投资；并购投资；多个阶段投资；全阶段投资”。</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基金状态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JJZT</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填写基金状态。枚举值为“投资期；退出期；清算期；已清盘；其他”。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是否延期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SFYQ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延期原因</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YQYY</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005052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如有延期计划或已发生延期，需注明原因。</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总资产</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ZZC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净资产</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JZC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累计营业收入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LJYYSR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累计净利润</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LJJLR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会计期间</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KJQJ</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002002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归属期间。格式：YYYYMM，年度审计报告出具后报送包含审计调整的数据。</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初始投资日期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CSTZRQ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初始投资日期。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初始份额占比</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CSFEZB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投资时点基金认购份额比例，填数字，不填百分比，最少保留两位小数，比如12.34%填写为12.34。</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投资币种</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参照业务代码表《币种代码》，填报英文字母。</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认缴金额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RJJE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实缴金额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SJJE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投资账面余额</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TZZMYE</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若金额涉及到外币，由机构自行转换成人民币进行填报。单位：元。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累计最新份额占比</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LJZXFEZB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数据填报口径为截至报送日上月月末数据，填数字，不填百分比，最少保留两位小数，比如12.34%填写为12.34。</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合计份额占比</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HJFEZB</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存在保险集团（控股）公司及其保险子公司、保险公司及其投资控股的保险机构投资同一基金的情形时，填写合计持股比例，填数字，不填百分比，最少保留两位小数，比如12.34%填写为12.34。</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已实现投资收益</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YSXTZSY</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数据填报口径为截至报送日上月月末数据，单位：元。</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当年收益率</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DNSYL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当年以来的收益率，需年化。填数字，不填百分比，最少保留四位小数，比如12.34%填写为0.1234。默认值99999。</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累计收益率</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LJSYL</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投资以来的累计收益率，填数字，不填百分比，最少保留四位小数，比如12.34%填写为0.1234。默认值99999。</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8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是否退出</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SFTC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退出日期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TCRQ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“是否退出”为“是”时必填。</w:t>
            </w:r>
            <w:r>
              <w:rPr>
                <w:rFonts w:hint="eastAsia" w:ascii="宋体" w:hAnsi="宋体" w:eastAsia="宋体"/>
                <w:color w:val="000000"/>
                <w:sz w:val="21"/>
                <w:szCs w:val="21"/>
              </w:rPr>
              <w:br w:type="textWrapping"/>
            </w:r>
            <w:r>
              <w:rPr>
                <w:rFonts w:hint="eastAsia" w:ascii="宋体" w:hAnsi="宋体" w:eastAsia="宋体"/>
                <w:color w:val="000000"/>
                <w:sz w:val="21"/>
                <w:szCs w:val="21"/>
              </w:rPr>
              <w:t>填写退出日期。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4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退出方式</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TCFS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005064</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“是否退出”为“是”时必填。填写退出方式。枚举值为“份额转让，基金清算，赎回，其他”。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备注</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填写其他需要报送的但是目前无法标准化的信息，如有保底、保收益、结构化安排、抽屉协议、明股实债、集团内担保、替其他出资人垫资、承诺回购原出资人份额等情况需注明。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直接投资不动产信息表</w:t>
      </w:r>
    </w:p>
    <w:tbl>
      <w:tblPr>
        <w:tblStyle w:val="25"/>
        <w:tblW w:w="8824" w:type="dxa"/>
        <w:tblInd w:w="0" w:type="dxa"/>
        <w:tblLayout w:type="fixed"/>
        <w:tblCellMar>
          <w:top w:w="0" w:type="dxa"/>
          <w:left w:w="108" w:type="dxa"/>
          <w:bottom w:w="0" w:type="dxa"/>
          <w:right w:w="108" w:type="dxa"/>
        </w:tblCellMar>
      </w:tblPr>
      <w:tblGrid>
        <w:gridCol w:w="1266"/>
        <w:gridCol w:w="1353"/>
        <w:gridCol w:w="909"/>
        <w:gridCol w:w="3974"/>
        <w:gridCol w:w="644"/>
        <w:gridCol w:w="678"/>
      </w:tblGrid>
      <w:tr>
        <w:tblPrEx>
          <w:tblCellMar>
            <w:top w:w="0" w:type="dxa"/>
            <w:left w:w="108" w:type="dxa"/>
            <w:bottom w:w="0" w:type="dxa"/>
            <w:right w:w="108" w:type="dxa"/>
          </w:tblCellMar>
        </w:tblPrEx>
        <w:trPr>
          <w:trHeight w:val="290" w:hRule="atLeast"/>
        </w:trPr>
        <w:tc>
          <w:tcPr>
            <w:tcW w:w="126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5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0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9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ZJTZBDCXXB</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直接投资不动产信息表</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F0306</w:t>
            </w:r>
          </w:p>
        </w:tc>
        <w:tc>
          <w:tcPr>
            <w:tcW w:w="529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本表报送机构直接投资不动产相关信息。</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投资账户名称</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TZZHMC</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002021</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机构自有资金、受托资金或产品管理账户名称。</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投资账户代码</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TZZHDM</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002020</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机构自有资金、受托资金或产品管理账户代码。</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投资机构类型</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TZJGLX</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004002</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参照业务代码表《机构类型代码》，填报名称。</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资产代码</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ZCDM</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003002</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机构自定义代码。如在持仓表中有该资产，需与持仓表中的“资产代码”一致。</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资产名称</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ZCMC</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003008</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填写项目名称全称。</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所在地国家</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SZDGJ</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001022</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参照业务代码表《国家地区》，填报代码。</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所属地区</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SSDQ</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001017</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参照业务代码表《行政区划代码》，境内地区至少精确到省、自治区、直辖市、特别行政区，应逐级填写完整地域名称，如“河北省石家庄市长安区”。如无法区分，填报“其他”。</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初始投资日期</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CSTZRQ</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初始投资日期。</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投资类型</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TZLX</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006032</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枚举值为“自用性；投资性”。</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项目状态</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XMZT</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006033</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枚举值为“已建成；在建工程；土地”。</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投资原值</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TZYZ</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按实际投资金额填写。单位：元。</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原值币种</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YZBZ</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002001</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参照业务代码表《币种代码》，填报代码。</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账面余额</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ZMYE</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002022</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换算成本币账面余额，单位：元。</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项目涉及股+债标识</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XMSJGZBS</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填写是否涉及到股权+债权的运作模式。枚举值为“是；否”。</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不动产类型</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BDCLX</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006034</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根据土地用途分类，具体填报标准参照物业土地证“用途”栏内容（标识库）。</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物业类型</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WYLX</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006035</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枚举值为“养老不动产；医疗；汽车服务不动产；城市商住综合体；城市商业；其他”，其中，城市商业包括写字楼、商业公寓、商铺、会议会展中心、物流仓库等。</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住宅配比</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ZZPB</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住宅所占配比，填数字，不填百分比，最少保留两位小数，比如12.34%填写为12.34。</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土地证生效日期</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TDZSXRQ</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投资性不动产剩余土地使用年限不能低于15年（对应土地证信息）。默认值99991231。</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不动产证生效日期</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BDCZSXRQ</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不动产证生效时点。默认值99991231。</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总建筑面积</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ZJZMJ</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006013</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总建筑面积，“项目状态”为“已建成”时必填。单位：平方米。</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总占地面积</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ZZDMJ</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006013</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总占地面积，单位：平方米。</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容积率</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RJL</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容积率。填数字，不填百分比，最少保留两位小数，比如12.34%填写为12.34。默认值9999。</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是否处置</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SFCZ</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处置日期</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CZRQ</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“是否处置”为“是”时必填。填写处置日期。</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处置价值</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CZJZ</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“是否处置”为“是”时必填。填写处置价值，单位：元。</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收益率</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SYL</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001012</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“是否处置”为“是”时必填。填写产品处置时的收益率，填数字，不填百分比，最少保留四位小数，比如12.34%填写为0.1234。</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10" w:hRule="atLeast"/>
        </w:trPr>
        <w:tc>
          <w:tcPr>
            <w:tcW w:w="126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3"/>
        <w:numPr>
          <w:ilvl w:val="0"/>
          <w:numId w:val="6"/>
        </w:numPr>
        <w:ind w:left="0"/>
        <w:rPr>
          <w:szCs w:val="30"/>
        </w:rPr>
      </w:pPr>
      <w:bookmarkStart w:id="760" w:name="_Toc73958615"/>
      <w:bookmarkStart w:id="761" w:name="_Toc25696"/>
      <w:bookmarkStart w:id="762" w:name="_Toc16356"/>
      <w:bookmarkStart w:id="763" w:name="_Toc2479"/>
      <w:bookmarkStart w:id="764" w:name="_Toc16693"/>
      <w:bookmarkStart w:id="765" w:name="_Toc21395"/>
      <w:bookmarkStart w:id="766" w:name="_Toc28251"/>
      <w:bookmarkStart w:id="767" w:name="_Toc3950"/>
      <w:bookmarkStart w:id="768" w:name="_Toc3368"/>
      <w:bookmarkStart w:id="769" w:name="_Toc6673"/>
      <w:bookmarkStart w:id="770" w:name="_Toc17366"/>
      <w:bookmarkStart w:id="771" w:name="_Toc23306"/>
      <w:r>
        <w:rPr>
          <w:rFonts w:hint="eastAsia"/>
          <w:szCs w:val="30"/>
        </w:rPr>
        <w:t>关联交易信息</w:t>
      </w:r>
      <w:bookmarkEnd w:id="760"/>
      <w:bookmarkEnd w:id="761"/>
      <w:bookmarkEnd w:id="762"/>
      <w:bookmarkEnd w:id="763"/>
      <w:bookmarkEnd w:id="764"/>
      <w:bookmarkEnd w:id="765"/>
      <w:bookmarkEnd w:id="766"/>
      <w:bookmarkEnd w:id="767"/>
      <w:bookmarkEnd w:id="768"/>
      <w:bookmarkEnd w:id="769"/>
      <w:bookmarkEnd w:id="770"/>
      <w:bookmarkEnd w:id="771"/>
    </w:p>
    <w:p>
      <w:pPr>
        <w:pStyle w:val="4"/>
        <w:numPr>
          <w:ilvl w:val="0"/>
          <w:numId w:val="13"/>
        </w:numPr>
        <w:tabs>
          <w:tab w:val="left" w:pos="709"/>
          <w:tab w:val="left" w:pos="993"/>
        </w:tabs>
        <w:rPr>
          <w:rFonts w:ascii="仿宋" w:hAnsi="仿宋" w:eastAsia="仿宋"/>
        </w:rPr>
      </w:pPr>
      <w:bookmarkStart w:id="772" w:name="_Toc18129"/>
      <w:bookmarkStart w:id="773" w:name="_Toc15466"/>
      <w:bookmarkStart w:id="774" w:name="_Toc5889"/>
      <w:bookmarkStart w:id="775" w:name="_Toc73958616"/>
      <w:bookmarkStart w:id="776" w:name="_Toc27889"/>
      <w:bookmarkStart w:id="777" w:name="_Toc32423"/>
      <w:bookmarkStart w:id="778" w:name="_Toc16026"/>
      <w:r>
        <w:rPr>
          <w:rFonts w:hint="eastAsia" w:ascii="仿宋" w:hAnsi="仿宋" w:eastAsia="仿宋"/>
        </w:rPr>
        <w:t>关联方档案</w:t>
      </w:r>
      <w:bookmarkEnd w:id="772"/>
      <w:bookmarkEnd w:id="773"/>
      <w:bookmarkEnd w:id="774"/>
      <w:bookmarkEnd w:id="775"/>
      <w:bookmarkEnd w:id="776"/>
      <w:bookmarkEnd w:id="777"/>
      <w:bookmarkEnd w:id="778"/>
    </w:p>
    <w:p>
      <w:pPr>
        <w:keepNext/>
        <w:keepLines/>
        <w:numPr>
          <w:ilvl w:val="1"/>
          <w:numId w:val="11"/>
        </w:numPr>
        <w:ind w:firstLineChars="0"/>
        <w:outlineLvl w:val="3"/>
        <w:rPr>
          <w:rFonts w:ascii="仿宋" w:hAnsi="仿宋" w:eastAsia="仿宋"/>
          <w:b/>
        </w:rPr>
      </w:pPr>
      <w:r>
        <w:rPr>
          <w:rFonts w:hint="eastAsia" w:ascii="仿宋" w:hAnsi="仿宋" w:eastAsia="仿宋"/>
          <w:b/>
        </w:rPr>
        <w:t>法人或其他组织关联方信息表</w:t>
      </w:r>
    </w:p>
    <w:tbl>
      <w:tblPr>
        <w:tblStyle w:val="25"/>
        <w:tblW w:w="8824" w:type="dxa"/>
        <w:tblInd w:w="0" w:type="dxa"/>
        <w:tblLayout w:type="fixed"/>
        <w:tblCellMar>
          <w:top w:w="0" w:type="dxa"/>
          <w:left w:w="108" w:type="dxa"/>
          <w:bottom w:w="0" w:type="dxa"/>
          <w:right w:w="108" w:type="dxa"/>
        </w:tblCellMar>
      </w:tblPr>
      <w:tblGrid>
        <w:gridCol w:w="1581"/>
        <w:gridCol w:w="1292"/>
        <w:gridCol w:w="948"/>
        <w:gridCol w:w="3540"/>
        <w:gridCol w:w="709"/>
        <w:gridCol w:w="754"/>
      </w:tblGrid>
      <w:tr>
        <w:tblPrEx>
          <w:tblCellMar>
            <w:top w:w="0" w:type="dxa"/>
            <w:left w:w="108" w:type="dxa"/>
            <w:bottom w:w="0" w:type="dxa"/>
            <w:right w:w="108" w:type="dxa"/>
          </w:tblCellMar>
        </w:tblPrEx>
        <w:trPr>
          <w:trHeight w:val="290" w:hRule="atLeast"/>
        </w:trPr>
        <w:tc>
          <w:tcPr>
            <w:tcW w:w="15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9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4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00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FRHQTZZGLFXXB</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法人或其他组织关联方信息表</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G0101</w:t>
            </w:r>
          </w:p>
        </w:tc>
        <w:tc>
          <w:tcPr>
            <w:tcW w:w="500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本表报送法人或其他组织关联方基础信息。在进行关联方认定时，应按照实质重于形式的原则认定。</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保险资产管理公司统一社会信用代码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BZ_TYSHXYDM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001003</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法人或其他组织关联方法定名称</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GL_FRHQTZZGLFFDMC</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法人或其他组织关联方的名称应是经工商管理部门批准正式使用的全称，与关联方公章所使用的名称完全一致。</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法人或其他组织关联方证件类型</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GL_FRHQTZZGLFZJLX</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参照业务代码表《证件类型代码》，填报名称。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法人或其他组织关联方证件号码</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GL_FRHQTZZGLFZJHM</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境内法人填报时必须按照技术监督部门发放的统一社会信用代码填写。统一社会信用代码是根据中华人民共和国国家标准《法人和其他组织统一社会信用代码编码规则》（GB32100-2015），由统一社会信用代码登记主管部门给每个企业、事业客户、机关和社会团体颁发的在全国范围内唯一的、始终不变的法定代码。</w:t>
            </w:r>
            <w:r>
              <w:rPr>
                <w:rFonts w:hint="eastAsia" w:ascii="宋体" w:hAnsi="宋体" w:eastAsia="宋体"/>
                <w:color w:val="000000"/>
                <w:sz w:val="21"/>
                <w:szCs w:val="21"/>
              </w:rPr>
              <w:br w:type="textWrapping"/>
            </w:r>
            <w:r>
              <w:rPr>
                <w:rFonts w:hint="eastAsia" w:ascii="宋体" w:hAnsi="宋体" w:eastAsia="宋体"/>
                <w:color w:val="000000"/>
                <w:sz w:val="21"/>
                <w:szCs w:val="21"/>
              </w:rPr>
              <w:t>境外法人机构则填写企业注册码、税务号等有效代码。如果无法获取，可填写填报机构自行编制代码。</w:t>
            </w:r>
            <w:r>
              <w:rPr>
                <w:rFonts w:hint="eastAsia" w:ascii="宋体" w:hAnsi="宋体" w:eastAsia="宋体"/>
                <w:color w:val="000000"/>
                <w:sz w:val="21"/>
                <w:szCs w:val="21"/>
              </w:rPr>
              <w:br w:type="textWrapping"/>
            </w:r>
            <w:r>
              <w:rPr>
                <w:rFonts w:hint="eastAsia" w:ascii="宋体" w:hAnsi="宋体" w:eastAsia="宋体"/>
                <w:color w:val="000000"/>
                <w:sz w:val="21"/>
                <w:szCs w:val="21"/>
              </w:rPr>
              <w:t>如填写统一社会信用代码，则进行18位长度校验。</w:t>
            </w:r>
            <w:r>
              <w:rPr>
                <w:rFonts w:hint="eastAsia" w:ascii="宋体" w:hAnsi="宋体" w:eastAsia="宋体"/>
                <w:color w:val="000000"/>
                <w:sz w:val="21"/>
                <w:szCs w:val="21"/>
              </w:rPr>
              <w:br w:type="textWrapping"/>
            </w:r>
            <w:r>
              <w:rPr>
                <w:rFonts w:hint="eastAsia" w:ascii="宋体" w:hAnsi="宋体" w:eastAsia="宋体"/>
                <w:color w:val="000000"/>
                <w:sz w:val="21"/>
                <w:szCs w:val="21"/>
              </w:rPr>
              <w:t>自行编制代码为14位，规则为报送机构的9位组织机构代码+1位关联方类型代码+4位顺序号，其中，第10位的关联方类型代码应填写1，代表关联方/关联方中间节点类型为法人或其他组织。</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法人或其他组织关联方证件到期日</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GL_FRHQTZZGLFZJDQR</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法人或其他组织关联方证件到期日。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4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境内外标识</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JNWBS</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002017</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填报境内外标识。枚举值为“境内；境外”。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2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4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5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自然人关联方信息表</w:t>
      </w:r>
    </w:p>
    <w:tbl>
      <w:tblPr>
        <w:tblStyle w:val="25"/>
        <w:tblW w:w="8824" w:type="dxa"/>
        <w:tblInd w:w="0" w:type="dxa"/>
        <w:tblLayout w:type="fixed"/>
        <w:tblCellMar>
          <w:top w:w="0" w:type="dxa"/>
          <w:left w:w="108" w:type="dxa"/>
          <w:bottom w:w="0" w:type="dxa"/>
          <w:right w:w="108" w:type="dxa"/>
        </w:tblCellMar>
      </w:tblPr>
      <w:tblGrid>
        <w:gridCol w:w="1225"/>
        <w:gridCol w:w="1362"/>
        <w:gridCol w:w="916"/>
        <w:gridCol w:w="3983"/>
        <w:gridCol w:w="653"/>
        <w:gridCol w:w="685"/>
      </w:tblGrid>
      <w:tr>
        <w:tblPrEx>
          <w:tblCellMar>
            <w:top w:w="0" w:type="dxa"/>
            <w:left w:w="108" w:type="dxa"/>
            <w:bottom w:w="0" w:type="dxa"/>
            <w:right w:w="108" w:type="dxa"/>
          </w:tblCellMar>
        </w:tblPrEx>
        <w:trPr>
          <w:trHeight w:val="290" w:hRule="atLeast"/>
        </w:trPr>
        <w:tc>
          <w:tcPr>
            <w:tcW w:w="12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6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ZRRGLFXXB</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自然人关联方信息表</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G0102</w:t>
            </w:r>
          </w:p>
        </w:tc>
        <w:tc>
          <w:tcPr>
            <w:tcW w:w="53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本表报送自然人关联方数据。在进行关联方认定时，应按照实质重于形式的原则认定。</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自然人关联方法定名称</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GL_ZRRGLFFDMC</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001011</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填写合法身份证件上使用的姓名。隐私，保险资产管理公司变形。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自然人关联方证件类型</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GL_ZRRGLFZJLX</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参照业务代码表《证件类型代码》，填报名称。</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自然人关联方证件号码</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GL_ZRRGLFZJHM</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境内自然人，则必须填写合法身份证件的号码。境外自然人，需填写护照号，如无法获取，则填写填报机构自行编制号码。隐私，保险资产管理公司变形。</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自然人关联方证件到期日</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GL_ZRRGLFZJDQR</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自然人关联方证件到期日。</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63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境内外标识</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JNWBS</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002017</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填报境内外标识。枚举值为“境内；境外”。</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5"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6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金融产品信息表</w:t>
      </w:r>
    </w:p>
    <w:tbl>
      <w:tblPr>
        <w:tblStyle w:val="25"/>
        <w:tblW w:w="8824" w:type="dxa"/>
        <w:tblInd w:w="0" w:type="dxa"/>
        <w:tblLayout w:type="fixed"/>
        <w:tblCellMar>
          <w:top w:w="0" w:type="dxa"/>
          <w:left w:w="108" w:type="dxa"/>
          <w:bottom w:w="0" w:type="dxa"/>
          <w:right w:w="108" w:type="dxa"/>
        </w:tblCellMar>
      </w:tblPr>
      <w:tblGrid>
        <w:gridCol w:w="1226"/>
        <w:gridCol w:w="1371"/>
        <w:gridCol w:w="914"/>
        <w:gridCol w:w="3981"/>
        <w:gridCol w:w="651"/>
        <w:gridCol w:w="681"/>
      </w:tblGrid>
      <w:tr>
        <w:trPr>
          <w:trHeight w:val="290" w:hRule="atLeast"/>
        </w:trPr>
        <w:tc>
          <w:tcPr>
            <w:tcW w:w="12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7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1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JRCPXXB</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金融产品信息表</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G0103</w:t>
            </w:r>
          </w:p>
        </w:tc>
        <w:tc>
          <w:tcPr>
            <w:tcW w:w="531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在关联方认定或关联交易中涉及的金融产品，以便向上识别产品的最终投资者，向下识别产品的底层资产，包含但不限于以下情况：关联方发行的金融产品、金融产品基础资产涉及关联方、与关联方共同投资。</w:t>
            </w:r>
          </w:p>
        </w:tc>
      </w:tr>
      <w:tr>
        <w:tblPrEx>
          <w:tblCellMar>
            <w:top w:w="0" w:type="dxa"/>
            <w:left w:w="108" w:type="dxa"/>
            <w:bottom w:w="0" w:type="dxa"/>
            <w:right w:w="108" w:type="dxa"/>
          </w:tblCellMar>
        </w:tblPrEx>
        <w:trPr>
          <w:trHeight w:val="29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金融产品全称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JRCPQC</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005002</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金融产品在批准、注册或备案后的产品名称。</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产品批准/注册/备案号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CPPZ_ZC_BAH</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007001</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产品批准、注册或备案机构配发的核准编号。如产品报送时产品批准、注册或备案号尚未公布，则填写产品管理人的内部编号，待后续产品批准、注册或备案号公布后及时更新。</w:t>
            </w:r>
            <w:r>
              <w:rPr>
                <w:rFonts w:hint="eastAsia" w:ascii="宋体" w:hAnsi="宋体" w:eastAsia="宋体"/>
                <w:color w:val="000000"/>
                <w:sz w:val="21"/>
                <w:szCs w:val="21"/>
              </w:rPr>
              <w:br w:type="textWrapping"/>
            </w:r>
            <w:r>
              <w:rPr>
                <w:rFonts w:hint="eastAsia" w:ascii="宋体" w:hAnsi="宋体" w:eastAsia="宋体"/>
                <w:color w:val="000000"/>
                <w:sz w:val="21"/>
                <w:szCs w:val="21"/>
              </w:rPr>
              <w:t>内部编号为14位，规则为报送机构的9位组织机构代码+3+4位顺序号。3代表关联方/关联方中间节点类型为金融产品等其他。</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产品代码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CPDM</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005001</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由产品登记机构配发的产品代码。</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否</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rPr>
          <w:trHeight w:val="29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产品分类</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CPFL</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005020</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参照业务代码表《产品类型代码》，填报名称。</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产品登记机构</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CPDJJG</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为产品信息及份额信息等提供登记、托管等服务的机构。</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36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产品管理人法定名称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GL_CPGLRFDMC</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发起产品设立、募集，并提供后续管理的金融机构。</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产品管理人证件类型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GL_CPGLRZJLX</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产品管理人证件类型。参照业务代码表《证件类型代码》，填报名称。</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产品管理人证件号码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GL_CPGLRZJHM</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境内法人机构填写统一社会信用代码。境外法人机构则填写企业注册码、税务号等有效代码。如无上述代码，机构可自行定义。</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产品管理人证件到期日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GL_CPGLRZJDQR</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产品管理人证件到期日。</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产品托管人法定名称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GL_CPTGRFDMC</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负责本金融产品托管业务的金融机构。</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产品托管人证件类型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GL_CPTGRZJLX</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产品托管人证件类型。参照业务代码表《证件类型代码》，填报名称。</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产品托管人证件号码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GL_CPTGRZJHM</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境内法人机构填写统一社会信用代码。境外法人机构则填写企业注册码、税务号等有效代码。如无上述代码，机构可自行定义。</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产品托管人证件到期日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GL_CPTGRZJDQR</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产品托管人证件到期日。</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22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9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关联关系图谱</w:t>
      </w:r>
    </w:p>
    <w:tbl>
      <w:tblPr>
        <w:tblStyle w:val="25"/>
        <w:tblW w:w="8824" w:type="dxa"/>
        <w:tblInd w:w="0" w:type="dxa"/>
        <w:tblLayout w:type="fixed"/>
        <w:tblCellMar>
          <w:top w:w="0" w:type="dxa"/>
          <w:left w:w="108" w:type="dxa"/>
          <w:bottom w:w="0" w:type="dxa"/>
          <w:right w:w="108" w:type="dxa"/>
        </w:tblCellMar>
      </w:tblPr>
      <w:tblGrid>
        <w:gridCol w:w="1076"/>
        <w:gridCol w:w="2106"/>
        <w:gridCol w:w="919"/>
        <w:gridCol w:w="3260"/>
        <w:gridCol w:w="709"/>
        <w:gridCol w:w="754"/>
      </w:tblGrid>
      <w:tr>
        <w:tblPrEx>
          <w:tblCellMar>
            <w:top w:w="0" w:type="dxa"/>
            <w:left w:w="108" w:type="dxa"/>
            <w:bottom w:w="0" w:type="dxa"/>
            <w:right w:w="108" w:type="dxa"/>
          </w:tblCellMar>
        </w:tblPrEx>
        <w:trPr>
          <w:trHeight w:val="290" w:hRule="atLeast"/>
        </w:trPr>
        <w:tc>
          <w:tcPr>
            <w:tcW w:w="10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210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72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GLGXTP</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关联关系图谱</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G0104</w:t>
            </w:r>
          </w:p>
        </w:tc>
        <w:tc>
          <w:tcPr>
            <w:tcW w:w="472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本表报送形成自然人关联方、法人及其他组织的关联关系，出于关联方穿透管理的需要，通过金融产品持股或施加重大影响形成的关联方，将相应金融产品作为关联方中间节点进行报送。</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数据报送以填报机构为最前一层关联方逐步向后扩展；两个关联方之间同一关联关系填报时，仅填报一个方向即可；自然人股东的近亲属持有或控制填报机构股份，持有或控制的股份应与自然人股东持有或控制填报机构股份分别填报。</w:t>
            </w:r>
          </w:p>
        </w:tc>
      </w:tr>
      <w:tr>
        <w:tblPrEx>
          <w:tblCellMar>
            <w:top w:w="0" w:type="dxa"/>
            <w:left w:w="108" w:type="dxa"/>
            <w:bottom w:w="0" w:type="dxa"/>
            <w:right w:w="108" w:type="dxa"/>
          </w:tblCellMar>
        </w:tblPrEx>
        <w:trPr>
          <w:trHeight w:val="29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保险资产管理公司名称</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BZ_JGMC</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流水号</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LSH</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关联方名称/关联方中间节点名称</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GLFMC_GLFZJJDMC</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关联方名称填写法人或其他组织的名称、自然人姓名。关联方中间节点名称填写金融产品名称。若为自然人姓名，隐私，保险资产管理公司变形。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关联方代码/关联方中间节点代码</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GLFDM_GLFZJJDDM</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007002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关联方代码填写法人或其他组织的统一社会信用代码等有效代码、自然人对应证件类型的证件号码。关联方中间节点代码填写金融产品的批准、注册/备案号。若为自然人证件号码，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关联方/关联方中间节点类型</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GLF_GLFZJJDLX</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007003</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枚举值为“法人或其他组织 ；自然人 ；金融产品等其他”。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前一层关联方名称/关联方中间节点名称</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QYCGLFMC_GLFZJJDMC</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填写前一层法人或其他组织的法人名称、自然人姓名、金融产品的产品全称。若为自然人姓名，隐私，保险资产管理公司变形。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前一层关联方代码/关联方中间节点代码</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QYCGLFDM_GLFZJJDDM</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007002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填写法人或其他组织的统一社会信用代码等有效代码、自然人的证件号码、金融产品的批准、注册/备案号。若为自然人证件号码，隐私，保险资产管理公司变形。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前一层关联方/关联方中间节点类型</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QYCGLF_GLFZJJDLX</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007003</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枚举值为“法人或其他组织 ；自然人 ；金融产品等其他”。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与前一层的关联关系</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YQYCDGLGX</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007012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参照业务代码表《关联关系代码》，填报名称。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与前一层之间是否有权益份额</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YQYCZJSFYQYFE</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007004</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枚举值为“是，对前一层持有；是，被前一层持有；否”。</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持有比例</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CYBL</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当“与前一层之间是否有权益份额”为“是，对前一层持有”或“是，被前一层持有”时，持有比例为必填。</w:t>
            </w:r>
            <w:r>
              <w:rPr>
                <w:rFonts w:hint="eastAsia" w:ascii="宋体" w:hAnsi="宋体" w:eastAsia="宋体"/>
                <w:color w:val="000000"/>
                <w:sz w:val="21"/>
                <w:szCs w:val="21"/>
              </w:rPr>
              <w:br w:type="textWrapping"/>
            </w:r>
            <w:r>
              <w:rPr>
                <w:rFonts w:hint="eastAsia" w:ascii="宋体" w:hAnsi="宋体" w:eastAsia="宋体"/>
                <w:color w:val="000000"/>
                <w:sz w:val="21"/>
                <w:szCs w:val="21"/>
              </w:rPr>
              <w:t>填报持有或被前一层关联方持有权益份额的比例，填数字，不填百分比，最少保留两位小数，比如12.34%填写为12.34。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9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质押股权比例</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ZYGQBL</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当填报机构为前一层关联方时，关联方持有前一层关联方的质押股权数量占持有的股权总量的比例。</w:t>
            </w:r>
            <w:r>
              <w:rPr>
                <w:rFonts w:hint="eastAsia" w:ascii="宋体" w:hAnsi="宋体" w:eastAsia="宋体"/>
                <w:color w:val="000000"/>
                <w:sz w:val="21"/>
                <w:szCs w:val="21"/>
              </w:rPr>
              <w:br w:type="textWrapping"/>
            </w:r>
            <w:r>
              <w:rPr>
                <w:rFonts w:hint="eastAsia" w:ascii="宋体" w:hAnsi="宋体" w:eastAsia="宋体"/>
                <w:color w:val="000000"/>
                <w:sz w:val="21"/>
                <w:szCs w:val="21"/>
              </w:rPr>
              <w:t>与前一层之间是否有权益份额为“是，对前一层持有”或“是，被前一层持有”时，质押股权比例为必填，填数字，不填百分比，最少保留两位小数，比如12.34%填写为12.34。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关联关系说明</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GLGXSM</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形成关联关系的原因说明。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该关系是否仍然有效</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GGXSFRRYX</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枚举值为“是；否”。</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生效日期</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SXRQ</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该关联关系生效的时间。YYYYMMDD。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9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失效日期</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SXRQ2</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该关联关系失效的时间。YYYYMMDD。</w:t>
            </w:r>
            <w:r>
              <w:rPr>
                <w:rFonts w:hint="eastAsia" w:ascii="宋体" w:hAnsi="宋体" w:eastAsia="宋体"/>
                <w:color w:val="000000"/>
                <w:sz w:val="21"/>
                <w:szCs w:val="21"/>
              </w:rPr>
              <w:br w:type="textWrapping"/>
            </w:r>
            <w:r>
              <w:rPr>
                <w:rFonts w:hint="eastAsia" w:ascii="宋体" w:hAnsi="宋体" w:eastAsia="宋体"/>
                <w:color w:val="000000"/>
                <w:sz w:val="21"/>
                <w:szCs w:val="21"/>
              </w:rPr>
              <w:t>当“该关系是否仍然有效”为否时，失效日期字段为必填。</w:t>
            </w:r>
            <w:r>
              <w:rPr>
                <w:rFonts w:hint="eastAsia" w:ascii="宋体" w:hAnsi="宋体" w:eastAsia="宋体"/>
                <w:color w:val="000000"/>
                <w:sz w:val="21"/>
                <w:szCs w:val="21"/>
              </w:rPr>
              <w:br w:type="textWrapping"/>
            </w:r>
            <w:r>
              <w:rPr>
                <w:rFonts w:hint="eastAsia" w:ascii="宋体" w:hAnsi="宋体" w:eastAsia="宋体"/>
                <w:color w:val="000000"/>
                <w:sz w:val="21"/>
                <w:szCs w:val="21"/>
              </w:rPr>
              <w:t>关联关系仍然有效，失效日期不填，无效时必填。</w:t>
            </w:r>
            <w:r>
              <w:rPr>
                <w:rFonts w:hint="eastAsia" w:ascii="宋体" w:hAnsi="宋体" w:eastAsia="宋体"/>
                <w:color w:val="000000"/>
                <w:sz w:val="21"/>
                <w:szCs w:val="21"/>
              </w:rPr>
              <w:br w:type="textWrapping"/>
            </w:r>
            <w:r>
              <w:rPr>
                <w:rFonts w:hint="eastAsia" w:ascii="宋体" w:hAnsi="宋体" w:eastAsia="宋体"/>
                <w:color w:val="000000"/>
                <w:sz w:val="21"/>
                <w:szCs w:val="21"/>
              </w:rPr>
              <w:t>失效日期大于生效日期。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0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210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numPr>
          <w:ilvl w:val="0"/>
          <w:numId w:val="13"/>
        </w:numPr>
        <w:tabs>
          <w:tab w:val="left" w:pos="709"/>
          <w:tab w:val="left" w:pos="993"/>
        </w:tabs>
        <w:rPr>
          <w:rFonts w:ascii="仿宋" w:hAnsi="仿宋" w:eastAsia="仿宋"/>
        </w:rPr>
      </w:pPr>
      <w:bookmarkStart w:id="779" w:name="_Toc15645"/>
      <w:bookmarkStart w:id="780" w:name="_Toc15089"/>
      <w:bookmarkStart w:id="781" w:name="_Toc13829"/>
      <w:bookmarkStart w:id="782" w:name="_Toc26875"/>
      <w:bookmarkStart w:id="783" w:name="_Toc73958617"/>
      <w:bookmarkStart w:id="784" w:name="_Toc8220"/>
      <w:bookmarkStart w:id="785" w:name="_Toc20580"/>
      <w:r>
        <w:rPr>
          <w:rFonts w:hint="eastAsia" w:ascii="仿宋" w:hAnsi="仿宋" w:eastAsia="仿宋"/>
        </w:rPr>
        <w:t>关联交易详情</w:t>
      </w:r>
      <w:bookmarkEnd w:id="779"/>
      <w:bookmarkEnd w:id="780"/>
      <w:bookmarkEnd w:id="781"/>
      <w:bookmarkEnd w:id="782"/>
      <w:bookmarkEnd w:id="783"/>
      <w:bookmarkEnd w:id="784"/>
      <w:bookmarkEnd w:id="785"/>
    </w:p>
    <w:p>
      <w:pPr>
        <w:keepNext/>
        <w:keepLines/>
        <w:numPr>
          <w:ilvl w:val="1"/>
          <w:numId w:val="11"/>
        </w:numPr>
        <w:ind w:firstLineChars="0"/>
        <w:outlineLvl w:val="3"/>
        <w:rPr>
          <w:rFonts w:ascii="仿宋" w:hAnsi="仿宋" w:eastAsia="仿宋"/>
          <w:b/>
        </w:rPr>
      </w:pPr>
      <w:r>
        <w:rPr>
          <w:rFonts w:hint="eastAsia" w:ascii="仿宋" w:hAnsi="仿宋" w:eastAsia="仿宋"/>
          <w:b/>
        </w:rPr>
        <w:t>重大关联交易明细表</w:t>
      </w:r>
    </w:p>
    <w:bookmarkEnd w:id="127"/>
    <w:bookmarkEnd w:id="12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tbl>
      <w:tblPr>
        <w:tblStyle w:val="25"/>
        <w:tblW w:w="8824" w:type="dxa"/>
        <w:tblInd w:w="0" w:type="dxa"/>
        <w:tblLayout w:type="fixed"/>
        <w:tblCellMar>
          <w:top w:w="0" w:type="dxa"/>
          <w:left w:w="108" w:type="dxa"/>
          <w:bottom w:w="0" w:type="dxa"/>
          <w:right w:w="108" w:type="dxa"/>
        </w:tblCellMar>
      </w:tblPr>
      <w:tblGrid>
        <w:gridCol w:w="1161"/>
        <w:gridCol w:w="2421"/>
        <w:gridCol w:w="898"/>
        <w:gridCol w:w="3038"/>
        <w:gridCol w:w="629"/>
        <w:gridCol w:w="677"/>
      </w:tblGrid>
      <w:tr>
        <w:tblPrEx>
          <w:tblCellMar>
            <w:top w:w="0" w:type="dxa"/>
            <w:left w:w="108" w:type="dxa"/>
            <w:bottom w:w="0" w:type="dxa"/>
            <w:right w:w="108" w:type="dxa"/>
          </w:tblCellMar>
        </w:tblPrEx>
        <w:trPr>
          <w:trHeight w:val="290" w:hRule="atLeast"/>
        </w:trPr>
        <w:tc>
          <w:tcPr>
            <w:tcW w:w="11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242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9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34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ZDGLJYMXB</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重大关联交易明细表</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G0201</w:t>
            </w:r>
          </w:p>
        </w:tc>
        <w:tc>
          <w:tcPr>
            <w:tcW w:w="434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本表报送报告期内填报机构与关联方之间发生的各类重大关联交易，其中累计达到重大关联交易的情形需填报累计过程所有交易信息，《银行保险机构关联交易管理办法》中明确的豁免事项免于报送。</w:t>
            </w: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保险资产管理公司保险许可证号码</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BZ_BXXKZHM</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001050</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中国银保监会统一设计和印制，授权给保险资产管理公司经营保险资管业务的许可证上记录的机构编码。</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是</w:t>
            </w: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保险资产管理公司统一社会信用代码</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BZ_TYSHXYDM</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001003</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填报统一社会信用代码。</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是</w:t>
            </w: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保险资产管理公司名称</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BZ_JGMC</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001002</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填报保险许可证中的机构名称。</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流水号</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LSH</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001001</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统一社会信用代码+日期（YYYYMMDD）+10位流水，流水号是每天的流水号，每天都是从‘0000000001’开始。其中日期为上报数据时当前的系统日期。</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是</w:t>
            </w: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交易编号</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JYBH</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001023</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机构自定义该笔交易的唯一识别号。</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是</w:t>
            </w: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交易标的</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JYBD</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007009</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填报机构与关联方之间发生关联交易的标的或其资产情况。</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合同编号</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HTBH</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006012</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关联交易协议的编号。</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合同签署日期</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HTQSRQ</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001005</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填报合同最后一方签署日期。YYYYMMDD。</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关联交易类型</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GLJYLX</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007005</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参照《业务代码表》中的“关联交易类型代码”，填报关联交易类型代码。</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关联交易子类</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GLJYZL</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007006</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参照《业务代码表》中的“关联交易类型代码”，填报关联交易子类代码。</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交易金额</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JYJE</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001008</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填报机构或其控股子公司与关联方之间关联交易的交易对价或转移利益的金额。核算成人民币，单位：元。</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交易价格</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JYJG</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001008</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以单笔关联交易各类业务的交易价格说明为准。单位：元。</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定价政策</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DJZC</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007007</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交易定价的确定原则及定价方法。</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10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对财务状况及经营成果的影响</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DCWZKJJYCGDYX</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007008</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对填报机构财务状况及经营成果的描述。</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关联方类型</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GLFLX</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007010</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根据《银行保险机构关联交易管理办法》（中国银行保险监督管理委员会令〔2022〕1号），填报关联方类型。枚举值为“法人或其他组织 ；自然人”。</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关联方法定名称</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GL_GLFFDMC</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001015</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填写法人或其他组织的法人名称、自然人姓名。若为自然人名称，隐私，保险资产管理公司变形。</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关联方证件类型</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GL_GLFZJLX</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001019</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关联方证件类型。参照业务代码表《证件类型代码》，填报名称。</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否</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关联方证件号码</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GL_GLFZJHM</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007002</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填写法人或其他组织的统一社会信用代码等有效代码、自然人的证件号码。若为自然人证件号码，隐私，保险资产管理公司变形。</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是</w:t>
            </w:r>
          </w:p>
        </w:tc>
      </w:tr>
      <w:tr>
        <w:tblPrEx>
          <w:tblCellMar>
            <w:top w:w="0" w:type="dxa"/>
            <w:left w:w="108" w:type="dxa"/>
            <w:bottom w:w="0" w:type="dxa"/>
            <w:right w:w="108" w:type="dxa"/>
          </w:tblCellMar>
        </w:tblPrEx>
        <w:trPr>
          <w:trHeight w:val="55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关联方证件到期日</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GL_GLFZJDQR</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001005</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关联方证件到期日</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否</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达到重大关联交易的情形</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DDZDGLJYDQX</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007011</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枚举值为“单笔达到；累计达到”。</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本年度与该关联方发生的关联交易累计金额</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BNDYGGLFFSDGLJYLJJE</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001008</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当达到重大关联交易的情形字段为“累计达到”，该字段为必填，核算成人民币，单位：元。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除单笔达到重大关联交易及统一交易协议外，本年度与该关联方发生的累计交易金额，包括本笔交易金额在内。</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否</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本年度与该关联方发生的重大关联交易明细批次</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BNDYGGLFFSDZDGLJYMXPC</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001013</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当达到重大关联交易的情形字段为“累计达到”，该字段为必填，填报本年度与该关联方发生重点关联交易的批次号，当第一次累计达到重大关联交易时填报“1”，重新计算后第二次达到时填报“2”，以此类推。</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否</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其他说明事项</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QTSMSX</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002011</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除上述关键信息以外，其他需说明的重要或特殊事项。</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否</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1090" w:hRule="atLeast"/>
        </w:trPr>
        <w:tc>
          <w:tcPr>
            <w:tcW w:w="116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采集日期</w:t>
            </w:r>
          </w:p>
        </w:tc>
        <w:tc>
          <w:tcPr>
            <w:tcW w:w="24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CJRQ</w:t>
            </w:r>
          </w:p>
        </w:tc>
        <w:tc>
          <w:tcPr>
            <w:tcW w:w="89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001005</w:t>
            </w:r>
          </w:p>
        </w:tc>
        <w:tc>
          <w:tcPr>
            <w:tcW w:w="3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指该期（批次）数据报送的期末日期，例如：按日采集的表，采集日期应为每日；按月采集的表，采集日期应为月末最后一天；以此类推。有特殊报送要求的，应以报送要求的截至日期为采集日期。</w:t>
            </w:r>
          </w:p>
        </w:tc>
        <w:tc>
          <w:tcPr>
            <w:tcW w:w="6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是</w:t>
            </w:r>
          </w:p>
        </w:tc>
        <w:tc>
          <w:tcPr>
            <w:tcW w:w="67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bl>
    <w:p>
      <w:pPr>
        <w:keepNext/>
        <w:keepLines/>
        <w:numPr>
          <w:ilvl w:val="1"/>
          <w:numId w:val="14"/>
        </w:numPr>
        <w:ind w:firstLineChars="0"/>
        <w:outlineLvl w:val="3"/>
        <w:rPr>
          <w:rFonts w:ascii="仿宋" w:hAnsi="仿宋" w:eastAsia="仿宋"/>
          <w:b/>
        </w:rPr>
      </w:pPr>
      <w:r>
        <w:rPr>
          <w:rFonts w:hint="eastAsia" w:ascii="仿宋" w:hAnsi="仿宋" w:eastAsia="仿宋"/>
          <w:b/>
        </w:rPr>
        <w:t>一般关联交易统计表</w:t>
      </w:r>
    </w:p>
    <w:tbl>
      <w:tblPr>
        <w:tblStyle w:val="25"/>
        <w:tblW w:w="8824" w:type="dxa"/>
        <w:tblInd w:w="0" w:type="dxa"/>
        <w:tblLayout w:type="fixed"/>
        <w:tblCellMar>
          <w:top w:w="0" w:type="dxa"/>
          <w:left w:w="108" w:type="dxa"/>
          <w:bottom w:w="0" w:type="dxa"/>
          <w:right w:w="108" w:type="dxa"/>
        </w:tblCellMar>
      </w:tblPr>
      <w:tblGrid>
        <w:gridCol w:w="1162"/>
        <w:gridCol w:w="2211"/>
        <w:gridCol w:w="951"/>
        <w:gridCol w:w="3090"/>
        <w:gridCol w:w="681"/>
        <w:gridCol w:w="729"/>
      </w:tblGrid>
      <w:tr>
        <w:tblPrEx>
          <w:tblCellMar>
            <w:top w:w="0" w:type="dxa"/>
            <w:left w:w="108" w:type="dxa"/>
            <w:bottom w:w="0" w:type="dxa"/>
            <w:right w:w="108" w:type="dxa"/>
          </w:tblCellMar>
        </w:tblPrEx>
        <w:trPr>
          <w:trHeight w:val="290" w:hRule="atLeast"/>
        </w:trPr>
        <w:tc>
          <w:tcPr>
            <w:tcW w:w="116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221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500"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290" w:hRule="atLeast"/>
        </w:trPr>
        <w:tc>
          <w:tcPr>
            <w:tcW w:w="116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YBGLJYTJB</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一般关联交易统计表</w:t>
            </w:r>
          </w:p>
        </w:tc>
        <w:tc>
          <w:tcPr>
            <w:tcW w:w="9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G0202</w:t>
            </w:r>
          </w:p>
        </w:tc>
        <w:tc>
          <w:tcPr>
            <w:tcW w:w="4500"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本表报送报告期内填报机构与关联方之间发生的各类一般关联交易，《银行保险机构关联交易管理办法》中明确的豁免事项免于报送。</w:t>
            </w:r>
          </w:p>
        </w:tc>
      </w:tr>
      <w:tr>
        <w:tblPrEx>
          <w:tblCellMar>
            <w:top w:w="0" w:type="dxa"/>
            <w:left w:w="108" w:type="dxa"/>
            <w:bottom w:w="0" w:type="dxa"/>
            <w:right w:w="108" w:type="dxa"/>
          </w:tblCellMar>
        </w:tblPrEx>
        <w:trPr>
          <w:trHeight w:val="290" w:hRule="atLeast"/>
        </w:trPr>
        <w:tc>
          <w:tcPr>
            <w:tcW w:w="116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0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820" w:hRule="atLeast"/>
        </w:trPr>
        <w:tc>
          <w:tcPr>
            <w:tcW w:w="116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保险资产管理公司保险许可证号码</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BZ_BXXKZHM</w:t>
            </w:r>
          </w:p>
        </w:tc>
        <w:tc>
          <w:tcPr>
            <w:tcW w:w="9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001050</w:t>
            </w:r>
          </w:p>
        </w:tc>
        <w:tc>
          <w:tcPr>
            <w:tcW w:w="30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中国银保监会统一设计和印制，授权给保险资产管理公司经营保险资管业务的许可证上记录的机构编码。</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16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保险资产管理公司统一社会信用代码</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BZ_TYSHXYDM</w:t>
            </w:r>
          </w:p>
        </w:tc>
        <w:tc>
          <w:tcPr>
            <w:tcW w:w="9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0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填报统一社会信用代码。</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16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保险资产管理公司名称</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BZ_JGMC</w:t>
            </w:r>
          </w:p>
        </w:tc>
        <w:tc>
          <w:tcPr>
            <w:tcW w:w="9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001002</w:t>
            </w:r>
          </w:p>
        </w:tc>
        <w:tc>
          <w:tcPr>
            <w:tcW w:w="30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填报保险许可证中的机构名称。</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16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9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0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16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统计日期</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TJRQ</w:t>
            </w:r>
          </w:p>
        </w:tc>
        <w:tc>
          <w:tcPr>
            <w:tcW w:w="9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001005</w:t>
            </w:r>
          </w:p>
        </w:tc>
        <w:tc>
          <w:tcPr>
            <w:tcW w:w="30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统计日期。</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16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关联交易类型</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GLJYLX</w:t>
            </w:r>
          </w:p>
        </w:tc>
        <w:tc>
          <w:tcPr>
            <w:tcW w:w="9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007005</w:t>
            </w:r>
          </w:p>
        </w:tc>
        <w:tc>
          <w:tcPr>
            <w:tcW w:w="30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参照《业务代码表》中的“关联交易类型代码”，填报关联交易类型代码。</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16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关联交易子类</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GLJYZL</w:t>
            </w:r>
          </w:p>
        </w:tc>
        <w:tc>
          <w:tcPr>
            <w:tcW w:w="9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007006</w:t>
            </w:r>
          </w:p>
        </w:tc>
        <w:tc>
          <w:tcPr>
            <w:tcW w:w="30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olor w:val="000000"/>
                <w:sz w:val="21"/>
                <w:szCs w:val="21"/>
              </w:rPr>
              <w:t>参照《业务代码表》中的“关联交易类型代码”，填报关联交易子类代码。</w:t>
            </w:r>
          </w:p>
        </w:tc>
        <w:tc>
          <w:tcPr>
            <w:tcW w:w="681" w:type="dxa"/>
            <w:tcBorders>
              <w:top w:val="nil"/>
              <w:left w:val="nil"/>
              <w:bottom w:val="single" w:color="auto" w:sz="8" w:space="0"/>
              <w:right w:val="single" w:color="auto" w:sz="8" w:space="0"/>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是</w:t>
            </w:r>
          </w:p>
        </w:tc>
        <w:tc>
          <w:tcPr>
            <w:tcW w:w="7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16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年度累计交易金额</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NDLJJYJE</w:t>
            </w:r>
          </w:p>
        </w:tc>
        <w:tc>
          <w:tcPr>
            <w:tcW w:w="9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0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填报机构本年度与该关联方发生的累计交易金额。核算成人民币，单位：元。</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16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年度累计交易笔数</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NDLJJYBS</w:t>
            </w:r>
          </w:p>
        </w:tc>
        <w:tc>
          <w:tcPr>
            <w:tcW w:w="9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001013</w:t>
            </w:r>
          </w:p>
        </w:tc>
        <w:tc>
          <w:tcPr>
            <w:tcW w:w="30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填报机构本年度与该关联方发生的累计交易笔数。单位：笔。</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是</w:t>
            </w:r>
          </w:p>
        </w:tc>
        <w:tc>
          <w:tcPr>
            <w:tcW w:w="7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16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22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9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0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68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0"/>
          <w:numId w:val="1"/>
        </w:numPr>
        <w:ind w:left="0" w:firstLine="600" w:firstLineChars="0"/>
        <w:outlineLvl w:val="0"/>
        <w:rPr>
          <w:rFonts w:ascii="黑体" w:hAnsi="黑体" w:eastAsia="黑体"/>
          <w:kern w:val="44"/>
          <w:szCs w:val="30"/>
        </w:rPr>
      </w:pPr>
      <w:bookmarkStart w:id="786" w:name="_Toc29349"/>
      <w:bookmarkStart w:id="787" w:name="_Toc15804"/>
      <w:bookmarkStart w:id="788" w:name="_Toc22450"/>
      <w:bookmarkStart w:id="789" w:name="_Toc2110"/>
      <w:bookmarkStart w:id="790" w:name="_Toc1038"/>
      <w:bookmarkStart w:id="791" w:name="_Toc6738"/>
      <w:bookmarkStart w:id="792" w:name="_Toc31149"/>
      <w:bookmarkStart w:id="793" w:name="_Toc73958618"/>
      <w:bookmarkStart w:id="794" w:name="_Toc28139"/>
      <w:bookmarkStart w:id="795" w:name="_Toc2887"/>
      <w:r>
        <w:rPr>
          <w:rFonts w:hint="eastAsia" w:ascii="黑体" w:hAnsi="黑体" w:eastAsia="黑体"/>
          <w:kern w:val="44"/>
          <w:szCs w:val="30"/>
        </w:rPr>
        <w:t>数据元说明</w:t>
      </w:r>
      <w:bookmarkEnd w:id="786"/>
      <w:bookmarkEnd w:id="787"/>
      <w:bookmarkEnd w:id="788"/>
      <w:bookmarkEnd w:id="789"/>
      <w:bookmarkEnd w:id="790"/>
      <w:bookmarkEnd w:id="791"/>
      <w:bookmarkEnd w:id="792"/>
      <w:bookmarkEnd w:id="793"/>
      <w:bookmarkEnd w:id="794"/>
      <w:bookmarkEnd w:id="795"/>
    </w:p>
    <w:p>
      <w:pPr>
        <w:pStyle w:val="3"/>
        <w:numPr>
          <w:ilvl w:val="0"/>
          <w:numId w:val="15"/>
        </w:numPr>
        <w:rPr>
          <w:szCs w:val="30"/>
        </w:rPr>
      </w:pPr>
      <w:bookmarkStart w:id="796" w:name="_Toc10050"/>
      <w:bookmarkStart w:id="797" w:name="_Toc16676"/>
      <w:bookmarkStart w:id="798" w:name="_Toc31178"/>
      <w:bookmarkStart w:id="799" w:name="_Toc26865"/>
      <w:bookmarkStart w:id="800" w:name="_Toc13363"/>
      <w:bookmarkStart w:id="801" w:name="_Toc29219"/>
      <w:bookmarkStart w:id="802" w:name="_Toc10427"/>
      <w:bookmarkStart w:id="803" w:name="_Toc25393"/>
      <w:bookmarkStart w:id="804" w:name="_Toc3297"/>
      <w:bookmarkStart w:id="805" w:name="_Toc1195"/>
      <w:bookmarkStart w:id="806" w:name="_Toc73958619"/>
      <w:bookmarkStart w:id="807" w:name="_Toc27288"/>
      <w:r>
        <w:rPr>
          <w:szCs w:val="30"/>
        </w:rPr>
        <w:t>数据元描述规则</w:t>
      </w:r>
      <w:bookmarkEnd w:id="796"/>
      <w:bookmarkEnd w:id="797"/>
      <w:bookmarkEnd w:id="798"/>
      <w:bookmarkEnd w:id="799"/>
      <w:bookmarkEnd w:id="800"/>
      <w:bookmarkEnd w:id="801"/>
      <w:bookmarkEnd w:id="802"/>
      <w:bookmarkEnd w:id="803"/>
      <w:bookmarkEnd w:id="804"/>
      <w:bookmarkEnd w:id="805"/>
      <w:bookmarkEnd w:id="806"/>
      <w:bookmarkEnd w:id="807"/>
    </w:p>
    <w:p>
      <w:pPr>
        <w:ind w:firstLine="600"/>
        <w:rPr>
          <w:rFonts w:ascii="仿宋" w:hAnsi="仿宋" w:eastAsia="仿宋" w:cs="仿宋_GB2312"/>
          <w:szCs w:val="30"/>
        </w:rPr>
      </w:pPr>
      <w:r>
        <w:rPr>
          <w:rFonts w:hint="eastAsia" w:ascii="仿宋" w:hAnsi="仿宋" w:eastAsia="仿宋" w:cs="仿宋_GB2312"/>
          <w:szCs w:val="30"/>
        </w:rPr>
        <w:t>数据元的描述格式如下：</w:t>
      </w:r>
    </w:p>
    <w:p>
      <w:pPr>
        <w:ind w:firstLine="600"/>
        <w:rPr>
          <w:rFonts w:ascii="仿宋" w:hAnsi="仿宋" w:eastAsia="仿宋" w:cs="仿宋_GB2312"/>
          <w:szCs w:val="30"/>
        </w:rPr>
      </w:pPr>
      <w:r>
        <w:rPr>
          <w:rFonts w:ascii="仿宋" w:hAnsi="仿宋" w:eastAsia="仿宋" w:cs="仿宋_GB2312"/>
          <w:szCs w:val="30"/>
        </w:rPr>
        <w:t>1.分类：数据元所在类目组。</w:t>
      </w:r>
    </w:p>
    <w:p>
      <w:pPr>
        <w:ind w:firstLine="600"/>
        <w:rPr>
          <w:rFonts w:ascii="仿宋" w:hAnsi="仿宋" w:eastAsia="仿宋" w:cs="仿宋_GB2312"/>
          <w:szCs w:val="30"/>
        </w:rPr>
      </w:pPr>
      <w:r>
        <w:rPr>
          <w:rFonts w:ascii="仿宋" w:hAnsi="仿宋" w:eastAsia="仿宋" w:cs="仿宋_GB2312"/>
          <w:szCs w:val="30"/>
        </w:rPr>
        <w:t>2.编码：该数据项所对应的数据元在数据元目录中的唯一标识符，采用六位数字来标记；其中第1-3位表示为元素类别号，第4-6位为数据表中经过元素标准化合并后的顺序号，如果某表中出现了之前已经编号的元素则不重复编号。本部分中，第1-3位的表示按如下分类：</w:t>
      </w:r>
    </w:p>
    <w:p>
      <w:pPr>
        <w:ind w:firstLine="600"/>
        <w:rPr>
          <w:rFonts w:ascii="仿宋" w:hAnsi="仿宋" w:eastAsia="仿宋" w:cs="仿宋_GB2312"/>
          <w:szCs w:val="30"/>
        </w:rPr>
      </w:pPr>
      <w:r>
        <w:rPr>
          <w:rFonts w:ascii="仿宋" w:hAnsi="仿宋" w:eastAsia="仿宋" w:cs="仿宋_GB2312"/>
          <w:szCs w:val="30"/>
        </w:rPr>
        <w:t>001-</w:t>
      </w:r>
      <w:r>
        <w:rPr>
          <w:rFonts w:hint="eastAsia" w:ascii="仿宋" w:hAnsi="仿宋" w:eastAsia="仿宋" w:cs="仿宋_GB2312"/>
          <w:szCs w:val="30"/>
        </w:rPr>
        <w:t>公司治理</w:t>
      </w:r>
    </w:p>
    <w:p>
      <w:pPr>
        <w:ind w:firstLine="600"/>
        <w:rPr>
          <w:rFonts w:ascii="仿宋" w:hAnsi="仿宋" w:eastAsia="仿宋" w:cs="仿宋_GB2312"/>
          <w:szCs w:val="30"/>
        </w:rPr>
      </w:pPr>
      <w:r>
        <w:rPr>
          <w:rFonts w:ascii="仿宋" w:hAnsi="仿宋" w:eastAsia="仿宋" w:cs="仿宋_GB2312"/>
          <w:szCs w:val="30"/>
        </w:rPr>
        <w:t>002-</w:t>
      </w:r>
      <w:r>
        <w:rPr>
          <w:rFonts w:hint="eastAsia" w:ascii="仿宋" w:hAnsi="仿宋" w:eastAsia="仿宋" w:cs="仿宋_GB2312"/>
          <w:szCs w:val="30"/>
        </w:rPr>
        <w:t>公司财务</w:t>
      </w:r>
    </w:p>
    <w:p>
      <w:pPr>
        <w:ind w:firstLine="600"/>
        <w:rPr>
          <w:rFonts w:ascii="仿宋" w:hAnsi="仿宋" w:eastAsia="仿宋" w:cs="仿宋_GB2312"/>
          <w:szCs w:val="30"/>
        </w:rPr>
      </w:pPr>
      <w:r>
        <w:rPr>
          <w:rFonts w:ascii="仿宋" w:hAnsi="仿宋" w:eastAsia="仿宋" w:cs="仿宋_GB2312"/>
          <w:szCs w:val="30"/>
        </w:rPr>
        <w:t>003-</w:t>
      </w:r>
      <w:r>
        <w:rPr>
          <w:rFonts w:hint="eastAsia" w:ascii="仿宋" w:hAnsi="仿宋" w:eastAsia="仿宋" w:cs="仿宋_GB2312"/>
          <w:szCs w:val="30"/>
        </w:rPr>
        <w:t>保险资产管理公司自有资金投资业务</w:t>
      </w:r>
    </w:p>
    <w:p>
      <w:pPr>
        <w:ind w:firstLine="600"/>
        <w:rPr>
          <w:rFonts w:ascii="仿宋" w:hAnsi="仿宋" w:eastAsia="仿宋" w:cs="仿宋_GB2312"/>
          <w:szCs w:val="30"/>
        </w:rPr>
      </w:pPr>
      <w:r>
        <w:rPr>
          <w:rFonts w:ascii="仿宋" w:hAnsi="仿宋" w:eastAsia="仿宋" w:cs="仿宋_GB2312"/>
          <w:szCs w:val="30"/>
        </w:rPr>
        <w:t>004-</w:t>
      </w:r>
      <w:r>
        <w:rPr>
          <w:rFonts w:hint="eastAsia" w:ascii="仿宋" w:hAnsi="仿宋" w:eastAsia="仿宋" w:cs="仿宋_GB2312"/>
          <w:szCs w:val="30"/>
        </w:rPr>
        <w:t>保险资产管理公司受托投资业务</w:t>
      </w:r>
    </w:p>
    <w:p>
      <w:pPr>
        <w:ind w:firstLine="600"/>
        <w:rPr>
          <w:rFonts w:ascii="仿宋" w:hAnsi="仿宋" w:eastAsia="仿宋" w:cs="仿宋_GB2312"/>
          <w:szCs w:val="30"/>
        </w:rPr>
      </w:pPr>
      <w:r>
        <w:rPr>
          <w:rFonts w:ascii="仿宋" w:hAnsi="仿宋" w:eastAsia="仿宋" w:cs="仿宋_GB2312"/>
          <w:szCs w:val="30"/>
        </w:rPr>
        <w:t>005-</w:t>
      </w:r>
      <w:r>
        <w:rPr>
          <w:rFonts w:hint="eastAsia" w:ascii="仿宋" w:hAnsi="仿宋" w:eastAsia="仿宋" w:cs="仿宋_GB2312"/>
          <w:szCs w:val="30"/>
        </w:rPr>
        <w:t>保险资产管理公司产品管理业务</w:t>
      </w:r>
    </w:p>
    <w:p>
      <w:pPr>
        <w:ind w:firstLine="600"/>
        <w:rPr>
          <w:rFonts w:ascii="仿宋" w:hAnsi="仿宋" w:eastAsia="仿宋" w:cs="仿宋_GB2312"/>
          <w:szCs w:val="30"/>
        </w:rPr>
      </w:pPr>
      <w:r>
        <w:rPr>
          <w:rFonts w:ascii="仿宋" w:hAnsi="仿宋" w:eastAsia="仿宋" w:cs="仿宋_GB2312"/>
          <w:szCs w:val="30"/>
        </w:rPr>
        <w:t>006-</w:t>
      </w:r>
      <w:r>
        <w:rPr>
          <w:rFonts w:hint="eastAsia" w:ascii="仿宋" w:hAnsi="仿宋" w:eastAsia="仿宋" w:cs="仿宋_GB2312"/>
          <w:szCs w:val="30"/>
        </w:rPr>
        <w:t>投资资产信息</w:t>
      </w:r>
    </w:p>
    <w:p>
      <w:pPr>
        <w:ind w:firstLine="600"/>
        <w:rPr>
          <w:rFonts w:ascii="仿宋" w:hAnsi="仿宋" w:eastAsia="仿宋" w:cs="仿宋_GB2312"/>
          <w:szCs w:val="30"/>
        </w:rPr>
      </w:pPr>
      <w:r>
        <w:rPr>
          <w:rFonts w:ascii="仿宋" w:hAnsi="仿宋" w:eastAsia="仿宋" w:cs="仿宋_GB2312"/>
          <w:szCs w:val="30"/>
        </w:rPr>
        <w:t>007-</w:t>
      </w:r>
      <w:r>
        <w:rPr>
          <w:rFonts w:hint="eastAsia" w:ascii="仿宋" w:hAnsi="仿宋" w:eastAsia="仿宋" w:cs="仿宋_GB2312"/>
          <w:szCs w:val="30"/>
        </w:rPr>
        <w:t>关联交易信息</w:t>
      </w:r>
    </w:p>
    <w:p>
      <w:pPr>
        <w:ind w:firstLine="600"/>
        <w:rPr>
          <w:rFonts w:ascii="仿宋" w:hAnsi="仿宋" w:eastAsia="仿宋" w:cs="仿宋_GB2312"/>
          <w:szCs w:val="30"/>
        </w:rPr>
      </w:pPr>
      <w:r>
        <w:rPr>
          <w:rFonts w:ascii="仿宋" w:hAnsi="仿宋" w:eastAsia="仿宋" w:cs="仿宋_GB2312"/>
          <w:szCs w:val="30"/>
        </w:rPr>
        <w:t>3.名称：数据元的中文名称，应按照国家标准GB/T 18391.5 -2001中规定的数据元命名原则进行命名。</w:t>
      </w:r>
    </w:p>
    <w:p>
      <w:pPr>
        <w:ind w:firstLine="600"/>
        <w:rPr>
          <w:rFonts w:ascii="仿宋" w:hAnsi="仿宋" w:eastAsia="仿宋" w:cs="仿宋_GB2312"/>
          <w:szCs w:val="30"/>
        </w:rPr>
      </w:pPr>
      <w:r>
        <w:rPr>
          <w:rFonts w:ascii="仿宋" w:hAnsi="仿宋" w:eastAsia="仿宋" w:cs="仿宋_GB2312"/>
          <w:szCs w:val="30"/>
        </w:rPr>
        <w:t>4.说明和取值范围：数据元的含义描述。</w:t>
      </w:r>
    </w:p>
    <w:p>
      <w:pPr>
        <w:ind w:firstLine="600"/>
        <w:rPr>
          <w:rFonts w:ascii="仿宋" w:hAnsi="仿宋" w:eastAsia="仿宋" w:cs="仿宋_GB2312"/>
          <w:szCs w:val="30"/>
        </w:rPr>
      </w:pPr>
      <w:r>
        <w:rPr>
          <w:rFonts w:ascii="仿宋" w:hAnsi="仿宋" w:eastAsia="仿宋" w:cs="仿宋_GB2312"/>
          <w:szCs w:val="30"/>
        </w:rPr>
        <w:t>5.格式：数据元值的类型及长度的表示形式，按照GB/T 18142-2000的要求进行规定。</w:t>
      </w:r>
    </w:p>
    <w:p>
      <w:pPr>
        <w:ind w:firstLine="640"/>
        <w:rPr>
          <w:rFonts w:ascii="仿宋" w:hAnsi="仿宋" w:eastAsia="仿宋" w:cs="仿宋_GB2312"/>
          <w:sz w:val="32"/>
          <w:szCs w:val="32"/>
        </w:rPr>
      </w:pPr>
    </w:p>
    <w:p>
      <w:pPr>
        <w:pStyle w:val="3"/>
        <w:numPr>
          <w:ilvl w:val="0"/>
          <w:numId w:val="15"/>
        </w:numPr>
        <w:rPr>
          <w:szCs w:val="30"/>
        </w:rPr>
      </w:pPr>
      <w:bookmarkStart w:id="808" w:name="_Toc117"/>
      <w:bookmarkStart w:id="809" w:name="_Toc30548"/>
      <w:bookmarkStart w:id="810" w:name="_Toc18472"/>
      <w:bookmarkStart w:id="811" w:name="_Toc22782"/>
      <w:bookmarkStart w:id="812" w:name="_Toc73958620"/>
      <w:bookmarkStart w:id="813" w:name="_Toc12552"/>
      <w:bookmarkStart w:id="814" w:name="_Toc15619"/>
      <w:bookmarkStart w:id="815" w:name="_Toc4822"/>
      <w:bookmarkStart w:id="816" w:name="_Toc3221"/>
      <w:bookmarkStart w:id="817" w:name="_Toc2499"/>
      <w:bookmarkStart w:id="818" w:name="_Toc740"/>
      <w:bookmarkStart w:id="819" w:name="_Toc16994"/>
      <w:r>
        <w:rPr>
          <w:rFonts w:hint="eastAsia"/>
          <w:szCs w:val="30"/>
        </w:rPr>
        <w:t>数据元细目</w:t>
      </w:r>
      <w:bookmarkEnd w:id="808"/>
      <w:bookmarkEnd w:id="809"/>
      <w:bookmarkEnd w:id="810"/>
      <w:bookmarkEnd w:id="811"/>
      <w:bookmarkEnd w:id="812"/>
      <w:bookmarkEnd w:id="813"/>
      <w:bookmarkEnd w:id="814"/>
      <w:bookmarkEnd w:id="815"/>
      <w:bookmarkEnd w:id="816"/>
      <w:bookmarkEnd w:id="817"/>
      <w:bookmarkEnd w:id="818"/>
      <w:bookmarkEnd w:id="819"/>
    </w:p>
    <w:p>
      <w:pPr>
        <w:pStyle w:val="4"/>
        <w:numPr>
          <w:ilvl w:val="0"/>
          <w:numId w:val="16"/>
        </w:numPr>
        <w:tabs>
          <w:tab w:val="left" w:pos="709"/>
          <w:tab w:val="left" w:pos="993"/>
        </w:tabs>
        <w:rPr>
          <w:rFonts w:ascii="仿宋" w:hAnsi="仿宋" w:eastAsia="仿宋"/>
        </w:rPr>
      </w:pPr>
      <w:bookmarkStart w:id="820" w:name="_Toc30224"/>
      <w:bookmarkStart w:id="821" w:name="_Toc5601"/>
      <w:bookmarkStart w:id="822" w:name="_Toc25953"/>
      <w:bookmarkStart w:id="823" w:name="_Toc3572"/>
      <w:bookmarkStart w:id="824" w:name="_Toc73958621"/>
      <w:bookmarkStart w:id="825" w:name="_Toc23988"/>
      <w:bookmarkStart w:id="826" w:name="_Toc32300"/>
      <w:r>
        <w:rPr>
          <w:rFonts w:hint="eastAsia" w:ascii="仿宋" w:hAnsi="仿宋" w:eastAsia="仿宋"/>
        </w:rPr>
        <w:t>公司治理</w:t>
      </w:r>
      <w:bookmarkEnd w:id="820"/>
      <w:bookmarkEnd w:id="821"/>
      <w:bookmarkEnd w:id="822"/>
      <w:bookmarkEnd w:id="823"/>
      <w:bookmarkEnd w:id="824"/>
      <w:bookmarkEnd w:id="825"/>
      <w:bookmarkEnd w:id="826"/>
    </w:p>
    <w:tbl>
      <w:tblPr>
        <w:tblStyle w:val="25"/>
        <w:tblW w:w="8834" w:type="dxa"/>
        <w:tblInd w:w="0" w:type="dxa"/>
        <w:tblLayout w:type="fixed"/>
        <w:tblCellMar>
          <w:top w:w="0" w:type="dxa"/>
          <w:left w:w="108" w:type="dxa"/>
          <w:bottom w:w="0" w:type="dxa"/>
          <w:right w:w="108" w:type="dxa"/>
        </w:tblCellMar>
      </w:tblPr>
      <w:tblGrid>
        <w:gridCol w:w="1271"/>
        <w:gridCol w:w="1278"/>
        <w:gridCol w:w="2549"/>
        <w:gridCol w:w="2436"/>
        <w:gridCol w:w="1300"/>
      </w:tblGrid>
      <w:tr>
        <w:tblPrEx>
          <w:tblCellMar>
            <w:top w:w="0" w:type="dxa"/>
            <w:left w:w="108" w:type="dxa"/>
            <w:bottom w:w="0" w:type="dxa"/>
            <w:right w:w="108" w:type="dxa"/>
          </w:tblCellMar>
        </w:tblPrEx>
        <w:trPr>
          <w:trHeight w:val="290" w:hRule="atLeast"/>
        </w:trPr>
        <w:tc>
          <w:tcPr>
            <w:tcW w:w="1271"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1278"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数据元名称</w:t>
            </w:r>
          </w:p>
        </w:tc>
        <w:tc>
          <w:tcPr>
            <w:tcW w:w="2549"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数据元说明</w:t>
            </w:r>
          </w:p>
        </w:tc>
        <w:tc>
          <w:tcPr>
            <w:tcW w:w="2436"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取值范围</w:t>
            </w:r>
          </w:p>
        </w:tc>
        <w:tc>
          <w:tcPr>
            <w:tcW w:w="1300"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数据格式</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001001</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流水号</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报送数据时系统自动生成的编号。统一社会信用代码+日期（YYYYMMDD）+10位流水，流水号是每天的流水号，每天都是从‘0000000001’开始。其中日期为上报数据时当前的系统日期。</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36!n</w:t>
            </w:r>
          </w:p>
        </w:tc>
      </w:tr>
      <w:tr>
        <w:tblPrEx>
          <w:tblCellMar>
            <w:top w:w="0" w:type="dxa"/>
            <w:left w:w="108" w:type="dxa"/>
            <w:bottom w:w="0" w:type="dxa"/>
            <w:right w:w="108" w:type="dxa"/>
          </w:tblCellMar>
        </w:tblPrEx>
        <w:trPr>
          <w:trHeight w:val="105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001002</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机构名称</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机构名称，对于工商注册机构，名称需与工商注册中的名称一致；对于非工商注册的机构，名称需与审核登记的批准文件中的名称一致。</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anc..200</w:t>
            </w:r>
          </w:p>
        </w:tc>
      </w:tr>
      <w:tr>
        <w:tblPrEx>
          <w:tblCellMar>
            <w:top w:w="0" w:type="dxa"/>
            <w:left w:w="108" w:type="dxa"/>
            <w:bottom w:w="0" w:type="dxa"/>
            <w:right w:w="108" w:type="dxa"/>
          </w:tblCellMar>
        </w:tblPrEx>
        <w:trPr>
          <w:trHeight w:val="105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001003</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机构代码</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境内法人机构填写统一社会信用代码。境外法人机构填写企业注册码、税务号等有效代码。如无上述代码，机构可自行定义。</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anc..40</w:t>
            </w:r>
          </w:p>
        </w:tc>
      </w:tr>
      <w:tr>
        <w:tblPrEx>
          <w:tblCellMar>
            <w:top w:w="0" w:type="dxa"/>
            <w:left w:w="108" w:type="dxa"/>
            <w:bottom w:w="0" w:type="dxa"/>
            <w:right w:w="108" w:type="dxa"/>
          </w:tblCellMar>
        </w:tblPrEx>
        <w:trPr>
          <w:trHeight w:val="18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001004</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LEI编码</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全球法人识别编码（LEI）是按照国际标准化组织的《金融服务法人机构识别编码》（ISO17442：2012）标准为法人机构分配的由20位数字和字母组成的唯一编码，可以用于标识与国际金融交易相关联的法人机构。</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20!an</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001005</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日期</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年月日，格式YYYYMMDD。</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8!n</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001006</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批复文号</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批复文件的文号。</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001007</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经营范围</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应与工商注册中的经营范围一致。</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001008</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金额</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默认人民币，单位元。在指定货币代码时，为相应的币种数额。</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20n(4)</w:t>
            </w:r>
          </w:p>
        </w:tc>
      </w:tr>
      <w:tr>
        <w:tblPrEx>
          <w:tblCellMar>
            <w:top w:w="0" w:type="dxa"/>
            <w:left w:w="108" w:type="dxa"/>
            <w:bottom w:w="0" w:type="dxa"/>
            <w:right w:w="108" w:type="dxa"/>
          </w:tblCellMar>
        </w:tblPrEx>
        <w:trPr>
          <w:trHeight w:val="105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001009</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地址</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详细地址信息，应包括具体的村镇、街道名称及门牌号码等。如填写工商注册地址，应以工商注册信息中的注册地为准。</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001010</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是否标志</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是否标志位。</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枚举值为“是；否”。</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anc..2</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001011</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姓名</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应与个人有效证件上的姓名保持一致。</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anc..60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001012</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利率/费率/汇率（六位）</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精度保留到小数点后六位，如0.0001%应填0.000001。</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22n(6)</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001013</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数量（整数）</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人数、次数、天数、月数、年数等可量化数据。</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n..10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001014</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实际控制人类型</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实际控制人类型。</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枚举值为“自然人；个体工商户；广义政府；非金融企业；金融机构（实体）；特定目的载体；境外”。</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001015</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名称</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识别某一个体或群体(人或事物)的专属名词</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001016</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名称集合</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拼接多个名称，需用英文分号“;”（ASCII码0x3B）隔开。</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001017</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行政区划</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行政区划，应逐级填写完整地域名称，如“河北省石家庄市长安区”。</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引用《业务代码表》“行政区划代码”，编号CD000003。</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6!n</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001018</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证件号码</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证件号码。</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001019</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证件类型</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证件类型名称。</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引用《业务代码表》“证件类型代码”，编号CD000011。</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4!n</w:t>
            </w:r>
          </w:p>
        </w:tc>
      </w:tr>
      <w:tr>
        <w:tblPrEx>
          <w:tblCellMar>
            <w:top w:w="0" w:type="dxa"/>
            <w:left w:w="108" w:type="dxa"/>
            <w:bottom w:w="0" w:type="dxa"/>
            <w:right w:w="108" w:type="dxa"/>
          </w:tblCellMar>
        </w:tblPrEx>
        <w:trPr>
          <w:trHeight w:val="18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001020</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股东持股类型</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根据持股比例、资质条件和对保险公司经营管理的影响，根据《保险公司股权管理办法》（保监会令〔2018〕5号 ）保险公司股东分为以下四类： 01-财务Ⅰ类股东，02-财务Ⅱ类股东 ，03-战略类股东 ，04-控制类股东。</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枚举值为“财务Ⅰ类股东；财务Ⅱ类股东 ；战略类股东 ；控制类股东”。</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105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001021</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股东类别</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按照股东自然人或机构属性。</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枚举值为“自然人；境内金融机构；境内企业法人；境内有限合伙企业；境内事业单位、社会团体；境外金融机构；特定目的载体；其他”。</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001022</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国家地区</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国家地区。《GB/T 2659 世界各国和地区名称代码》定义的三字符代码，如CHN。</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引用《业务代码表》“国家地区”，编号CD000001。</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3!a</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001023</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标识号</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记录相关事件、单据、参与方或实物的唯一标识。</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001024</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行业类型</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行业类型名称。</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引用《业务代码表》“行业类型代码”，编号CD000005。</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an..4</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001025</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序号</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顺序号。</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n..10</w:t>
            </w:r>
          </w:p>
        </w:tc>
      </w:tr>
      <w:tr>
        <w:tblPrEx>
          <w:tblCellMar>
            <w:top w:w="0" w:type="dxa"/>
            <w:left w:w="108" w:type="dxa"/>
            <w:bottom w:w="0" w:type="dxa"/>
            <w:right w:w="108" w:type="dxa"/>
          </w:tblCellMar>
        </w:tblPrEx>
        <w:trPr>
          <w:trHeight w:val="131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001026</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公司投资业务能力</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公司投资业务能力。</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枚举值为“信用风险管理能力；股票投资管理能力；股权投资管理能力；不动产投资管理能力；衍生品运用管理能力；债权投资计划产品管理能力；股权投资计划产品管理能力；其他”。</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001027</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代码集合</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拼接多个代码，需用英文分号“;”（ASCII码0x3B）隔开。</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anc..1000</w:t>
            </w:r>
          </w:p>
        </w:tc>
      </w:tr>
      <w:tr>
        <w:tblPrEx>
          <w:tblCellMar>
            <w:top w:w="0" w:type="dxa"/>
            <w:left w:w="108" w:type="dxa"/>
            <w:bottom w:w="0" w:type="dxa"/>
            <w:right w:w="108" w:type="dxa"/>
          </w:tblCellMar>
        </w:tblPrEx>
        <w:trPr>
          <w:trHeight w:val="261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001028</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持股类型</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持股类型分别为：绝对控股，指持有股权50%及以上，或者出资额享有的表决权足以对该企业股东（大）会的决议产生控制性影响；相对控制，指持有股权30%及以上，但不足50%，或者出资额享有的表决权足以对该企业股东（大）会的决议产生重大影响；一般控制，指持有股权5%及以上，但不足30%；无控制关系，指持有股权不足5%。</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枚举值为“绝对控股；相对控制；一般控制；无控制关系”。</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001029</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管理模式</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管理模式。</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枚举值为“子公司；联营企业；合营企业”。</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001030</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员工编制</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员工编制。</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枚举值为“正式员工；非正式员工”。</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001031</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员工状态</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员工状态。</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枚举值为“待岗；在职；离职；停职；退休；长期休假；其他”。</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001032</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性别</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性别。</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枚举值为“未知的性别；男性；女性；未说明的性别”。</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001033</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民族</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民族名称。</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引用《业务代码表》“民族代码”，编号CD000002。</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105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001034</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政治面貌</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政治面貌。</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枚举值为“中共党员；中共预备党员；共青团员；民革会员；民盟盟员；民建会员；农工党党员；九三学社社员；台盟盟员；无党派民主人士；群众”。</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18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001035</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电话号码</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固定及移动通讯电话号码。固定电话号码应由“国际长途区号+国内长途区号+电话号码”组成，国内电话可省略国际长途区号。移动通讯设备的号码，一般为手机号码，应由“国家代码”+“电话号码”组成，国内手机号可省略国家代码。</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001036</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学历</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学历。</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ascii="宋体" w:hAnsi="宋体" w:eastAsia="宋体"/>
                <w:color w:val="000000"/>
                <w:sz w:val="21"/>
                <w:szCs w:val="21"/>
              </w:rPr>
              <w:t>员工学历，参照《业务代码表》中的“学历代码”，填报代码。</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n..30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001037</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员工代码</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员工代码。</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001038</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职务</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职务。</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20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001039</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职业资格证书集合</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职业资格证书合集，可多选，需用英文分号“;”（ASCII码0x3B）隔开。</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法律职业资格；精算师/准精算师资格；银行从业资格；基金从业资格；证券从业资格；期货从业资格；特许金融分析师（CFA）；金融风险管理师(FRM)；注册会计师；税务师；会计专业技术资格；经济专业技术资格；审计专业技术资格；本币交易员；其他”。</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001040</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董监高标志集合</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是否属于银保监会监管的董事、监事、高管范围，可多选。</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枚举值为“员工；董事；监事；高管”。</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001041</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问责原因</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机构被问责员工的主要违法违纪事实和原由。</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001042</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问责依据</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对机构员工作出问责的依据。</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001043</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问责内容</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对机构员工问责的具体内容，处罚方式。</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001044</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外部公司任职</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董事、监事、高管在外部公司任职情况。</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001045</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履职评价结果</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董事、监事、高管的最近年度履职评价结果。</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001046</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处罚种类</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董事、监事、高管处罚种类。</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枚举值为“罚款；警告；撤销任职资格；司法处理；禁止进入保险业；其他”。</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001047</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处罚原因</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处罚原因的文字描述，若有处罚决定书，填写处罚决定书内容。</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001048</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数量（小数）</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份数、股数等可量化数据。</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18n(2)</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001049</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年月类型</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年月类型，YYYYMM。</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6!n</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001050</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保险许可证机构编码</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宋体" w:hAnsi="宋体" w:eastAsia="宋体"/>
                <w:color w:val="000000"/>
                <w:sz w:val="21"/>
                <w:szCs w:val="21"/>
              </w:rPr>
            </w:pPr>
            <w:r>
              <w:rPr>
                <w:rFonts w:hint="eastAsia" w:ascii="宋体" w:hAnsi="宋体" w:eastAsia="宋体"/>
                <w:color w:val="000000"/>
                <w:sz w:val="21"/>
                <w:szCs w:val="21"/>
              </w:rPr>
              <w:t>保险许可证机构编码。</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宋体" w:hAnsi="宋体" w:eastAsia="宋体"/>
                <w:color w:val="00000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0010</w:t>
            </w:r>
            <w:r>
              <w:rPr>
                <w:rFonts w:ascii="宋体" w:hAnsi="宋体" w:eastAsia="宋体"/>
                <w:color w:val="000000"/>
                <w:sz w:val="21"/>
                <w:szCs w:val="21"/>
              </w:rPr>
              <w:t>51</w:t>
            </w:r>
          </w:p>
        </w:tc>
        <w:tc>
          <w:tcPr>
            <w:tcW w:w="127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比例/比率</w:t>
            </w:r>
          </w:p>
        </w:tc>
        <w:tc>
          <w:tcPr>
            <w:tcW w:w="25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百分比类数据，精度保留到小数点后两位，如</w:t>
            </w:r>
            <w:r>
              <w:rPr>
                <w:rFonts w:ascii="宋体" w:hAnsi="宋体" w:eastAsia="宋体"/>
                <w:color w:val="000000"/>
                <w:sz w:val="21"/>
                <w:szCs w:val="21"/>
              </w:rPr>
              <w:t>12</w:t>
            </w:r>
            <w:r>
              <w:rPr>
                <w:rFonts w:hint="eastAsia" w:ascii="宋体" w:hAnsi="宋体" w:eastAsia="宋体"/>
                <w:color w:val="000000"/>
                <w:sz w:val="21"/>
                <w:szCs w:val="21"/>
              </w:rPr>
              <w:t>.</w:t>
            </w:r>
            <w:r>
              <w:rPr>
                <w:rFonts w:ascii="宋体" w:hAnsi="宋体" w:eastAsia="宋体"/>
                <w:color w:val="000000"/>
                <w:sz w:val="21"/>
                <w:szCs w:val="21"/>
              </w:rPr>
              <w:t>34</w:t>
            </w:r>
            <w:r>
              <w:rPr>
                <w:rFonts w:hint="eastAsia" w:ascii="宋体" w:hAnsi="宋体" w:eastAsia="宋体"/>
                <w:color w:val="000000"/>
                <w:sz w:val="21"/>
                <w:szCs w:val="21"/>
              </w:rPr>
              <w:t>%应填</w:t>
            </w:r>
            <w:r>
              <w:rPr>
                <w:rFonts w:ascii="宋体" w:hAnsi="宋体" w:eastAsia="宋体"/>
                <w:color w:val="000000"/>
                <w:sz w:val="21"/>
                <w:szCs w:val="21"/>
              </w:rPr>
              <w:t>12.34</w:t>
            </w:r>
            <w:r>
              <w:rPr>
                <w:rFonts w:hint="eastAsia" w:ascii="宋体" w:hAnsi="宋体" w:eastAsia="宋体"/>
                <w:color w:val="000000"/>
                <w:sz w:val="21"/>
                <w:szCs w:val="21"/>
              </w:rPr>
              <w:t>。</w:t>
            </w:r>
          </w:p>
        </w:tc>
        <w:tc>
          <w:tcPr>
            <w:tcW w:w="2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ascii="宋体" w:hAnsi="宋体" w:eastAsia="宋体"/>
                <w:color w:val="000000"/>
                <w:sz w:val="21"/>
                <w:szCs w:val="21"/>
              </w:rPr>
              <w:t>6</w:t>
            </w:r>
            <w:r>
              <w:rPr>
                <w:rFonts w:hint="eastAsia" w:ascii="宋体" w:hAnsi="宋体" w:eastAsia="宋体"/>
                <w:color w:val="000000"/>
                <w:sz w:val="21"/>
                <w:szCs w:val="21"/>
              </w:rPr>
              <w:t>n(</w:t>
            </w:r>
            <w:r>
              <w:rPr>
                <w:rFonts w:ascii="宋体" w:hAnsi="宋体" w:eastAsia="宋体"/>
                <w:color w:val="000000"/>
                <w:sz w:val="21"/>
                <w:szCs w:val="21"/>
              </w:rPr>
              <w:t>2</w:t>
            </w:r>
            <w:r>
              <w:rPr>
                <w:rFonts w:hint="eastAsia" w:ascii="宋体" w:hAnsi="宋体" w:eastAsia="宋体"/>
                <w:color w:val="000000"/>
                <w:sz w:val="21"/>
                <w:szCs w:val="21"/>
              </w:rPr>
              <w:t>)</w:t>
            </w:r>
          </w:p>
        </w:tc>
      </w:tr>
    </w:tbl>
    <w:p>
      <w:pPr>
        <w:ind w:firstLine="0" w:firstLineChars="0"/>
      </w:pPr>
    </w:p>
    <w:p>
      <w:pPr>
        <w:pStyle w:val="4"/>
        <w:numPr>
          <w:ilvl w:val="0"/>
          <w:numId w:val="16"/>
        </w:numPr>
        <w:tabs>
          <w:tab w:val="left" w:pos="709"/>
          <w:tab w:val="left" w:pos="993"/>
        </w:tabs>
        <w:rPr>
          <w:rFonts w:ascii="仿宋" w:hAnsi="仿宋" w:eastAsia="仿宋"/>
        </w:rPr>
      </w:pPr>
      <w:bookmarkStart w:id="827" w:name="_Toc18822"/>
      <w:bookmarkStart w:id="828" w:name="_Toc23498"/>
      <w:bookmarkStart w:id="829" w:name="_Toc8178"/>
      <w:bookmarkStart w:id="830" w:name="_Toc32295"/>
      <w:bookmarkStart w:id="831" w:name="_Toc19200"/>
      <w:bookmarkStart w:id="832" w:name="_Toc73958622"/>
      <w:bookmarkStart w:id="833" w:name="_Toc27108"/>
      <w:r>
        <w:rPr>
          <w:rFonts w:hint="eastAsia" w:ascii="仿宋" w:hAnsi="仿宋" w:eastAsia="仿宋"/>
        </w:rPr>
        <w:t>公司财务</w:t>
      </w:r>
      <w:bookmarkEnd w:id="827"/>
      <w:bookmarkEnd w:id="828"/>
      <w:bookmarkEnd w:id="829"/>
      <w:bookmarkEnd w:id="830"/>
      <w:bookmarkEnd w:id="831"/>
      <w:bookmarkEnd w:id="832"/>
      <w:bookmarkEnd w:id="833"/>
    </w:p>
    <w:tbl>
      <w:tblPr>
        <w:tblStyle w:val="25"/>
        <w:tblW w:w="8834" w:type="dxa"/>
        <w:tblInd w:w="0" w:type="dxa"/>
        <w:tblLayout w:type="fixed"/>
        <w:tblCellMar>
          <w:top w:w="0" w:type="dxa"/>
          <w:left w:w="108" w:type="dxa"/>
          <w:bottom w:w="0" w:type="dxa"/>
          <w:right w:w="108" w:type="dxa"/>
        </w:tblCellMar>
      </w:tblPr>
      <w:tblGrid>
        <w:gridCol w:w="1271"/>
        <w:gridCol w:w="1419"/>
        <w:gridCol w:w="2201"/>
        <w:gridCol w:w="2648"/>
        <w:gridCol w:w="1295"/>
      </w:tblGrid>
      <w:tr>
        <w:tblPrEx>
          <w:tblCellMar>
            <w:top w:w="0" w:type="dxa"/>
            <w:left w:w="108" w:type="dxa"/>
            <w:bottom w:w="0" w:type="dxa"/>
            <w:right w:w="108" w:type="dxa"/>
          </w:tblCellMar>
        </w:tblPrEx>
        <w:trPr>
          <w:trHeight w:val="290" w:hRule="atLeast"/>
        </w:trPr>
        <w:tc>
          <w:tcPr>
            <w:tcW w:w="1271"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1419"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数据元名称</w:t>
            </w:r>
          </w:p>
        </w:tc>
        <w:tc>
          <w:tcPr>
            <w:tcW w:w="2201"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数据元说明</w:t>
            </w:r>
          </w:p>
        </w:tc>
        <w:tc>
          <w:tcPr>
            <w:tcW w:w="2648"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取值范围</w:t>
            </w:r>
          </w:p>
        </w:tc>
        <w:tc>
          <w:tcPr>
            <w:tcW w:w="1295"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数据格式</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002001</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币种</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货币和资金的币种代码。例如：CNY、USD等。</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引用《业务代码表》“币种代码”，编号CD000004。</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3!a</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002002</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会计期间</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归属期间。格式：</w:t>
            </w:r>
            <w:r>
              <w:rPr>
                <w:rFonts w:ascii="宋体" w:hAnsi="宋体" w:eastAsia="宋体"/>
                <w:color w:val="000000"/>
                <w:sz w:val="21"/>
                <w:szCs w:val="21"/>
              </w:rPr>
              <w:t>YYYYMM，年度审计报告出具后报送包含审计调整的数据。</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6!n</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002003</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会计核算方法</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会计核算方法。</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枚举值为“金融工具确认和计量（2006）；金融工具确认和计量（2017）”。</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002004</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会计科目类型</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会计科目分类：“1资产；2负债；3所有者权益；4损益；5资产负债共同类；6表外；7其他”，填报数字。</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枚举值为“1；2；3；4；5；6；7”</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n..2</w:t>
            </w:r>
          </w:p>
        </w:tc>
      </w:tr>
      <w:tr>
        <w:tblPrEx>
          <w:tblCellMar>
            <w:top w:w="0" w:type="dxa"/>
            <w:left w:w="108" w:type="dxa"/>
            <w:bottom w:w="0" w:type="dxa"/>
            <w:right w:w="108" w:type="dxa"/>
          </w:tblCellMar>
        </w:tblPrEx>
        <w:trPr>
          <w:trHeight w:val="105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002005</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会计科目级次</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总账会计科目编号在科目结构中所对应的级次：“1-一级科目；2-二级科目；3-三级科目；4-四级科目；5-五级科目；6-六级科目”，以此类推，填报数字。</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枚举值为“1；2；3；4；5；6”，以此类推。</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n..2</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002006</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会计科目编号</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机构实际使用的会计科目编码。</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anc..60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002007</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会计科目名称</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机构实际使用的会计科目编码对应的名称。</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002008</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银行账户类型</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银行账户类型，填报中文描述。</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枚举值为“基本户；一般户；临时户；专用户；定期账户；经常项目外汇账户；资本项目外汇账户；其他”。</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002009</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银行账户状态</w:t>
            </w:r>
          </w:p>
        </w:tc>
        <w:tc>
          <w:tcPr>
            <w:tcW w:w="2201" w:type="dxa"/>
            <w:tcBorders>
              <w:top w:val="nil"/>
              <w:left w:val="nil"/>
              <w:bottom w:val="single" w:color="auto" w:sz="4" w:space="0"/>
              <w:right w:val="single" w:color="auto" w:sz="4" w:space="0"/>
            </w:tcBorders>
            <w:shd w:val="clear" w:color="auto" w:fill="auto"/>
            <w:vAlign w:val="center"/>
          </w:tcPr>
          <w:p>
            <w:pPr>
              <w:ind w:firstLine="0" w:firstLineChars="0"/>
              <w:rPr>
                <w:rFonts w:ascii="宋体" w:hAnsi="宋体" w:eastAsia="宋体" w:cs="宋体"/>
                <w:kern w:val="0"/>
                <w:sz w:val="21"/>
                <w:szCs w:val="21"/>
              </w:rPr>
            </w:pPr>
            <w:r>
              <w:rPr>
                <w:rFonts w:hint="eastAsia" w:ascii="宋体" w:hAnsi="宋体" w:eastAsia="宋体"/>
                <w:sz w:val="21"/>
                <w:szCs w:val="21"/>
              </w:rPr>
              <w:t>保险资产管理公司银行账户</w:t>
            </w:r>
            <w:r>
              <w:rPr>
                <w:rFonts w:hint="eastAsia" w:ascii="宋体" w:hAnsi="宋体" w:eastAsia="宋体"/>
                <w:color w:val="000000"/>
                <w:sz w:val="21"/>
                <w:szCs w:val="21"/>
              </w:rPr>
              <w:t>的目前状态。</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枚举值为“正常；冻结；注销；其他”。</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002010</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资金标识</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资金标识。</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枚举值为“自有资金；受托资金；产品财产”。</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002011</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摘要</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用于简明扼要说明相关事件、状况的内容。</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002012</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会计截止日期</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会计日期。格式：</w:t>
            </w:r>
            <w:r>
              <w:rPr>
                <w:rFonts w:ascii="宋体" w:hAnsi="宋体" w:eastAsia="宋体"/>
                <w:color w:val="000000"/>
                <w:sz w:val="21"/>
                <w:szCs w:val="21"/>
              </w:rPr>
              <w:t>YYYYMMDD，年度审计报告出具后报送包含审计调整的数据。</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8!n</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002013</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凭证编号</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会计凭证编号。</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002014</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会计科目体系代码</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会计科目体系代码，应具有唯一标识。</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002015</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会计科目体系名称</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会计科目体系名称，应具有唯一标识。</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002016</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报送周期</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报送周期。</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ascii="宋体" w:hAnsi="宋体" w:eastAsia="宋体"/>
                <w:color w:val="000000"/>
                <w:sz w:val="21"/>
                <w:szCs w:val="21"/>
              </w:rPr>
              <w:t>参照《业务代码表》“报送周期类型代码”，编号CD000012。</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n</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002017</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境内外标识</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境内外标识。</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枚举值为“境内；境外”。</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002018</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银行账户代码</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银行账户代码。</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an..50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002019</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银行账户名称</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银行账户名称。</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002020</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投资账户代码</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投资账户代码。</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an..50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002021</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投资账户名称</w:t>
            </w:r>
          </w:p>
        </w:tc>
        <w:tc>
          <w:tcPr>
            <w:tcW w:w="22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投资账户名称。</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bl>
    <w:p>
      <w:pPr>
        <w:ind w:firstLine="0" w:firstLineChars="0"/>
      </w:pPr>
    </w:p>
    <w:p>
      <w:pPr>
        <w:pStyle w:val="4"/>
        <w:numPr>
          <w:ilvl w:val="0"/>
          <w:numId w:val="16"/>
        </w:numPr>
        <w:tabs>
          <w:tab w:val="left" w:pos="709"/>
          <w:tab w:val="left" w:pos="993"/>
        </w:tabs>
        <w:rPr>
          <w:rFonts w:ascii="仿宋" w:hAnsi="仿宋" w:eastAsia="仿宋"/>
        </w:rPr>
      </w:pPr>
      <w:bookmarkStart w:id="834" w:name="_Toc73958623"/>
      <w:bookmarkStart w:id="835" w:name="_Toc30071"/>
      <w:bookmarkStart w:id="836" w:name="_Toc10328"/>
      <w:bookmarkStart w:id="837" w:name="_Toc22006"/>
      <w:bookmarkStart w:id="838" w:name="_Toc32304"/>
      <w:bookmarkStart w:id="839" w:name="_Toc5656"/>
      <w:bookmarkStart w:id="840" w:name="_Toc24686"/>
      <w:r>
        <w:rPr>
          <w:rFonts w:hint="eastAsia" w:ascii="仿宋" w:hAnsi="仿宋" w:eastAsia="仿宋"/>
        </w:rPr>
        <w:t>保险资产管理公司自有资金投资业务</w:t>
      </w:r>
      <w:bookmarkEnd w:id="834"/>
      <w:bookmarkEnd w:id="835"/>
      <w:bookmarkEnd w:id="836"/>
      <w:bookmarkEnd w:id="837"/>
      <w:bookmarkEnd w:id="838"/>
      <w:bookmarkEnd w:id="839"/>
      <w:bookmarkEnd w:id="840"/>
    </w:p>
    <w:tbl>
      <w:tblPr>
        <w:tblStyle w:val="25"/>
        <w:tblW w:w="8834" w:type="dxa"/>
        <w:tblInd w:w="0" w:type="dxa"/>
        <w:tblLayout w:type="fixed"/>
        <w:tblCellMar>
          <w:top w:w="0" w:type="dxa"/>
          <w:left w:w="108" w:type="dxa"/>
          <w:bottom w:w="0" w:type="dxa"/>
          <w:right w:w="108" w:type="dxa"/>
        </w:tblCellMar>
      </w:tblPr>
      <w:tblGrid>
        <w:gridCol w:w="1413"/>
        <w:gridCol w:w="1276"/>
        <w:gridCol w:w="2408"/>
        <w:gridCol w:w="2442"/>
        <w:gridCol w:w="1295"/>
      </w:tblGrid>
      <w:tr>
        <w:tblPrEx>
          <w:tblCellMar>
            <w:top w:w="0" w:type="dxa"/>
            <w:left w:w="108" w:type="dxa"/>
            <w:bottom w:w="0" w:type="dxa"/>
            <w:right w:w="108" w:type="dxa"/>
          </w:tblCellMar>
        </w:tblPrEx>
        <w:trPr>
          <w:trHeight w:val="290" w:hRule="atLeast"/>
        </w:trPr>
        <w:tc>
          <w:tcPr>
            <w:tcW w:w="1413"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1276"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数据元名称</w:t>
            </w:r>
          </w:p>
        </w:tc>
        <w:tc>
          <w:tcPr>
            <w:tcW w:w="2408"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数据元说明</w:t>
            </w:r>
          </w:p>
        </w:tc>
        <w:tc>
          <w:tcPr>
            <w:tcW w:w="2442"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取值范围</w:t>
            </w:r>
          </w:p>
        </w:tc>
        <w:tc>
          <w:tcPr>
            <w:tcW w:w="1295"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数据格式</w:t>
            </w:r>
          </w:p>
        </w:tc>
      </w:tr>
      <w:tr>
        <w:tblPrEx>
          <w:tblCellMar>
            <w:top w:w="0" w:type="dxa"/>
            <w:left w:w="108" w:type="dxa"/>
            <w:bottom w:w="0" w:type="dxa"/>
            <w:right w:w="108" w:type="dxa"/>
          </w:tblCellMar>
        </w:tblPrEx>
        <w:trPr>
          <w:trHeight w:val="29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003001</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账户类型</w:t>
            </w:r>
          </w:p>
        </w:tc>
        <w:tc>
          <w:tcPr>
            <w:tcW w:w="24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保险资产管理公司投资账户类型，填报中文描述。</w:t>
            </w:r>
          </w:p>
        </w:tc>
        <w:tc>
          <w:tcPr>
            <w:tcW w:w="244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引用《业务代码表》“账户类型代码”，编号CD000009。</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79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003002</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资产代码</w:t>
            </w:r>
          </w:p>
        </w:tc>
        <w:tc>
          <w:tcPr>
            <w:tcW w:w="24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填写确权登记等有关机构登记的资产代码，若无填写机构自定义代码。</w:t>
            </w:r>
          </w:p>
        </w:tc>
        <w:tc>
          <w:tcPr>
            <w:tcW w:w="244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53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003003</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统计科目编号</w:t>
            </w:r>
          </w:p>
        </w:tc>
        <w:tc>
          <w:tcPr>
            <w:tcW w:w="24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统计科目编号，填报代码。</w:t>
            </w:r>
          </w:p>
        </w:tc>
        <w:tc>
          <w:tcPr>
            <w:tcW w:w="244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引用《业务代码表》“资产负债统计科目代码”，编号CD000008。</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n..50</w:t>
            </w:r>
          </w:p>
        </w:tc>
      </w:tr>
      <w:tr>
        <w:tblPrEx>
          <w:tblCellMar>
            <w:top w:w="0" w:type="dxa"/>
            <w:left w:w="108" w:type="dxa"/>
            <w:bottom w:w="0" w:type="dxa"/>
            <w:right w:w="108" w:type="dxa"/>
          </w:tblCellMar>
        </w:tblPrEx>
        <w:trPr>
          <w:trHeight w:val="53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003004</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资产类型</w:t>
            </w:r>
          </w:p>
        </w:tc>
        <w:tc>
          <w:tcPr>
            <w:tcW w:w="24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资产类型名称，填报中文描述。</w:t>
            </w:r>
          </w:p>
        </w:tc>
        <w:tc>
          <w:tcPr>
            <w:tcW w:w="244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引用《业务代码表》“资产负债统计科目代码”，编号CD000008。</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29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003005</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资金流向</w:t>
            </w:r>
          </w:p>
        </w:tc>
        <w:tc>
          <w:tcPr>
            <w:tcW w:w="24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资金流向。</w:t>
            </w:r>
          </w:p>
        </w:tc>
        <w:tc>
          <w:tcPr>
            <w:tcW w:w="244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枚举值为“流入；流出”。</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61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003006</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会计分类</w:t>
            </w:r>
          </w:p>
        </w:tc>
        <w:tc>
          <w:tcPr>
            <w:tcW w:w="24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会计分类。</w:t>
            </w:r>
          </w:p>
        </w:tc>
        <w:tc>
          <w:tcPr>
            <w:tcW w:w="244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长期股权投资；交易性金融资产；可供出售金融资产；贷款及应收款；持有至到期投资；以摊余成本计量的金融资产（债权投资）；以公允价值计量且其变动计入其他综合收益的金融资产（其他债权投资）；以公允价值计量且其变动计入其他综合收益的金融资产（其他权益投资）；以公允价值计量且其变动计入当期损益的金融资产（交易性金融资产）；其他”。</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53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003007</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备注</w:t>
            </w:r>
          </w:p>
        </w:tc>
        <w:tc>
          <w:tcPr>
            <w:tcW w:w="24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用于说明相关事件、状况的具体内容。</w:t>
            </w:r>
          </w:p>
        </w:tc>
        <w:tc>
          <w:tcPr>
            <w:tcW w:w="244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anc..2000</w:t>
            </w:r>
          </w:p>
        </w:tc>
      </w:tr>
      <w:tr>
        <w:tblPrEx>
          <w:tblCellMar>
            <w:top w:w="0" w:type="dxa"/>
            <w:left w:w="108" w:type="dxa"/>
            <w:bottom w:w="0" w:type="dxa"/>
            <w:right w:w="108" w:type="dxa"/>
          </w:tblCellMar>
        </w:tblPrEx>
        <w:trPr>
          <w:trHeight w:val="29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003008</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资产名称</w:t>
            </w:r>
          </w:p>
        </w:tc>
        <w:tc>
          <w:tcPr>
            <w:tcW w:w="24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资产名称。</w:t>
            </w:r>
          </w:p>
        </w:tc>
        <w:tc>
          <w:tcPr>
            <w:tcW w:w="244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53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003009</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交易市场类型</w:t>
            </w:r>
          </w:p>
        </w:tc>
        <w:tc>
          <w:tcPr>
            <w:tcW w:w="24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交易市场类型，填报代码。</w:t>
            </w:r>
          </w:p>
        </w:tc>
        <w:tc>
          <w:tcPr>
            <w:tcW w:w="244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引用《业务代码表》“交易市场类型代码”，编号CD000025。</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2!n</w:t>
            </w:r>
          </w:p>
        </w:tc>
      </w:tr>
      <w:tr>
        <w:tblPrEx>
          <w:tblCellMar>
            <w:top w:w="0" w:type="dxa"/>
            <w:left w:w="108" w:type="dxa"/>
            <w:bottom w:w="0" w:type="dxa"/>
            <w:right w:w="108" w:type="dxa"/>
          </w:tblCellMar>
        </w:tblPrEx>
        <w:trPr>
          <w:trHeight w:val="53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003010</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五级分类</w:t>
            </w:r>
          </w:p>
        </w:tc>
        <w:tc>
          <w:tcPr>
            <w:tcW w:w="24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五级分类。</w:t>
            </w:r>
          </w:p>
        </w:tc>
        <w:tc>
          <w:tcPr>
            <w:tcW w:w="244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枚举值为“正常；关注；次级；可疑；损失；不适用”。</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003011</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估值方法</w:t>
            </w:r>
          </w:p>
        </w:tc>
        <w:tc>
          <w:tcPr>
            <w:tcW w:w="24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估值方法。</w:t>
            </w:r>
          </w:p>
        </w:tc>
        <w:tc>
          <w:tcPr>
            <w:tcW w:w="244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枚举值为“市场法；收益法；成本法；不适用”。</w:t>
            </w:r>
          </w:p>
        </w:tc>
        <w:tc>
          <w:tcPr>
            <w:tcW w:w="129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bl>
    <w:p>
      <w:pPr>
        <w:ind w:firstLine="0" w:firstLineChars="0"/>
      </w:pPr>
    </w:p>
    <w:p>
      <w:pPr>
        <w:pStyle w:val="4"/>
        <w:numPr>
          <w:ilvl w:val="0"/>
          <w:numId w:val="16"/>
        </w:numPr>
        <w:tabs>
          <w:tab w:val="left" w:pos="709"/>
          <w:tab w:val="left" w:pos="993"/>
        </w:tabs>
        <w:rPr>
          <w:rFonts w:ascii="仿宋" w:hAnsi="仿宋" w:eastAsia="仿宋"/>
        </w:rPr>
      </w:pPr>
      <w:bookmarkStart w:id="841" w:name="_Toc16543"/>
      <w:bookmarkStart w:id="842" w:name="_Toc73958624"/>
      <w:bookmarkStart w:id="843" w:name="_Toc17566"/>
      <w:bookmarkStart w:id="844" w:name="_Toc9131"/>
      <w:bookmarkStart w:id="845" w:name="_Toc4014"/>
      <w:bookmarkStart w:id="846" w:name="_Toc5338"/>
      <w:bookmarkStart w:id="847" w:name="_Toc24310"/>
      <w:r>
        <w:rPr>
          <w:rFonts w:hint="eastAsia" w:ascii="仿宋" w:hAnsi="仿宋" w:eastAsia="仿宋"/>
        </w:rPr>
        <w:t>保险资产管理公司受托投资业务</w:t>
      </w:r>
      <w:bookmarkEnd w:id="841"/>
      <w:bookmarkEnd w:id="842"/>
      <w:bookmarkEnd w:id="843"/>
      <w:bookmarkEnd w:id="844"/>
      <w:bookmarkEnd w:id="845"/>
      <w:bookmarkEnd w:id="846"/>
      <w:bookmarkEnd w:id="847"/>
    </w:p>
    <w:tbl>
      <w:tblPr>
        <w:tblStyle w:val="25"/>
        <w:tblW w:w="8834" w:type="dxa"/>
        <w:tblInd w:w="0" w:type="dxa"/>
        <w:tblLayout w:type="fixed"/>
        <w:tblCellMar>
          <w:top w:w="0" w:type="dxa"/>
          <w:left w:w="108" w:type="dxa"/>
          <w:bottom w:w="0" w:type="dxa"/>
          <w:right w:w="108" w:type="dxa"/>
        </w:tblCellMar>
      </w:tblPr>
      <w:tblGrid>
        <w:gridCol w:w="1271"/>
        <w:gridCol w:w="1419"/>
        <w:gridCol w:w="2203"/>
        <w:gridCol w:w="2648"/>
        <w:gridCol w:w="1293"/>
      </w:tblGrid>
      <w:tr>
        <w:tblPrEx>
          <w:tblCellMar>
            <w:top w:w="0" w:type="dxa"/>
            <w:left w:w="108" w:type="dxa"/>
            <w:bottom w:w="0" w:type="dxa"/>
            <w:right w:w="108" w:type="dxa"/>
          </w:tblCellMar>
        </w:tblPrEx>
        <w:trPr>
          <w:trHeight w:val="290" w:hRule="atLeast"/>
        </w:trPr>
        <w:tc>
          <w:tcPr>
            <w:tcW w:w="1271"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1419"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数据元名称</w:t>
            </w:r>
          </w:p>
        </w:tc>
        <w:tc>
          <w:tcPr>
            <w:tcW w:w="2203"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数据元说明</w:t>
            </w:r>
          </w:p>
        </w:tc>
        <w:tc>
          <w:tcPr>
            <w:tcW w:w="2648"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取值范围</w:t>
            </w:r>
          </w:p>
        </w:tc>
        <w:tc>
          <w:tcPr>
            <w:tcW w:w="1293"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数据格式</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004001</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委托人代码</w:t>
            </w:r>
          </w:p>
        </w:tc>
        <w:tc>
          <w:tcPr>
            <w:tcW w:w="22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委托人统一社会信用代码。</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18!n</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004002</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机构类型</w:t>
            </w:r>
          </w:p>
        </w:tc>
        <w:tc>
          <w:tcPr>
            <w:tcW w:w="22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机构类型，填报中文描述。</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引用《业务代码表》“机构类型代码”，编号CD000006。</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004003</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核算方式</w:t>
            </w:r>
          </w:p>
        </w:tc>
        <w:tc>
          <w:tcPr>
            <w:tcW w:w="22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核算方式。</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枚举值为“净值型；非净值型”。</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004004</w:t>
            </w: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管理方式</w:t>
            </w:r>
          </w:p>
        </w:tc>
        <w:tc>
          <w:tcPr>
            <w:tcW w:w="22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管理方式。</w:t>
            </w:r>
          </w:p>
        </w:tc>
        <w:tc>
          <w:tcPr>
            <w:tcW w:w="26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枚举值为“主动管理；非主动管理”。</w:t>
            </w:r>
          </w:p>
        </w:tc>
        <w:tc>
          <w:tcPr>
            <w:tcW w:w="12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bl>
    <w:p>
      <w:pPr>
        <w:ind w:firstLine="0" w:firstLineChars="0"/>
      </w:pPr>
    </w:p>
    <w:p>
      <w:pPr>
        <w:pStyle w:val="4"/>
        <w:numPr>
          <w:ilvl w:val="0"/>
          <w:numId w:val="16"/>
        </w:numPr>
        <w:tabs>
          <w:tab w:val="left" w:pos="709"/>
          <w:tab w:val="left" w:pos="993"/>
        </w:tabs>
        <w:rPr>
          <w:rFonts w:ascii="仿宋" w:hAnsi="仿宋" w:eastAsia="仿宋"/>
        </w:rPr>
      </w:pPr>
      <w:bookmarkStart w:id="848" w:name="_Toc26124"/>
      <w:bookmarkStart w:id="849" w:name="_Toc9053"/>
      <w:bookmarkStart w:id="850" w:name="_Toc886"/>
      <w:bookmarkStart w:id="851" w:name="_Toc73958625"/>
      <w:bookmarkStart w:id="852" w:name="_Toc15034"/>
      <w:bookmarkStart w:id="853" w:name="_Toc26347"/>
      <w:bookmarkStart w:id="854" w:name="_Toc12956"/>
      <w:r>
        <w:rPr>
          <w:rFonts w:hint="eastAsia" w:ascii="仿宋" w:hAnsi="仿宋" w:eastAsia="仿宋"/>
        </w:rPr>
        <w:t>保险资产管理公司产品管理业务</w:t>
      </w:r>
      <w:bookmarkEnd w:id="848"/>
      <w:bookmarkEnd w:id="849"/>
      <w:bookmarkEnd w:id="850"/>
      <w:bookmarkEnd w:id="851"/>
      <w:bookmarkEnd w:id="852"/>
      <w:bookmarkEnd w:id="853"/>
      <w:bookmarkEnd w:id="854"/>
    </w:p>
    <w:tbl>
      <w:tblPr>
        <w:tblStyle w:val="25"/>
        <w:tblW w:w="8834" w:type="dxa"/>
        <w:tblInd w:w="0" w:type="dxa"/>
        <w:tblLayout w:type="fixed"/>
        <w:tblCellMar>
          <w:top w:w="0" w:type="dxa"/>
          <w:left w:w="108" w:type="dxa"/>
          <w:bottom w:w="0" w:type="dxa"/>
          <w:right w:w="108" w:type="dxa"/>
        </w:tblCellMar>
      </w:tblPr>
      <w:tblGrid>
        <w:gridCol w:w="1271"/>
        <w:gridCol w:w="1559"/>
        <w:gridCol w:w="2127"/>
        <w:gridCol w:w="2693"/>
        <w:gridCol w:w="1184"/>
      </w:tblGrid>
      <w:tr>
        <w:tblPrEx>
          <w:tblCellMar>
            <w:top w:w="0" w:type="dxa"/>
            <w:left w:w="108" w:type="dxa"/>
            <w:bottom w:w="0" w:type="dxa"/>
            <w:right w:w="108" w:type="dxa"/>
          </w:tblCellMar>
        </w:tblPrEx>
        <w:trPr>
          <w:trHeight w:val="290" w:hRule="atLeast"/>
        </w:trPr>
        <w:tc>
          <w:tcPr>
            <w:tcW w:w="1271"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1559"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数据元名称</w:t>
            </w:r>
          </w:p>
        </w:tc>
        <w:tc>
          <w:tcPr>
            <w:tcW w:w="2127"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数据元说明</w:t>
            </w:r>
          </w:p>
        </w:tc>
        <w:tc>
          <w:tcPr>
            <w:tcW w:w="2693"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取值范围</w:t>
            </w:r>
          </w:p>
        </w:tc>
        <w:tc>
          <w:tcPr>
            <w:tcW w:w="1184"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数据格式</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005001</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产品代码</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填写确权登记等有关机构登记的产品代码，若无填写机构自定义代码。</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005002</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产品名称</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填写确权登记等有关机构登记的产品名称，若无填写合同上的产品名称。</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005003</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项目类型</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项目类型。</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枚举值为“基础设施；非基础设施类不动产”。</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005004</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资管产品类型</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资管产品类型。</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枚举值为“固定收益类；权益类；商品及金融衍生品类；混合类”。</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005005</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结构化属性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结构化属性。</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olor w:val="000000"/>
                <w:sz w:val="21"/>
                <w:szCs w:val="21"/>
              </w:rPr>
            </w:pPr>
            <w:r>
              <w:rPr>
                <w:rFonts w:hint="eastAsia" w:ascii="宋体" w:hAnsi="宋体" w:eastAsia="宋体"/>
                <w:color w:val="000000"/>
                <w:sz w:val="21"/>
                <w:szCs w:val="21"/>
              </w:rPr>
              <w:t>枚举值为“分级；非分级”。</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005006</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产品期限</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合同约定期限。</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18n(2)</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005007</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期限单位</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期限单位。</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枚举值为“日；月；年”。</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anc..4</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005008</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含权结构</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含权期限结构。</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005009</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选择权类型</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选择权类型。</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枚举值为“投资人选择权；融资人选择权；双向选择权”。</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005010</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还本付息方式</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还本付息方式，填报中文描述。</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引用《业务代码表》“还本付息方式代码”，编号CD000017。</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005011</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付息周期</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付息周期。</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枚举值为“按月；按季；按半年；按年；其他”。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005012</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投资收益率形式</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投资收益率形式。</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枚举值为“浮动；固定；其他”。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005013</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信用增级类型</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信用增级类型。</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枚举值为“保证担保；抵押或质押；其他增级方式”。</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005015</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抵/质押物类别</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抵/质押物类别。</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枚举值为“上市公司无限售流通股份质押；收费权质押；实物资产抵押；其他抵押；其他质押”。</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005016</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债权存续状态</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债权存续状态。</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枚举值为“存续；到期终止；提前终止；行权展期；主动延期；被动延期；实质违约”。</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005017</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持有人账号</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持有人在确权登记等有关机构开立的持有人账号，若无则填写管理人自定义的持有人编号。</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005018</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持有人类型</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持有人类型名称。</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枚举值为“法人和其他组织；非法人类产品；自然人”。</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005019</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基金编号</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基金编号。</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005020</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产品类型</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产品类型，填报中文描述。</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引用《业务代码表》“产品类型代码”，编号CD000007。</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005021</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所属分级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持有人持有产品时所属分级，填报中文描述。</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引用《业务代码表》“产品分级类别代码”，编号CD000015。</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005022</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资金用途集合</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资金用途名称，可多选，需用英文分号“;”（ASCII码0x3B）隔开。</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枚举值为“项目建设；补充运营资金；偿还借款；其他”。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005023</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关联方类型</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关联方类型，填报中文描述。</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引用《业务代码表》“关联方类型代码”，编号CD000013。</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005024</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政策标签集合</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政策标签，填报中文描述，可多选，需用英文分号“;”（ASCII码0x3B）隔开。</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引用《业务代码表》“政策标签代码”，编号CD000019。</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005025</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评级对象</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评级对象。</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枚举值为“担保主体；融资主体；产品”。</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005026</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股权退出方式</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股权退出方式。</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枚举值为“回购；清算；转让第三方；IPO；并购；其他”。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005027</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保险私募基金退出方式集合</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保险私募基金退出方式，可多选，需用英文分号“;”（ASCII码0x3B）隔开。</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枚举值为“上市转让；挂牌转让；协议转让；清算；其他”。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005028</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专项产品退出方式集合</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专项产品退出方式名称，可多选，需用英文分号“;”（ASCII码0x3B）隔开。</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枚举值为“股东受让；上市公司回购；大宗交易；协议转让；其他”。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005029</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股权投资资产类别</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股权投资资产类别。</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枚举值为“非上市企业股权；私募股权投资基金；创业投资基金；上市公司定向增发、大宗交易、协议转让的股票；可转换为普通股的优先股；可转换为普通股的可转换债券；其他”。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005030</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保险私募基金投资资产类别</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保险私募基金投资资产类别。</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非上市企业股权；私募股权投资基金；创业投资基金；公开交易的股份有限公司股票、债券、期货、期权、基金份额以及中国证监会规定的其他证券及其衍生品种；证券类私募基金、信托计划、券商资管、基金专户等资产管理计划；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anc..200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005031</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基础资产类别</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基础资产类别。</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枚举值为“单一项目；一组项目”。</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131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005032</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基金组织形式</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基金组织形式。</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枚举值为“公司型；契约型；合伙型；其他”。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18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005033</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投资方向</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投资方向。</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枚举值为“综合；先进制造；能源；建筑；交通；电子信息；金融；房地产；医疗健康；教育文化；其他”。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005034</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产品大类</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产品大类。</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枚举值为“权益类；固定收益类；流动性；其他”。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005035</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资产支持计划产品类型</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资产支持计划产品类型。</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枚举值为“股权类；收益类；债权类；其他”。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005036</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养老金产品类型</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养老金产品类型。</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股票型；股权型；优先股型；股票专项型；混合型；固定收益-普通型；固定收益-存款型；固定收益-债券型；固定收益-债券基金型；固定收益-商业银行理财产品型；固定收益-信托产品型；固定收益-基础设施债权投资计划型；固定收益-特定资产管理计划型；固定收益-保险产品型；固定收益-其他型；货币型；其他型”。</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005037</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运行方式</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运行方式。</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枚举值为“开放式；封闭式”。</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005038</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开放周期</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开放式产品的开放周期。</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枚举值为“每日；每周；每月；每季；每半年；每年；其他周期；不定期开放”。</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35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005039</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分红方式集合</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分红方式名称，可多选，需用英文分号“;”（ASCII码0x3B）隔开。</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枚举值为“不分配；现金分红；红利再投；其他”。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005040</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投资顾问类型</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投资顾问类型。</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枚举值为“保险资产管理公司；证券公司；基金管理公司；商业银行及其理财子公司；信托公司；证券公司子公司；基金子公司；期货公司及其子公司；私募基金管理公司；互联网机构；其它机构”。</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005041</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产品终止状态</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产品终止状态。</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枚举值为“本报告期未终止；已终止并处于清算中；本报告期清算完毕；产品终止，因资产无法变现或回款，无法按预期清算”。</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157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005043</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与管理人关系类型</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与管理人关系类型。</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枚举值为“管理人自有资金；管理人发行产品；管理人关联保险公司（包括保险集团/控股公司、人身险、财产险公司等）；其他关联方；非关联方”。</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105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005044</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金融资产管理产品类型</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金融资产管理产品类型。</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枚举值为“保险资管产品；企业年金；养老金；银行理财；信托计划；券商资管计划；其他”。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1123"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005045</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内部增信集合</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内部增信名称，可多选，需用英文分号“;”（ASCII码0x3B）隔开。</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枚举值为“无；分层；超额利差；超额覆盖；储备金账户；其他”。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anc..200</w:t>
            </w:r>
          </w:p>
        </w:tc>
      </w:tr>
      <w:tr>
        <w:tblPrEx>
          <w:tblCellMar>
            <w:top w:w="0" w:type="dxa"/>
            <w:left w:w="108" w:type="dxa"/>
            <w:bottom w:w="0" w:type="dxa"/>
            <w:right w:w="108" w:type="dxa"/>
          </w:tblCellMar>
        </w:tblPrEx>
        <w:trPr>
          <w:trHeight w:val="105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005046</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外部增信集合</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外部增信名称，可多选，需用英文分号“;”（ASCII码0x3B）隔开。</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枚举值为“无；差额支付承诺；流动性支持承诺；保证；抵押；质押；回售、赎回、优先收购承诺；维好承诺；利率互换；信用违约互换；其他”。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anc..200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005047</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基础资产类型一</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基础资产类型一。</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枚举值为“融资租赁；金融租赁；保理债权；小额贷款；应收账款；基础设施收费权；重组债权；股权；供应链资产；信托资产；保单；其他”。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005048</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基础资产类型五</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基础资产类型五。</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枚举值为“企业贷款；汽车贷款；个人住房抵押贷款；其他”。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105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005049</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基金分类</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基金分类。</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枚举值为“私募证券投资基金；私募证券类FOF基金；私募股权投资基金；私募股权投资类FOF基金；创业投资基金；创业投资类FOF基金；其他类别私募基金；其他类别私募FOF基金”。</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105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005050</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投资阶段</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投资阶段。</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枚举值为“天使投资；初创期投资；成长期投资；IPO前投资；并购投资；多个阶段投资；全阶段投资”。</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005051</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基金状态</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基金状态。</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枚举值为“投资期；退出期；清算期；已清盘；其他”。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131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005052</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延期原因</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如有延期计划或已发生延期，请注明原因。</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005053</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产品登记通知书文号</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登记机构出具的产品登记通知书所载文号。</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005054</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资金类型</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资金类型。</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枚举值为“法人或其他组织类；保险产品；金融资产管理产品”。</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005055</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组合代码</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组合代码为受托人、投资管理人编制的8位代码，即“3位受托人/投资管理人机构代码+Q+4位序列号”。</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005056</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产品登记号</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人社部基金监督局在对养老金产品备案申请审核通过后确认批复函中的产品登记号，形如“99PF20130018”。</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005057</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发行方式</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发行方式。</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枚举值为“公开；不公开”。</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005058</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评级阶段</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评级阶段。</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枚举值为“发行阶段；存续阶段；跟踪阶段”。</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105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005059</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信用评级等级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信用评级等级，填报中文描述。</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引用《业务代码表》“信用评级等级代码”，编号CD000014。</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005060</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股权存续状态</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股权存续状态。</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枚举值为“正常存续；退出”。</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005061</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收益形式</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收益形式。</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枚举值为“固定费率；固定费用；浮动费率；其他费率”。</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005062</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组合类产品管理方式</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组合类产品管理方式。</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枚举值为“定向；集合”。</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005063</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资金来源</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养老金产品资金来源。</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枚举值为“职业年金计划；企业年金基金；基本养老；其他”。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005064</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私募投资基金退出方式</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私募投资基金退出方式。</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枚举值为“份额转让；基金清算；赎回；其他”。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005065</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保险私募基金项目退出方式</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保险私募基金项目退出方式。</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枚举值为“未退出；部分退出；全部退出”</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005066</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年付息频率</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年付息频率，0时为到期一次还本付息；1年；2半年；4季；12月。</w:t>
            </w:r>
          </w:p>
        </w:tc>
        <w:tc>
          <w:tcPr>
            <w:tcW w:w="26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枚举值为“0；1；2；4；12”。</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n..2</w:t>
            </w:r>
          </w:p>
        </w:tc>
      </w:tr>
    </w:tbl>
    <w:p>
      <w:pPr>
        <w:ind w:firstLine="0" w:firstLineChars="0"/>
      </w:pPr>
    </w:p>
    <w:p>
      <w:pPr>
        <w:pStyle w:val="4"/>
        <w:numPr>
          <w:ilvl w:val="0"/>
          <w:numId w:val="16"/>
        </w:numPr>
        <w:tabs>
          <w:tab w:val="left" w:pos="709"/>
          <w:tab w:val="left" w:pos="993"/>
        </w:tabs>
        <w:rPr>
          <w:rFonts w:ascii="仿宋" w:hAnsi="仿宋" w:eastAsia="仿宋"/>
        </w:rPr>
      </w:pPr>
      <w:bookmarkStart w:id="855" w:name="_Toc8913"/>
      <w:bookmarkStart w:id="856" w:name="_Toc30112"/>
      <w:bookmarkStart w:id="857" w:name="_Toc15318"/>
      <w:bookmarkStart w:id="858" w:name="_Toc7359"/>
      <w:bookmarkStart w:id="859" w:name="_Toc73958626"/>
      <w:bookmarkStart w:id="860" w:name="_Toc19250"/>
      <w:bookmarkStart w:id="861" w:name="_Toc19360"/>
      <w:r>
        <w:rPr>
          <w:rFonts w:hint="eastAsia" w:ascii="仿宋" w:hAnsi="仿宋" w:eastAsia="仿宋"/>
        </w:rPr>
        <w:t>投资资产信息</w:t>
      </w:r>
      <w:bookmarkEnd w:id="855"/>
      <w:bookmarkEnd w:id="856"/>
      <w:bookmarkEnd w:id="857"/>
      <w:bookmarkEnd w:id="858"/>
      <w:bookmarkEnd w:id="859"/>
      <w:bookmarkEnd w:id="860"/>
      <w:bookmarkEnd w:id="861"/>
    </w:p>
    <w:tbl>
      <w:tblPr>
        <w:tblStyle w:val="25"/>
        <w:tblW w:w="8834" w:type="dxa"/>
        <w:tblInd w:w="0" w:type="dxa"/>
        <w:tblLayout w:type="fixed"/>
        <w:tblCellMar>
          <w:top w:w="0" w:type="dxa"/>
          <w:left w:w="108" w:type="dxa"/>
          <w:bottom w:w="0" w:type="dxa"/>
          <w:right w:w="108" w:type="dxa"/>
        </w:tblCellMar>
      </w:tblPr>
      <w:tblGrid>
        <w:gridCol w:w="1173"/>
        <w:gridCol w:w="2570"/>
        <w:gridCol w:w="1883"/>
        <w:gridCol w:w="2017"/>
        <w:gridCol w:w="1191"/>
      </w:tblGrid>
      <w:tr>
        <w:tblPrEx>
          <w:tblCellMar>
            <w:top w:w="0" w:type="dxa"/>
            <w:left w:w="108" w:type="dxa"/>
            <w:bottom w:w="0" w:type="dxa"/>
            <w:right w:w="108" w:type="dxa"/>
          </w:tblCellMar>
        </w:tblPrEx>
        <w:trPr>
          <w:trHeight w:val="290" w:hRule="atLeast"/>
        </w:trPr>
        <w:tc>
          <w:tcPr>
            <w:tcW w:w="1173"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2570"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数据元名称</w:t>
            </w:r>
          </w:p>
        </w:tc>
        <w:tc>
          <w:tcPr>
            <w:tcW w:w="1883"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数据元说明</w:t>
            </w:r>
          </w:p>
        </w:tc>
        <w:tc>
          <w:tcPr>
            <w:tcW w:w="2017"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取值范围</w:t>
            </w:r>
          </w:p>
        </w:tc>
        <w:tc>
          <w:tcPr>
            <w:tcW w:w="1191"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数据格式</w:t>
            </w:r>
          </w:p>
        </w:tc>
      </w:tr>
      <w:tr>
        <w:tblPrEx>
          <w:tblCellMar>
            <w:top w:w="0" w:type="dxa"/>
            <w:left w:w="108" w:type="dxa"/>
            <w:bottom w:w="0" w:type="dxa"/>
            <w:right w:w="108" w:type="dxa"/>
          </w:tblCellMar>
        </w:tblPrEx>
        <w:trPr>
          <w:trHeight w:val="29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006001</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信托产品名称</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信托计划全称。</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53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006002</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产品登记编号</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信托产品登记编码是指在中国信登所登记的信托产品唯一编码。</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an..50</w:t>
            </w:r>
          </w:p>
        </w:tc>
      </w:tr>
      <w:tr>
        <w:tblPrEx>
          <w:tblCellMar>
            <w:top w:w="0" w:type="dxa"/>
            <w:left w:w="108" w:type="dxa"/>
            <w:bottom w:w="0" w:type="dxa"/>
            <w:right w:w="108" w:type="dxa"/>
          </w:tblCellMar>
        </w:tblPrEx>
        <w:trPr>
          <w:trHeight w:val="79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006003</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信托产品代码</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信托公司内部产品代码或编号，信托公司自定义，信托产品的内部唯一编号。</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53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006004</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信托产品存续标识</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信托产品存续标识。</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枚举值为“存续(正常)；存续(展期)；存续(逾期)；终止”。</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006005</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信托功能分类</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信托功能分类。</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枚举值为“融资类；投资类；事务管理类”。</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35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006006</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信托财产运用方式</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信托财产运用方式。</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股票投资；债券投资；金融衍生品；信托贷款；信贷资产转让；资产收（受）益权；资产支持证券化；准资产支持证券化；特定目的载体份额；应收账款转让；其他非标准化债权投资；其他股权投资；非私募基金类有限合伙份额；固定资产投资；另类资产投资；出售；出租；持有并管理；其他”。</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29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006007</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信托计划管理方式</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信托计划管理方式。</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枚举值为“单一；集合”。</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183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006008</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私募基金管理方式</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管理是指实际控制基金管理人；参与是指仅作为基金的出资人，不实际控制基金管理人。实际控制是指为基金管理人的第一大股东或出资人，并通过投资关系、协议或者其他安排，能够实际支配基金管理人行为。</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枚举值为“管理；参与；实际控制”。</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006009</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投向行业</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投向行业。</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枚举值为“基础设施；工商企业；房地产；金融机构；证券类；其他”。</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79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006010</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信用增级安排集合</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信用增级安排名称，可多选，需用英文分号“;”（ASCII码0x3B）隔开。</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枚举值为“无；保证担保；抵押担保；质押担保；流动性支持；回购承诺；差额补足；其他”。</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anc..200</w:t>
            </w:r>
          </w:p>
        </w:tc>
      </w:tr>
      <w:tr>
        <w:tblPrEx>
          <w:tblCellMar>
            <w:top w:w="0" w:type="dxa"/>
            <w:left w:w="108" w:type="dxa"/>
            <w:bottom w:w="0" w:type="dxa"/>
            <w:right w:w="108" w:type="dxa"/>
          </w:tblCellMar>
        </w:tblPrEx>
        <w:trPr>
          <w:trHeight w:val="53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006011</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收益率计提方式</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收益率计提方式.</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枚举值为“固定收益率；浮动收益率；固定</w:t>
            </w:r>
            <w:r>
              <w:rPr>
                <w:rFonts w:ascii="宋体" w:hAnsi="宋体" w:eastAsia="宋体"/>
                <w:color w:val="000000"/>
                <w:sz w:val="21"/>
                <w:szCs w:val="21"/>
              </w:rPr>
              <w:t>+浮动收益率；其他</w:t>
            </w:r>
            <w:r>
              <w:rPr>
                <w:rFonts w:hint="eastAsia" w:ascii="宋体" w:hAnsi="宋体" w:eastAsia="宋体"/>
                <w:color w:val="000000"/>
                <w:sz w:val="21"/>
                <w:szCs w:val="21"/>
              </w:rPr>
              <w:t>”。</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9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006012</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合同编号</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合同编号。</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29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006013</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面积</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土地或物体的面积。</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18n(2)</w:t>
            </w:r>
          </w:p>
        </w:tc>
      </w:tr>
      <w:tr>
        <w:tblPrEx>
          <w:tblCellMar>
            <w:top w:w="0" w:type="dxa"/>
            <w:left w:w="108" w:type="dxa"/>
            <w:bottom w:w="0" w:type="dxa"/>
            <w:right w:w="108" w:type="dxa"/>
          </w:tblCellMar>
        </w:tblPrEx>
        <w:trPr>
          <w:trHeight w:val="29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006015</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存款证实书编号</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存款银行给出的存款证实书编号。</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53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006016</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存款证实书名称</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开户银行全称+发行年份+存款类型；参照银行间市场规则。</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79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006017</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存款类型</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存款类型。</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枚举值为“定期存款；协议存款；结构性存款；同业存款；大额存款”。</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006018</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利率类型</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利率类型。</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枚举值为“浮动；固定；结构化；其他”。</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006019</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计息基准</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计息基准。</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枚举值为“实际/365；实际/实际；实际/360；30/360”。</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9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006020</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质押用途</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质押用途。</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枚举值为“融资；担保；委托贷款”。</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006021</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收益类型</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收益类型。</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枚举值为“保本保收益类；保本浮动收益类；非保本浮动收益类；其他”。</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006022</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风险评级</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风险评级。</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枚举值为“一级；二级；三级；四级；五级”。</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9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006023</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持有状态</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持有状态。</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枚举值为“持有；退出”。</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006024</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资金运用</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文字描述，如用于某项目或投资某企业债。</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anc..1000</w:t>
            </w:r>
          </w:p>
        </w:tc>
      </w:tr>
      <w:tr>
        <w:tblPrEx>
          <w:tblCellMar>
            <w:top w:w="0" w:type="dxa"/>
            <w:left w:w="108" w:type="dxa"/>
            <w:bottom w:w="0" w:type="dxa"/>
            <w:right w:w="108" w:type="dxa"/>
          </w:tblCellMar>
        </w:tblPrEx>
        <w:trPr>
          <w:trHeight w:val="53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006025</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利率浮动形式</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利率浮动形式。</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枚举值为“即时；按月；按季度；按年”。</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79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006028</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参股原因</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参股原因。</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枚举值为“改制退出；合资设立；股权收购；增资入股；股权划转；长期持有；其他”。</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006029</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标的企业控股股东性质</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标的企业控股股东性质，填报中文描述。</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枚举值为“中央国有企业；地方国有企业；民营企业；外资企业；公众公司；其他”。</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79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006030</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企业类型</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企业类型。</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枚举值为“保险类企业；非保险类金融企业；能源企业；资源企业；保险业务相关企业；其他”。</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006031</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融资目的</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融资目的。</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枚举值为“上市融资；并购融资；经营性融资；其他”。</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9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006032</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投资类型</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投资类型。</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枚举值为“自用性；投资性”。</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006033</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项目状态</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项目状态。</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枚举值为“已建成；在建工程；土地”。</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79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006034</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不动产类型</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根据土地用途分类，具体填报标准参照物业土地证“用途”栏内容（标识库）。</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anc..1000</w:t>
            </w:r>
          </w:p>
        </w:tc>
      </w:tr>
      <w:tr>
        <w:tblPrEx>
          <w:tblCellMar>
            <w:top w:w="0" w:type="dxa"/>
            <w:left w:w="108" w:type="dxa"/>
            <w:bottom w:w="0" w:type="dxa"/>
            <w:right w:w="108" w:type="dxa"/>
          </w:tblCellMar>
        </w:tblPrEx>
        <w:trPr>
          <w:trHeight w:val="105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006035</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物业类型</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物业类型。</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枚举值为“养老不动产；医疗；汽车服务不动产；城市商住综合体；城市商业；其他”，其中，城市商业包括写字楼、商业公寓、商铺、会议会展中心、物流仓库等。</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006036</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基准利率</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基准利率的类型，填报中文描述。</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引用《业务代码表》“基准利率代码”，编号CD000022。</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29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006037</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利差</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利差，单位为BP</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n..10</w:t>
            </w:r>
          </w:p>
        </w:tc>
      </w:tr>
      <w:tr>
        <w:tblPrEx>
          <w:tblCellMar>
            <w:top w:w="0" w:type="dxa"/>
            <w:left w:w="108" w:type="dxa"/>
            <w:bottom w:w="0" w:type="dxa"/>
            <w:right w:w="108" w:type="dxa"/>
          </w:tblCellMar>
        </w:tblPrEx>
        <w:trPr>
          <w:trHeight w:val="29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006038</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理财产品发行人类型</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理财产品发行人类型。</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枚举值为“银行；银行理财子公司”。</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790" w:hRule="atLeast"/>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006039</w:t>
            </w:r>
          </w:p>
        </w:tc>
        <w:tc>
          <w:tcPr>
            <w:tcW w:w="257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融资人类型</w:t>
            </w:r>
          </w:p>
        </w:tc>
        <w:tc>
          <w:tcPr>
            <w:tcW w:w="188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融资人类型。</w:t>
            </w:r>
          </w:p>
        </w:tc>
        <w:tc>
          <w:tcPr>
            <w:tcW w:w="2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枚举值为“自然人；个体工商户；广义政府；非金融企业；金融机构（实体）；特定目的载体；境外”。</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790" w:hRule="atLeast"/>
        </w:trPr>
        <w:tc>
          <w:tcPr>
            <w:tcW w:w="1173"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olor w:val="000000"/>
                <w:sz w:val="21"/>
                <w:szCs w:val="21"/>
              </w:rPr>
            </w:pPr>
            <w:r>
              <w:rPr>
                <w:rFonts w:ascii="宋体" w:hAnsi="宋体" w:eastAsia="宋体"/>
                <w:sz w:val="21"/>
                <w:szCs w:val="21"/>
              </w:rPr>
              <w:t>006040</w:t>
            </w:r>
          </w:p>
        </w:tc>
        <w:tc>
          <w:tcPr>
            <w:tcW w:w="2570" w:type="dxa"/>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olor w:val="000000"/>
                <w:sz w:val="21"/>
                <w:szCs w:val="21"/>
              </w:rPr>
            </w:pPr>
            <w:r>
              <w:rPr>
                <w:rFonts w:ascii="宋体" w:hAnsi="宋体" w:eastAsia="宋体"/>
                <w:sz w:val="21"/>
                <w:szCs w:val="21"/>
              </w:rPr>
              <w:t>信托计划退出方式</w:t>
            </w:r>
          </w:p>
        </w:tc>
        <w:tc>
          <w:tcPr>
            <w:tcW w:w="1883" w:type="dxa"/>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olor w:val="000000"/>
                <w:sz w:val="21"/>
                <w:szCs w:val="21"/>
              </w:rPr>
            </w:pPr>
            <w:r>
              <w:rPr>
                <w:rFonts w:ascii="宋体" w:hAnsi="宋体" w:eastAsia="宋体"/>
                <w:sz w:val="21"/>
                <w:szCs w:val="21"/>
              </w:rPr>
              <w:t>信托计划退出方式。</w:t>
            </w:r>
          </w:p>
        </w:tc>
        <w:tc>
          <w:tcPr>
            <w:tcW w:w="2017" w:type="dxa"/>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olor w:val="000000"/>
                <w:sz w:val="21"/>
                <w:szCs w:val="21"/>
              </w:rPr>
            </w:pPr>
            <w:r>
              <w:rPr>
                <w:rFonts w:ascii="宋体" w:hAnsi="宋体" w:eastAsia="宋体"/>
                <w:sz w:val="21"/>
                <w:szCs w:val="21"/>
              </w:rPr>
              <w:t>枚举值为“</w:t>
            </w:r>
            <w:r>
              <w:rPr>
                <w:rFonts w:hint="eastAsia" w:ascii="宋体" w:hAnsi="宋体" w:eastAsia="宋体"/>
                <w:sz w:val="21"/>
                <w:szCs w:val="21"/>
              </w:rPr>
              <w:t>正常持有到期；提前赎回；转让第三方；信托计划提前终止；其他</w:t>
            </w:r>
            <w:r>
              <w:rPr>
                <w:rFonts w:ascii="宋体" w:hAnsi="宋体" w:eastAsia="宋体"/>
                <w:sz w:val="21"/>
                <w:szCs w:val="21"/>
              </w:rPr>
              <w:t>”。</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790"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006041</w:t>
            </w:r>
          </w:p>
        </w:tc>
        <w:tc>
          <w:tcPr>
            <w:tcW w:w="25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控股方式</w:t>
            </w:r>
          </w:p>
        </w:tc>
        <w:tc>
          <w:tcPr>
            <w:tcW w:w="188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控股方式。</w:t>
            </w:r>
          </w:p>
        </w:tc>
        <w:tc>
          <w:tcPr>
            <w:tcW w:w="20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枚举值为“绝对控股，相对控股，协议控股，其他，非控股”。</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bl>
    <w:p>
      <w:pPr>
        <w:ind w:firstLine="0" w:firstLineChars="0"/>
      </w:pPr>
    </w:p>
    <w:p>
      <w:pPr>
        <w:pStyle w:val="4"/>
        <w:numPr>
          <w:ilvl w:val="0"/>
          <w:numId w:val="16"/>
        </w:numPr>
        <w:tabs>
          <w:tab w:val="left" w:pos="709"/>
          <w:tab w:val="left" w:pos="993"/>
        </w:tabs>
        <w:rPr>
          <w:rFonts w:ascii="仿宋" w:hAnsi="仿宋" w:eastAsia="仿宋"/>
        </w:rPr>
      </w:pPr>
      <w:bookmarkStart w:id="862" w:name="_Toc6668"/>
      <w:bookmarkStart w:id="863" w:name="_Toc31923"/>
      <w:bookmarkStart w:id="864" w:name="_Toc21031"/>
      <w:bookmarkStart w:id="865" w:name="_Toc28205"/>
      <w:bookmarkStart w:id="866" w:name="_Toc21865"/>
      <w:bookmarkStart w:id="867" w:name="_Toc73958627"/>
      <w:bookmarkStart w:id="868" w:name="_Toc17764"/>
      <w:r>
        <w:rPr>
          <w:rFonts w:hint="eastAsia" w:ascii="仿宋" w:hAnsi="仿宋" w:eastAsia="仿宋"/>
        </w:rPr>
        <w:t>关联交易信息</w:t>
      </w:r>
      <w:bookmarkEnd w:id="862"/>
      <w:bookmarkEnd w:id="863"/>
      <w:bookmarkEnd w:id="864"/>
      <w:bookmarkEnd w:id="865"/>
      <w:bookmarkEnd w:id="866"/>
      <w:bookmarkEnd w:id="867"/>
      <w:bookmarkEnd w:id="868"/>
    </w:p>
    <w:tbl>
      <w:tblPr>
        <w:tblStyle w:val="25"/>
        <w:tblW w:w="8834" w:type="dxa"/>
        <w:tblInd w:w="0" w:type="dxa"/>
        <w:tblLayout w:type="fixed"/>
        <w:tblCellMar>
          <w:top w:w="0" w:type="dxa"/>
          <w:left w:w="108" w:type="dxa"/>
          <w:bottom w:w="0" w:type="dxa"/>
          <w:right w:w="108" w:type="dxa"/>
        </w:tblCellMar>
      </w:tblPr>
      <w:tblGrid>
        <w:gridCol w:w="1413"/>
        <w:gridCol w:w="1843"/>
        <w:gridCol w:w="2339"/>
        <w:gridCol w:w="2055"/>
        <w:gridCol w:w="1184"/>
      </w:tblGrid>
      <w:tr>
        <w:tblPrEx>
          <w:tblCellMar>
            <w:top w:w="0" w:type="dxa"/>
            <w:left w:w="108" w:type="dxa"/>
            <w:bottom w:w="0" w:type="dxa"/>
            <w:right w:w="108" w:type="dxa"/>
          </w:tblCellMar>
        </w:tblPrEx>
        <w:trPr>
          <w:trHeight w:val="290" w:hRule="atLeast"/>
        </w:trPr>
        <w:tc>
          <w:tcPr>
            <w:tcW w:w="1413"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1843"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数据元名称</w:t>
            </w:r>
          </w:p>
        </w:tc>
        <w:tc>
          <w:tcPr>
            <w:tcW w:w="2339"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数据元说明</w:t>
            </w:r>
          </w:p>
        </w:tc>
        <w:tc>
          <w:tcPr>
            <w:tcW w:w="2055"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取值范围</w:t>
            </w:r>
          </w:p>
        </w:tc>
        <w:tc>
          <w:tcPr>
            <w:tcW w:w="1184"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数据格式</w:t>
            </w:r>
          </w:p>
        </w:tc>
      </w:tr>
      <w:tr>
        <w:trPr>
          <w:trHeight w:val="29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007001</w:t>
            </w:r>
          </w:p>
        </w:tc>
        <w:tc>
          <w:tcPr>
            <w:tcW w:w="1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产品批准/注册/备案号</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产品批准、注册或备案机构配发的核准编号。如产品报送时产品批准、注册或备案号尚未公布，则填写产品管理人的内部编号，待后续产品批准、注册或备案号公布后及时更新。</w:t>
            </w:r>
          </w:p>
        </w:tc>
        <w:tc>
          <w:tcPr>
            <w:tcW w:w="20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79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007002</w:t>
            </w:r>
          </w:p>
        </w:tc>
        <w:tc>
          <w:tcPr>
            <w:tcW w:w="1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关联方代码</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关联方代码法人或其他组织的统一社会信用代码等有效代码、自然人对应证件类型的证件号码。</w:t>
            </w:r>
          </w:p>
        </w:tc>
        <w:tc>
          <w:tcPr>
            <w:tcW w:w="20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anc..100</w:t>
            </w:r>
          </w:p>
        </w:tc>
      </w:tr>
      <w:tr>
        <w:tblPrEx>
          <w:tblCellMar>
            <w:top w:w="0" w:type="dxa"/>
            <w:left w:w="108" w:type="dxa"/>
            <w:bottom w:w="0" w:type="dxa"/>
            <w:right w:w="108" w:type="dxa"/>
          </w:tblCellMar>
        </w:tblPrEx>
        <w:trPr>
          <w:trHeight w:val="53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007003</w:t>
            </w:r>
          </w:p>
        </w:tc>
        <w:tc>
          <w:tcPr>
            <w:tcW w:w="1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关联方中间节点类型</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关联方中间节点类型。</w:t>
            </w:r>
          </w:p>
        </w:tc>
        <w:tc>
          <w:tcPr>
            <w:tcW w:w="20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枚举值为“法人或其他组织；自然人；金融产品等其他”。</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007004</w:t>
            </w:r>
          </w:p>
        </w:tc>
        <w:tc>
          <w:tcPr>
            <w:tcW w:w="1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与前一层之间权益份额类型</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与前一层之间权益份额类型。</w:t>
            </w:r>
          </w:p>
        </w:tc>
        <w:tc>
          <w:tcPr>
            <w:tcW w:w="20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枚举值为“是，对前一层持有；是，被前一层持有；否”。</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79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007005</w:t>
            </w:r>
          </w:p>
        </w:tc>
        <w:tc>
          <w:tcPr>
            <w:tcW w:w="1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关联交易类型</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关联交易类型。</w:t>
            </w:r>
          </w:p>
        </w:tc>
        <w:tc>
          <w:tcPr>
            <w:tcW w:w="20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参照《业务代码表》“关联交易类型代码”，编号CD000021，填报关联交易类型代码。</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007006</w:t>
            </w:r>
          </w:p>
        </w:tc>
        <w:tc>
          <w:tcPr>
            <w:tcW w:w="1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关联交易子类</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关联交易子类。</w:t>
            </w:r>
          </w:p>
        </w:tc>
        <w:tc>
          <w:tcPr>
            <w:tcW w:w="20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参照《业务代码表》“关联交易类型代码”，编号CD000021，填报关联交易子类代码。</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r>
        <w:tblPrEx>
          <w:tblCellMar>
            <w:top w:w="0" w:type="dxa"/>
            <w:left w:w="108" w:type="dxa"/>
            <w:bottom w:w="0" w:type="dxa"/>
            <w:right w:w="108" w:type="dxa"/>
          </w:tblCellMar>
        </w:tblPrEx>
        <w:trPr>
          <w:trHeight w:val="29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007007</w:t>
            </w:r>
          </w:p>
        </w:tc>
        <w:tc>
          <w:tcPr>
            <w:tcW w:w="1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定价政策</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交易对价的确定原则及定价方法。</w:t>
            </w:r>
          </w:p>
        </w:tc>
        <w:tc>
          <w:tcPr>
            <w:tcW w:w="20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anc..500</w:t>
            </w:r>
          </w:p>
        </w:tc>
      </w:tr>
      <w:tr>
        <w:tblPrEx>
          <w:tblCellMar>
            <w:top w:w="0" w:type="dxa"/>
            <w:left w:w="108" w:type="dxa"/>
            <w:bottom w:w="0" w:type="dxa"/>
            <w:right w:w="108" w:type="dxa"/>
          </w:tblCellMar>
        </w:tblPrEx>
        <w:trPr>
          <w:trHeight w:val="53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007008</w:t>
            </w:r>
          </w:p>
        </w:tc>
        <w:tc>
          <w:tcPr>
            <w:tcW w:w="1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影响描述</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对填报机构财务状况及经营成果的描述。</w:t>
            </w:r>
          </w:p>
        </w:tc>
        <w:tc>
          <w:tcPr>
            <w:tcW w:w="20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anc..500</w:t>
            </w:r>
          </w:p>
        </w:tc>
      </w:tr>
      <w:tr>
        <w:tblPrEx>
          <w:tblCellMar>
            <w:top w:w="0" w:type="dxa"/>
            <w:left w:w="108" w:type="dxa"/>
            <w:bottom w:w="0" w:type="dxa"/>
            <w:right w:w="108" w:type="dxa"/>
          </w:tblCellMar>
        </w:tblPrEx>
        <w:trPr>
          <w:trHeight w:val="29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007009</w:t>
            </w:r>
          </w:p>
        </w:tc>
        <w:tc>
          <w:tcPr>
            <w:tcW w:w="1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交易标的</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与关联方发生关联交易的对象。</w:t>
            </w:r>
          </w:p>
        </w:tc>
        <w:tc>
          <w:tcPr>
            <w:tcW w:w="20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　</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anc..500</w:t>
            </w:r>
          </w:p>
        </w:tc>
      </w:tr>
      <w:tr>
        <w:tblPrEx>
          <w:tblCellMar>
            <w:top w:w="0" w:type="dxa"/>
            <w:left w:w="108" w:type="dxa"/>
            <w:bottom w:w="0" w:type="dxa"/>
            <w:right w:w="108" w:type="dxa"/>
          </w:tblCellMar>
        </w:tblPrEx>
        <w:trPr>
          <w:trHeight w:val="53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007010</w:t>
            </w:r>
          </w:p>
        </w:tc>
        <w:tc>
          <w:tcPr>
            <w:tcW w:w="1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关联方类别</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关联方类别。</w:t>
            </w:r>
          </w:p>
        </w:tc>
        <w:tc>
          <w:tcPr>
            <w:tcW w:w="20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枚举值为“法人或其他组织 ；自然人”。</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29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007011</w:t>
            </w:r>
          </w:p>
        </w:tc>
        <w:tc>
          <w:tcPr>
            <w:tcW w:w="1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达到重大关联交易的情形</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达到重大关联交易的情形。</w:t>
            </w:r>
          </w:p>
        </w:tc>
        <w:tc>
          <w:tcPr>
            <w:tcW w:w="20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枚举值为“单笔达到；累计达到”。</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anc..30</w:t>
            </w:r>
          </w:p>
        </w:tc>
      </w:tr>
      <w:tr>
        <w:tblPrEx>
          <w:tblCellMar>
            <w:top w:w="0" w:type="dxa"/>
            <w:left w:w="108" w:type="dxa"/>
            <w:bottom w:w="0" w:type="dxa"/>
            <w:right w:w="108" w:type="dxa"/>
          </w:tblCellMar>
        </w:tblPrEx>
        <w:trPr>
          <w:trHeight w:val="53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007012</w:t>
            </w:r>
          </w:p>
        </w:tc>
        <w:tc>
          <w:tcPr>
            <w:tcW w:w="1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olor w:val="000000"/>
                <w:sz w:val="21"/>
                <w:szCs w:val="21"/>
              </w:rPr>
              <w:t>关联关系类型</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关联关系类型，填报名称。</w:t>
            </w:r>
          </w:p>
        </w:tc>
        <w:tc>
          <w:tcPr>
            <w:tcW w:w="20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引用《业务代码表》“关联关系代码”，编号CD000020。</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sz w:val="21"/>
                <w:szCs w:val="21"/>
              </w:rPr>
            </w:pPr>
            <w:r>
              <w:rPr>
                <w:rFonts w:hint="eastAsia" w:ascii="宋体" w:hAnsi="宋体" w:eastAsia="宋体"/>
                <w:color w:val="000000"/>
                <w:sz w:val="21"/>
                <w:szCs w:val="21"/>
              </w:rPr>
              <w:t>anc..50</w:t>
            </w:r>
          </w:p>
        </w:tc>
      </w:tr>
    </w:tbl>
    <w:p>
      <w:pPr>
        <w:ind w:firstLine="0" w:firstLineChars="0"/>
      </w:pPr>
    </w:p>
    <w:sectPr>
      <w:headerReference r:id="rId13" w:type="default"/>
      <w:footerReference r:id="rId14" w:type="default"/>
      <w:pgSz w:w="11906" w:h="16838"/>
      <w:pgMar w:top="2154" w:right="1474" w:bottom="1984" w:left="1588" w:header="851" w:footer="1021"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B0604020202020204"/>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7165007"/>
    </w:sdtPr>
    <w:sdtEndPr>
      <w:rPr>
        <w:rFonts w:ascii="宋体" w:hAnsi="宋体"/>
        <w:sz w:val="21"/>
        <w:szCs w:val="21"/>
      </w:rPr>
    </w:sdtEndPr>
    <w:sdtContent>
      <w:p>
        <w:pPr>
          <w:pStyle w:val="15"/>
          <w:ind w:firstLine="36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1 -</w:t>
        </w:r>
        <w:r>
          <w:rPr>
            <w:rFonts w:ascii="宋体" w:hAnsi="宋体"/>
            <w:sz w:val="21"/>
            <w:szCs w:val="21"/>
          </w:rPr>
          <w:fldChar w:fldCharType="end"/>
        </w:r>
      </w:p>
    </w:sdtContent>
  </w:sdt>
  <w:p>
    <w:pPr>
      <w:pStyle w:val="15"/>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2E4A2"/>
    <w:multiLevelType w:val="singleLevel"/>
    <w:tmpl w:val="99F2E4A2"/>
    <w:lvl w:ilvl="0" w:tentative="0">
      <w:start w:val="1"/>
      <w:numFmt w:val="chineseCounting"/>
      <w:pStyle w:val="2"/>
      <w:suff w:val="nothing"/>
      <w:lvlText w:val="%1、"/>
      <w:lvlJc w:val="left"/>
      <w:pPr>
        <w:ind w:left="451" w:firstLine="420"/>
      </w:pPr>
      <w:rPr>
        <w:rFonts w:hint="eastAsia"/>
      </w:rPr>
    </w:lvl>
  </w:abstractNum>
  <w:abstractNum w:abstractNumId="1">
    <w:nsid w:val="C0CEB84B"/>
    <w:multiLevelType w:val="singleLevel"/>
    <w:tmpl w:val="C0CEB84B"/>
    <w:lvl w:ilvl="0" w:tentative="0">
      <w:start w:val="1"/>
      <w:numFmt w:val="decimal"/>
      <w:pStyle w:val="5"/>
      <w:lvlText w:val="(%1)"/>
      <w:lvlJc w:val="left"/>
      <w:pPr>
        <w:ind w:left="425" w:hanging="425"/>
      </w:pPr>
      <w:rPr>
        <w:rFonts w:hint="default"/>
      </w:rPr>
    </w:lvl>
  </w:abstractNum>
  <w:abstractNum w:abstractNumId="2">
    <w:nsid w:val="3C230CCA"/>
    <w:multiLevelType w:val="multilevel"/>
    <w:tmpl w:val="3C230CCA"/>
    <w:lvl w:ilvl="0" w:tentative="0">
      <w:start w:val="1"/>
      <w:numFmt w:val="decimal"/>
      <w:pStyle w:val="4"/>
      <w:lvlText w:val="%1."/>
      <w:lvlJc w:val="left"/>
      <w:pPr>
        <w:ind w:left="992" w:hanging="425"/>
      </w:pPr>
      <w:rPr>
        <w:rFonts w:hint="default"/>
      </w:rPr>
    </w:lvl>
    <w:lvl w:ilvl="1" w:tentative="0">
      <w:start w:val="1"/>
      <w:numFmt w:val="decimal"/>
      <w:isLgl/>
      <w:lvlText w:val="%1.%2"/>
      <w:lvlJc w:val="left"/>
      <w:pPr>
        <w:ind w:left="1134" w:hanging="112"/>
      </w:pPr>
      <w:rPr>
        <w:rFonts w:hint="default"/>
      </w:rPr>
    </w:lvl>
    <w:lvl w:ilvl="2" w:tentative="0">
      <w:start w:val="1"/>
      <w:numFmt w:val="decimal"/>
      <w:isLgl/>
      <w:lvlText w:val="%1.%2.%3"/>
      <w:lvlJc w:val="left"/>
      <w:pPr>
        <w:ind w:left="2704" w:hanging="1080"/>
      </w:pPr>
      <w:rPr>
        <w:rFonts w:hint="default"/>
      </w:rPr>
    </w:lvl>
    <w:lvl w:ilvl="3" w:tentative="0">
      <w:start w:val="1"/>
      <w:numFmt w:val="decimal"/>
      <w:isLgl/>
      <w:lvlText w:val="%1.%2.%3.%4"/>
      <w:lvlJc w:val="left"/>
      <w:pPr>
        <w:ind w:left="3306" w:hanging="1080"/>
      </w:pPr>
      <w:rPr>
        <w:rFonts w:hint="default"/>
      </w:rPr>
    </w:lvl>
    <w:lvl w:ilvl="4" w:tentative="0">
      <w:start w:val="1"/>
      <w:numFmt w:val="decimal"/>
      <w:isLgl/>
      <w:lvlText w:val="%1.%2.%3.%4.%5"/>
      <w:lvlJc w:val="left"/>
      <w:pPr>
        <w:ind w:left="4268" w:hanging="1440"/>
      </w:pPr>
      <w:rPr>
        <w:rFonts w:hint="default"/>
      </w:rPr>
    </w:lvl>
    <w:lvl w:ilvl="5" w:tentative="0">
      <w:start w:val="1"/>
      <w:numFmt w:val="decimal"/>
      <w:isLgl/>
      <w:lvlText w:val="%1.%2.%3.%4.%5.%6"/>
      <w:lvlJc w:val="left"/>
      <w:pPr>
        <w:ind w:left="5230" w:hanging="1800"/>
      </w:pPr>
      <w:rPr>
        <w:rFonts w:hint="default"/>
      </w:rPr>
    </w:lvl>
    <w:lvl w:ilvl="6" w:tentative="0">
      <w:start w:val="1"/>
      <w:numFmt w:val="decimal"/>
      <w:isLgl/>
      <w:lvlText w:val="%1.%2.%3.%4.%5.%6.%7"/>
      <w:lvlJc w:val="left"/>
      <w:pPr>
        <w:ind w:left="6192" w:hanging="2160"/>
      </w:pPr>
      <w:rPr>
        <w:rFonts w:hint="default"/>
      </w:rPr>
    </w:lvl>
    <w:lvl w:ilvl="7" w:tentative="0">
      <w:start w:val="1"/>
      <w:numFmt w:val="decimal"/>
      <w:isLgl/>
      <w:lvlText w:val="%1.%2.%3.%4.%5.%6.%7.%8"/>
      <w:lvlJc w:val="left"/>
      <w:pPr>
        <w:ind w:left="7154" w:hanging="2520"/>
      </w:pPr>
      <w:rPr>
        <w:rFonts w:hint="default"/>
      </w:rPr>
    </w:lvl>
    <w:lvl w:ilvl="8" w:tentative="0">
      <w:start w:val="1"/>
      <w:numFmt w:val="decimal"/>
      <w:isLgl/>
      <w:lvlText w:val="%1.%2.%3.%4.%5.%6.%7.%8.%9"/>
      <w:lvlJc w:val="left"/>
      <w:pPr>
        <w:ind w:left="8116" w:hanging="2880"/>
      </w:pPr>
      <w:rPr>
        <w:rFonts w:hint="default"/>
      </w:rPr>
    </w:lvl>
  </w:abstractNum>
  <w:abstractNum w:abstractNumId="3">
    <w:nsid w:val="6A3342DB"/>
    <w:multiLevelType w:val="singleLevel"/>
    <w:tmpl w:val="6A3342DB"/>
    <w:lvl w:ilvl="0" w:tentative="0">
      <w:start w:val="1"/>
      <w:numFmt w:val="chineseCounting"/>
      <w:pStyle w:val="3"/>
      <w:suff w:val="nothing"/>
      <w:lvlText w:val="（%1）"/>
      <w:lvlJc w:val="left"/>
      <w:pPr>
        <w:ind w:left="714" w:firstLine="420"/>
      </w:pPr>
      <w:rPr>
        <w:rFonts w:hint="eastAsia"/>
      </w:rPr>
    </w:lvl>
  </w:abstractNum>
  <w:num w:numId="1">
    <w:abstractNumId w:val="0"/>
  </w:num>
  <w:num w:numId="2">
    <w:abstractNumId w:val="3"/>
  </w:num>
  <w:num w:numId="3">
    <w:abstractNumId w:val="2"/>
  </w:num>
  <w:num w:numId="4">
    <w:abstractNumId w:val="1"/>
  </w:num>
  <w:num w:numId="5">
    <w:abstractNumId w:val="3"/>
    <w:lvlOverride w:ilvl="0">
      <w:startOverride w:val="1"/>
    </w:lvlOverride>
  </w:num>
  <w:num w:numId="6">
    <w:abstractNumId w:val="3"/>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 w:ilvl="0" w:tentative="1">
        <w:start w:val="1"/>
        <w:numFmt w:val="decimal"/>
        <w:lvlText w:val="%1."/>
        <w:lvlJc w:val="left"/>
        <w:pPr>
          <w:ind w:left="850" w:hanging="425"/>
        </w:pPr>
        <w:rPr>
          <w:rFonts w:hint="default"/>
        </w:rPr>
      </w:lvl>
    </w:lvlOverride>
    <w:lvlOverride w:ilvl="1">
      <w:lvl w:ilvl="1" w:tentative="1">
        <w:start w:val="1"/>
        <w:numFmt w:val="decimal"/>
        <w:isLgl/>
        <w:lvlText w:val="%1.%2"/>
        <w:lvlJc w:val="left"/>
        <w:pPr>
          <w:ind w:left="1134" w:hanging="420"/>
        </w:pPr>
        <w:rPr>
          <w:rFonts w:hint="default"/>
        </w:rPr>
      </w:lvl>
    </w:lvlOverride>
    <w:lvlOverride w:ilvl="2">
      <w:lvl w:ilvl="2" w:tentative="1">
        <w:start w:val="1"/>
        <w:numFmt w:val="decimal"/>
        <w:isLgl/>
        <w:lvlText w:val="%1.%2.%3"/>
        <w:lvlJc w:val="left"/>
        <w:pPr>
          <w:ind w:left="2704" w:hanging="1080"/>
        </w:pPr>
        <w:rPr>
          <w:rFonts w:hint="default"/>
        </w:rPr>
      </w:lvl>
    </w:lvlOverride>
    <w:lvlOverride w:ilvl="3">
      <w:lvl w:ilvl="3" w:tentative="1">
        <w:start w:val="1"/>
        <w:numFmt w:val="decimal"/>
        <w:isLgl/>
        <w:lvlText w:val="%1.%2.%3.%4"/>
        <w:lvlJc w:val="left"/>
        <w:pPr>
          <w:ind w:left="3306" w:hanging="1080"/>
        </w:pPr>
        <w:rPr>
          <w:rFonts w:hint="default"/>
        </w:rPr>
      </w:lvl>
    </w:lvlOverride>
    <w:lvlOverride w:ilvl="4">
      <w:lvl w:ilvl="4" w:tentative="1">
        <w:start w:val="1"/>
        <w:numFmt w:val="decimal"/>
        <w:isLgl/>
        <w:lvlText w:val="%1.%2.%3.%4.%5"/>
        <w:lvlJc w:val="left"/>
        <w:pPr>
          <w:ind w:left="4268" w:hanging="1440"/>
        </w:pPr>
        <w:rPr>
          <w:rFonts w:hint="default"/>
        </w:rPr>
      </w:lvl>
    </w:lvlOverride>
    <w:lvlOverride w:ilvl="5">
      <w:lvl w:ilvl="5" w:tentative="1">
        <w:start w:val="1"/>
        <w:numFmt w:val="decimal"/>
        <w:isLgl/>
        <w:lvlText w:val="%1.%2.%3.%4.%5.%6"/>
        <w:lvlJc w:val="left"/>
        <w:pPr>
          <w:ind w:left="5230" w:hanging="1800"/>
        </w:pPr>
        <w:rPr>
          <w:rFonts w:hint="default"/>
        </w:rPr>
      </w:lvl>
    </w:lvlOverride>
    <w:lvlOverride w:ilvl="6">
      <w:lvl w:ilvl="6" w:tentative="1">
        <w:start w:val="1"/>
        <w:numFmt w:val="decimal"/>
        <w:isLgl/>
        <w:lvlText w:val="%1.%2.%3.%4.%5.%6.%7"/>
        <w:lvlJc w:val="left"/>
        <w:pPr>
          <w:ind w:left="6192" w:hanging="2160"/>
        </w:pPr>
        <w:rPr>
          <w:rFonts w:hint="default"/>
        </w:rPr>
      </w:lvl>
    </w:lvlOverride>
    <w:lvlOverride w:ilvl="7">
      <w:lvl w:ilvl="7" w:tentative="1">
        <w:start w:val="1"/>
        <w:numFmt w:val="decimal"/>
        <w:isLgl/>
        <w:lvlText w:val="%1.%2.%3.%4.%5.%6.%7.%8"/>
        <w:lvlJc w:val="left"/>
        <w:pPr>
          <w:ind w:left="7154" w:hanging="2520"/>
        </w:pPr>
        <w:rPr>
          <w:rFonts w:hint="default"/>
        </w:rPr>
      </w:lvl>
    </w:lvlOverride>
    <w:lvlOverride w:ilvl="8">
      <w:lvl w:ilvl="8" w:tentative="1">
        <w:start w:val="1"/>
        <w:numFmt w:val="decimal"/>
        <w:isLgl/>
        <w:lvlText w:val="%1.%2.%3.%4.%5.%6.%7.%8.%9"/>
        <w:lvlJc w:val="left"/>
        <w:pPr>
          <w:ind w:left="8116" w:hanging="2880"/>
        </w:pPr>
        <w:rPr>
          <w:rFonts w:hint="default"/>
        </w:rPr>
      </w:lvl>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 w:ilvl="0" w:tentative="1">
        <w:start w:val="1"/>
        <w:numFmt w:val="decimal"/>
        <w:lvlText w:val="%1."/>
        <w:lvlJc w:val="left"/>
        <w:pPr>
          <w:ind w:left="850" w:hanging="425"/>
        </w:pPr>
        <w:rPr>
          <w:rFonts w:hint="default"/>
        </w:rPr>
      </w:lvl>
    </w:lvlOverride>
    <w:lvlOverride w:ilvl="1">
      <w:lvl w:ilvl="1" w:tentative="1">
        <w:start w:val="1"/>
        <w:numFmt w:val="decimal"/>
        <w:isLgl/>
        <w:lvlText w:val="%1.%2"/>
        <w:lvlJc w:val="left"/>
        <w:pPr>
          <w:ind w:left="1134" w:hanging="420"/>
        </w:pPr>
        <w:rPr>
          <w:rFonts w:hint="default"/>
        </w:rPr>
      </w:lvl>
    </w:lvlOverride>
    <w:lvlOverride w:ilvl="2">
      <w:lvl w:ilvl="2" w:tentative="1">
        <w:start w:val="1"/>
        <w:numFmt w:val="decimal"/>
        <w:isLgl/>
        <w:lvlText w:val="%1.%2.%3"/>
        <w:lvlJc w:val="left"/>
        <w:pPr>
          <w:ind w:left="2704" w:hanging="1080"/>
        </w:pPr>
        <w:rPr>
          <w:rFonts w:hint="default"/>
        </w:rPr>
      </w:lvl>
    </w:lvlOverride>
    <w:lvlOverride w:ilvl="3">
      <w:lvl w:ilvl="3" w:tentative="1">
        <w:start w:val="1"/>
        <w:numFmt w:val="decimal"/>
        <w:isLgl/>
        <w:lvlText w:val="%1.%2.%3.%4"/>
        <w:lvlJc w:val="left"/>
        <w:pPr>
          <w:ind w:left="3306" w:hanging="1080"/>
        </w:pPr>
        <w:rPr>
          <w:rFonts w:hint="default"/>
        </w:rPr>
      </w:lvl>
    </w:lvlOverride>
    <w:lvlOverride w:ilvl="4">
      <w:lvl w:ilvl="4" w:tentative="1">
        <w:start w:val="1"/>
        <w:numFmt w:val="decimal"/>
        <w:isLgl/>
        <w:lvlText w:val="%1.%2.%3.%4.%5"/>
        <w:lvlJc w:val="left"/>
        <w:pPr>
          <w:ind w:left="4268" w:hanging="1440"/>
        </w:pPr>
        <w:rPr>
          <w:rFonts w:hint="default"/>
        </w:rPr>
      </w:lvl>
    </w:lvlOverride>
    <w:lvlOverride w:ilvl="5">
      <w:lvl w:ilvl="5" w:tentative="1">
        <w:start w:val="1"/>
        <w:numFmt w:val="decimal"/>
        <w:isLgl/>
        <w:lvlText w:val="%1.%2.%3.%4.%5.%6"/>
        <w:lvlJc w:val="left"/>
        <w:pPr>
          <w:ind w:left="5230" w:hanging="1800"/>
        </w:pPr>
        <w:rPr>
          <w:rFonts w:hint="default"/>
        </w:rPr>
      </w:lvl>
    </w:lvlOverride>
    <w:lvlOverride w:ilvl="6">
      <w:lvl w:ilvl="6" w:tentative="1">
        <w:start w:val="1"/>
        <w:numFmt w:val="decimal"/>
        <w:isLgl/>
        <w:lvlText w:val="%1.%2.%3.%4.%5.%6.%7"/>
        <w:lvlJc w:val="left"/>
        <w:pPr>
          <w:ind w:left="6192" w:hanging="2160"/>
        </w:pPr>
        <w:rPr>
          <w:rFonts w:hint="default"/>
        </w:rPr>
      </w:lvl>
    </w:lvlOverride>
    <w:lvlOverride w:ilvl="7">
      <w:lvl w:ilvl="7" w:tentative="1">
        <w:start w:val="1"/>
        <w:numFmt w:val="decimal"/>
        <w:isLgl/>
        <w:lvlText w:val="%1.%2.%3.%4.%5.%6.%7.%8"/>
        <w:lvlJc w:val="left"/>
        <w:pPr>
          <w:ind w:left="7154" w:hanging="2520"/>
        </w:pPr>
        <w:rPr>
          <w:rFonts w:hint="default"/>
        </w:rPr>
      </w:lvl>
    </w:lvlOverride>
    <w:lvlOverride w:ilvl="8">
      <w:lvl w:ilvl="8" w:tentative="1">
        <w:start w:val="1"/>
        <w:numFmt w:val="decimal"/>
        <w:isLgl/>
        <w:lvlText w:val="%1.%2.%3.%4.%5.%6.%7.%8.%9"/>
        <w:lvlJc w:val="left"/>
        <w:pPr>
          <w:ind w:left="8116" w:hanging="2880"/>
        </w:pPr>
        <w:rPr>
          <w:rFonts w:hint="default"/>
        </w:rPr>
      </w:lvl>
    </w:lvlOverride>
  </w:num>
  <w:num w:numId="15">
    <w:abstractNumId w:val="3"/>
    <w:lvlOverride w:ilvl="0">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0NDViODgxMGYyMTM5YjQ4MTZkMzhlN2U5ODkzZDkifQ=="/>
  </w:docVars>
  <w:rsids>
    <w:rsidRoot w:val="00A9540B"/>
    <w:rsid w:val="00002B92"/>
    <w:rsid w:val="00006EC6"/>
    <w:rsid w:val="0001158B"/>
    <w:rsid w:val="00013F04"/>
    <w:rsid w:val="00015E64"/>
    <w:rsid w:val="00020419"/>
    <w:rsid w:val="00022C30"/>
    <w:rsid w:val="00022D69"/>
    <w:rsid w:val="00032356"/>
    <w:rsid w:val="00036366"/>
    <w:rsid w:val="0004068E"/>
    <w:rsid w:val="0004365A"/>
    <w:rsid w:val="00044F0B"/>
    <w:rsid w:val="00045CFF"/>
    <w:rsid w:val="00046913"/>
    <w:rsid w:val="00046E06"/>
    <w:rsid w:val="00053E4E"/>
    <w:rsid w:val="000547A4"/>
    <w:rsid w:val="00060BC3"/>
    <w:rsid w:val="00063A48"/>
    <w:rsid w:val="00063E79"/>
    <w:rsid w:val="00065610"/>
    <w:rsid w:val="00072055"/>
    <w:rsid w:val="000728C3"/>
    <w:rsid w:val="000843E0"/>
    <w:rsid w:val="00084C15"/>
    <w:rsid w:val="00085F3F"/>
    <w:rsid w:val="00086E72"/>
    <w:rsid w:val="00087DD0"/>
    <w:rsid w:val="00090DCF"/>
    <w:rsid w:val="000912E8"/>
    <w:rsid w:val="00091574"/>
    <w:rsid w:val="000962BE"/>
    <w:rsid w:val="00097570"/>
    <w:rsid w:val="000A06D5"/>
    <w:rsid w:val="000A2191"/>
    <w:rsid w:val="000A454D"/>
    <w:rsid w:val="000B0EBE"/>
    <w:rsid w:val="000B5819"/>
    <w:rsid w:val="000B5CEB"/>
    <w:rsid w:val="000B66FE"/>
    <w:rsid w:val="000B6C58"/>
    <w:rsid w:val="000C19CD"/>
    <w:rsid w:val="000C2EC8"/>
    <w:rsid w:val="000C36A2"/>
    <w:rsid w:val="000C79F1"/>
    <w:rsid w:val="000D66CC"/>
    <w:rsid w:val="000D7035"/>
    <w:rsid w:val="000D750F"/>
    <w:rsid w:val="000E5E27"/>
    <w:rsid w:val="000E61B3"/>
    <w:rsid w:val="000E6DA2"/>
    <w:rsid w:val="000F1260"/>
    <w:rsid w:val="000F2A87"/>
    <w:rsid w:val="000F6512"/>
    <w:rsid w:val="00104353"/>
    <w:rsid w:val="00105C13"/>
    <w:rsid w:val="00106E0F"/>
    <w:rsid w:val="00116CE4"/>
    <w:rsid w:val="00122735"/>
    <w:rsid w:val="00123FFD"/>
    <w:rsid w:val="00125376"/>
    <w:rsid w:val="00126FFF"/>
    <w:rsid w:val="001272F4"/>
    <w:rsid w:val="00133F6C"/>
    <w:rsid w:val="001344AB"/>
    <w:rsid w:val="00134AE7"/>
    <w:rsid w:val="001374AD"/>
    <w:rsid w:val="00141DCE"/>
    <w:rsid w:val="001446D6"/>
    <w:rsid w:val="001449DF"/>
    <w:rsid w:val="00144A6D"/>
    <w:rsid w:val="001452DE"/>
    <w:rsid w:val="00147211"/>
    <w:rsid w:val="001546DA"/>
    <w:rsid w:val="00154DB8"/>
    <w:rsid w:val="0015688E"/>
    <w:rsid w:val="0015778F"/>
    <w:rsid w:val="001617D8"/>
    <w:rsid w:val="001676B1"/>
    <w:rsid w:val="0017153E"/>
    <w:rsid w:val="00173048"/>
    <w:rsid w:val="00174589"/>
    <w:rsid w:val="001748DD"/>
    <w:rsid w:val="00176282"/>
    <w:rsid w:val="00180C25"/>
    <w:rsid w:val="0018211E"/>
    <w:rsid w:val="001852D3"/>
    <w:rsid w:val="00187A5B"/>
    <w:rsid w:val="0019135B"/>
    <w:rsid w:val="00193BA7"/>
    <w:rsid w:val="0019670E"/>
    <w:rsid w:val="00197605"/>
    <w:rsid w:val="00197CC9"/>
    <w:rsid w:val="001A3AFC"/>
    <w:rsid w:val="001A556D"/>
    <w:rsid w:val="001B0108"/>
    <w:rsid w:val="001B3CCE"/>
    <w:rsid w:val="001B7173"/>
    <w:rsid w:val="001C1B44"/>
    <w:rsid w:val="001C4C33"/>
    <w:rsid w:val="001D1041"/>
    <w:rsid w:val="001D1C4E"/>
    <w:rsid w:val="001D3D08"/>
    <w:rsid w:val="001D658E"/>
    <w:rsid w:val="001D6AAA"/>
    <w:rsid w:val="001E2212"/>
    <w:rsid w:val="001E232D"/>
    <w:rsid w:val="001E3FF9"/>
    <w:rsid w:val="001E4790"/>
    <w:rsid w:val="001F0B11"/>
    <w:rsid w:val="001F134C"/>
    <w:rsid w:val="001F5870"/>
    <w:rsid w:val="001F58E5"/>
    <w:rsid w:val="001F71F4"/>
    <w:rsid w:val="002008EA"/>
    <w:rsid w:val="00201146"/>
    <w:rsid w:val="00205B64"/>
    <w:rsid w:val="00207252"/>
    <w:rsid w:val="00211980"/>
    <w:rsid w:val="00216A9D"/>
    <w:rsid w:val="0022603F"/>
    <w:rsid w:val="00227BE2"/>
    <w:rsid w:val="00232DC2"/>
    <w:rsid w:val="00235038"/>
    <w:rsid w:val="002369B7"/>
    <w:rsid w:val="00237488"/>
    <w:rsid w:val="002660A9"/>
    <w:rsid w:val="002662CD"/>
    <w:rsid w:val="0026652B"/>
    <w:rsid w:val="002701BF"/>
    <w:rsid w:val="002707A7"/>
    <w:rsid w:val="00271185"/>
    <w:rsid w:val="002744E1"/>
    <w:rsid w:val="0027732F"/>
    <w:rsid w:val="00280962"/>
    <w:rsid w:val="00282BB5"/>
    <w:rsid w:val="00283C44"/>
    <w:rsid w:val="00284081"/>
    <w:rsid w:val="002842AD"/>
    <w:rsid w:val="002864D6"/>
    <w:rsid w:val="00286B7E"/>
    <w:rsid w:val="00290FE1"/>
    <w:rsid w:val="002914BD"/>
    <w:rsid w:val="00291AF7"/>
    <w:rsid w:val="00292F76"/>
    <w:rsid w:val="00294788"/>
    <w:rsid w:val="00296451"/>
    <w:rsid w:val="002A2D4C"/>
    <w:rsid w:val="002A7F4B"/>
    <w:rsid w:val="002B1A1A"/>
    <w:rsid w:val="002B1EB3"/>
    <w:rsid w:val="002B3C11"/>
    <w:rsid w:val="002C0D8F"/>
    <w:rsid w:val="002C3C1C"/>
    <w:rsid w:val="002C424F"/>
    <w:rsid w:val="002C623A"/>
    <w:rsid w:val="002D0157"/>
    <w:rsid w:val="002D0385"/>
    <w:rsid w:val="002D2983"/>
    <w:rsid w:val="002D3E13"/>
    <w:rsid w:val="002D41C0"/>
    <w:rsid w:val="002E00D9"/>
    <w:rsid w:val="002E044E"/>
    <w:rsid w:val="002E0C68"/>
    <w:rsid w:val="002E1599"/>
    <w:rsid w:val="002E15E5"/>
    <w:rsid w:val="002E19CD"/>
    <w:rsid w:val="002E4737"/>
    <w:rsid w:val="002E7E90"/>
    <w:rsid w:val="002F0C97"/>
    <w:rsid w:val="002F7D87"/>
    <w:rsid w:val="002F7F94"/>
    <w:rsid w:val="0030118C"/>
    <w:rsid w:val="0030210F"/>
    <w:rsid w:val="00303E2E"/>
    <w:rsid w:val="00304B75"/>
    <w:rsid w:val="00304FD9"/>
    <w:rsid w:val="00314A8E"/>
    <w:rsid w:val="003159CF"/>
    <w:rsid w:val="00320334"/>
    <w:rsid w:val="00322D93"/>
    <w:rsid w:val="00322E47"/>
    <w:rsid w:val="00323785"/>
    <w:rsid w:val="00324137"/>
    <w:rsid w:val="00332053"/>
    <w:rsid w:val="00337AE1"/>
    <w:rsid w:val="00337C1D"/>
    <w:rsid w:val="003421EF"/>
    <w:rsid w:val="00343CF5"/>
    <w:rsid w:val="00346D62"/>
    <w:rsid w:val="00347D04"/>
    <w:rsid w:val="00353DE5"/>
    <w:rsid w:val="003626BA"/>
    <w:rsid w:val="003626D0"/>
    <w:rsid w:val="003630A9"/>
    <w:rsid w:val="00365114"/>
    <w:rsid w:val="003652FC"/>
    <w:rsid w:val="003660C7"/>
    <w:rsid w:val="003667AC"/>
    <w:rsid w:val="003712EC"/>
    <w:rsid w:val="00374637"/>
    <w:rsid w:val="00380DA1"/>
    <w:rsid w:val="00382A56"/>
    <w:rsid w:val="003834FD"/>
    <w:rsid w:val="00384FE8"/>
    <w:rsid w:val="003862EC"/>
    <w:rsid w:val="00386D6B"/>
    <w:rsid w:val="00386DCD"/>
    <w:rsid w:val="0039023C"/>
    <w:rsid w:val="003902D8"/>
    <w:rsid w:val="00391014"/>
    <w:rsid w:val="00394099"/>
    <w:rsid w:val="00394F71"/>
    <w:rsid w:val="00396E8E"/>
    <w:rsid w:val="00397C2E"/>
    <w:rsid w:val="003A1F26"/>
    <w:rsid w:val="003A3667"/>
    <w:rsid w:val="003A40FF"/>
    <w:rsid w:val="003A6B11"/>
    <w:rsid w:val="003A6F11"/>
    <w:rsid w:val="003C06A4"/>
    <w:rsid w:val="003C366A"/>
    <w:rsid w:val="003C4036"/>
    <w:rsid w:val="003C58DD"/>
    <w:rsid w:val="003C5C1C"/>
    <w:rsid w:val="003C611A"/>
    <w:rsid w:val="003D08AE"/>
    <w:rsid w:val="003D38C6"/>
    <w:rsid w:val="003D4FCB"/>
    <w:rsid w:val="003D534F"/>
    <w:rsid w:val="003D6271"/>
    <w:rsid w:val="003E191C"/>
    <w:rsid w:val="003E20CF"/>
    <w:rsid w:val="003F0766"/>
    <w:rsid w:val="003F2FB4"/>
    <w:rsid w:val="003F37CA"/>
    <w:rsid w:val="003F7566"/>
    <w:rsid w:val="003F772B"/>
    <w:rsid w:val="00400196"/>
    <w:rsid w:val="004011A1"/>
    <w:rsid w:val="004037CD"/>
    <w:rsid w:val="00403D23"/>
    <w:rsid w:val="0040446A"/>
    <w:rsid w:val="00405BE2"/>
    <w:rsid w:val="00411737"/>
    <w:rsid w:val="00416534"/>
    <w:rsid w:val="004203F1"/>
    <w:rsid w:val="00422043"/>
    <w:rsid w:val="00426F97"/>
    <w:rsid w:val="00427EF1"/>
    <w:rsid w:val="004324CB"/>
    <w:rsid w:val="00432925"/>
    <w:rsid w:val="004359F8"/>
    <w:rsid w:val="0044087D"/>
    <w:rsid w:val="00447529"/>
    <w:rsid w:val="00452909"/>
    <w:rsid w:val="004532BA"/>
    <w:rsid w:val="00456316"/>
    <w:rsid w:val="00460D22"/>
    <w:rsid w:val="004611C2"/>
    <w:rsid w:val="00462A1C"/>
    <w:rsid w:val="00463DF5"/>
    <w:rsid w:val="00463E8B"/>
    <w:rsid w:val="00467A90"/>
    <w:rsid w:val="00470537"/>
    <w:rsid w:val="0047092F"/>
    <w:rsid w:val="00470E46"/>
    <w:rsid w:val="00471A87"/>
    <w:rsid w:val="004729A1"/>
    <w:rsid w:val="00472D41"/>
    <w:rsid w:val="00476DE2"/>
    <w:rsid w:val="00482235"/>
    <w:rsid w:val="004822E9"/>
    <w:rsid w:val="00482F20"/>
    <w:rsid w:val="004838A7"/>
    <w:rsid w:val="00484126"/>
    <w:rsid w:val="004861EF"/>
    <w:rsid w:val="00487979"/>
    <w:rsid w:val="00491565"/>
    <w:rsid w:val="0049243C"/>
    <w:rsid w:val="00493A06"/>
    <w:rsid w:val="004943B8"/>
    <w:rsid w:val="004A06FB"/>
    <w:rsid w:val="004A19FE"/>
    <w:rsid w:val="004A250E"/>
    <w:rsid w:val="004A3524"/>
    <w:rsid w:val="004A3614"/>
    <w:rsid w:val="004A3C3E"/>
    <w:rsid w:val="004A4F53"/>
    <w:rsid w:val="004A7876"/>
    <w:rsid w:val="004B3519"/>
    <w:rsid w:val="004B3D02"/>
    <w:rsid w:val="004B5FFE"/>
    <w:rsid w:val="004B62FB"/>
    <w:rsid w:val="004B6E70"/>
    <w:rsid w:val="004B7B51"/>
    <w:rsid w:val="004C0385"/>
    <w:rsid w:val="004C4634"/>
    <w:rsid w:val="004C4A5D"/>
    <w:rsid w:val="004C50A9"/>
    <w:rsid w:val="004D2D80"/>
    <w:rsid w:val="004D5FAA"/>
    <w:rsid w:val="004E0772"/>
    <w:rsid w:val="004E1E03"/>
    <w:rsid w:val="004F253D"/>
    <w:rsid w:val="004F457D"/>
    <w:rsid w:val="004F62B4"/>
    <w:rsid w:val="004F6888"/>
    <w:rsid w:val="00502CC8"/>
    <w:rsid w:val="005039E5"/>
    <w:rsid w:val="00504DF1"/>
    <w:rsid w:val="00505B29"/>
    <w:rsid w:val="00507A31"/>
    <w:rsid w:val="005131EA"/>
    <w:rsid w:val="00513CAE"/>
    <w:rsid w:val="00513D27"/>
    <w:rsid w:val="00515300"/>
    <w:rsid w:val="00520F75"/>
    <w:rsid w:val="00524B41"/>
    <w:rsid w:val="0052609B"/>
    <w:rsid w:val="00527E17"/>
    <w:rsid w:val="005302C6"/>
    <w:rsid w:val="005333C5"/>
    <w:rsid w:val="00535C72"/>
    <w:rsid w:val="00540840"/>
    <w:rsid w:val="00540B63"/>
    <w:rsid w:val="00541E80"/>
    <w:rsid w:val="00543171"/>
    <w:rsid w:val="005438C8"/>
    <w:rsid w:val="005438E8"/>
    <w:rsid w:val="00543B17"/>
    <w:rsid w:val="005474F7"/>
    <w:rsid w:val="00547D29"/>
    <w:rsid w:val="00553688"/>
    <w:rsid w:val="00555391"/>
    <w:rsid w:val="00555556"/>
    <w:rsid w:val="00555722"/>
    <w:rsid w:val="00556E12"/>
    <w:rsid w:val="00557650"/>
    <w:rsid w:val="0056089F"/>
    <w:rsid w:val="00561B8E"/>
    <w:rsid w:val="00564076"/>
    <w:rsid w:val="005705A5"/>
    <w:rsid w:val="00571BA6"/>
    <w:rsid w:val="005725FB"/>
    <w:rsid w:val="00574008"/>
    <w:rsid w:val="005748B1"/>
    <w:rsid w:val="00580E0E"/>
    <w:rsid w:val="00581060"/>
    <w:rsid w:val="005814F5"/>
    <w:rsid w:val="005816E5"/>
    <w:rsid w:val="00582012"/>
    <w:rsid w:val="005855A2"/>
    <w:rsid w:val="00587E4A"/>
    <w:rsid w:val="00591007"/>
    <w:rsid w:val="00593E70"/>
    <w:rsid w:val="005A7042"/>
    <w:rsid w:val="005B0519"/>
    <w:rsid w:val="005B0F2A"/>
    <w:rsid w:val="005B10C0"/>
    <w:rsid w:val="005B4F65"/>
    <w:rsid w:val="005B573A"/>
    <w:rsid w:val="005B7AB4"/>
    <w:rsid w:val="005C6E4D"/>
    <w:rsid w:val="005D0D31"/>
    <w:rsid w:val="005E4E1A"/>
    <w:rsid w:val="005E63D9"/>
    <w:rsid w:val="005E7A7C"/>
    <w:rsid w:val="005F5355"/>
    <w:rsid w:val="005F578F"/>
    <w:rsid w:val="005F635B"/>
    <w:rsid w:val="006002BA"/>
    <w:rsid w:val="006005D0"/>
    <w:rsid w:val="0060612A"/>
    <w:rsid w:val="00613BB9"/>
    <w:rsid w:val="0061516A"/>
    <w:rsid w:val="006151EB"/>
    <w:rsid w:val="00615335"/>
    <w:rsid w:val="0061539C"/>
    <w:rsid w:val="00615727"/>
    <w:rsid w:val="00621B48"/>
    <w:rsid w:val="00622F9D"/>
    <w:rsid w:val="006256DA"/>
    <w:rsid w:val="0063029F"/>
    <w:rsid w:val="0063133B"/>
    <w:rsid w:val="00632FA1"/>
    <w:rsid w:val="006338A9"/>
    <w:rsid w:val="00634284"/>
    <w:rsid w:val="0063436C"/>
    <w:rsid w:val="00635A92"/>
    <w:rsid w:val="00637684"/>
    <w:rsid w:val="00640E76"/>
    <w:rsid w:val="0064187B"/>
    <w:rsid w:val="006423F2"/>
    <w:rsid w:val="006426AA"/>
    <w:rsid w:val="00643B90"/>
    <w:rsid w:val="00643E69"/>
    <w:rsid w:val="00650069"/>
    <w:rsid w:val="006562FE"/>
    <w:rsid w:val="00656E27"/>
    <w:rsid w:val="00660156"/>
    <w:rsid w:val="006642CF"/>
    <w:rsid w:val="00664579"/>
    <w:rsid w:val="00666006"/>
    <w:rsid w:val="00666946"/>
    <w:rsid w:val="0066702B"/>
    <w:rsid w:val="00671AE8"/>
    <w:rsid w:val="00671D64"/>
    <w:rsid w:val="00672A04"/>
    <w:rsid w:val="006744FF"/>
    <w:rsid w:val="00680AA6"/>
    <w:rsid w:val="006814ED"/>
    <w:rsid w:val="00681E08"/>
    <w:rsid w:val="006832CD"/>
    <w:rsid w:val="00683860"/>
    <w:rsid w:val="006845EB"/>
    <w:rsid w:val="00684E49"/>
    <w:rsid w:val="006949F7"/>
    <w:rsid w:val="00695D08"/>
    <w:rsid w:val="006A064B"/>
    <w:rsid w:val="006A140B"/>
    <w:rsid w:val="006A2B89"/>
    <w:rsid w:val="006A3FA4"/>
    <w:rsid w:val="006A6695"/>
    <w:rsid w:val="006B0F05"/>
    <w:rsid w:val="006B27D7"/>
    <w:rsid w:val="006C4146"/>
    <w:rsid w:val="006C5E73"/>
    <w:rsid w:val="006C64EF"/>
    <w:rsid w:val="006D0B12"/>
    <w:rsid w:val="006D2092"/>
    <w:rsid w:val="006D20B3"/>
    <w:rsid w:val="006D2168"/>
    <w:rsid w:val="006D2BBB"/>
    <w:rsid w:val="006D319C"/>
    <w:rsid w:val="006D3C81"/>
    <w:rsid w:val="006D3FCA"/>
    <w:rsid w:val="006E03E7"/>
    <w:rsid w:val="006E0939"/>
    <w:rsid w:val="006E516F"/>
    <w:rsid w:val="006F01B9"/>
    <w:rsid w:val="006F1FAD"/>
    <w:rsid w:val="006F342B"/>
    <w:rsid w:val="006F4163"/>
    <w:rsid w:val="006F590E"/>
    <w:rsid w:val="006F6C52"/>
    <w:rsid w:val="006F7297"/>
    <w:rsid w:val="006F72D1"/>
    <w:rsid w:val="00700F99"/>
    <w:rsid w:val="007020DF"/>
    <w:rsid w:val="007027C0"/>
    <w:rsid w:val="00703762"/>
    <w:rsid w:val="00704086"/>
    <w:rsid w:val="00704536"/>
    <w:rsid w:val="00704F4D"/>
    <w:rsid w:val="00704F73"/>
    <w:rsid w:val="00705AE6"/>
    <w:rsid w:val="00705F85"/>
    <w:rsid w:val="0070628E"/>
    <w:rsid w:val="007064D0"/>
    <w:rsid w:val="00706EB4"/>
    <w:rsid w:val="007071C1"/>
    <w:rsid w:val="00715B15"/>
    <w:rsid w:val="00715F02"/>
    <w:rsid w:val="007164DA"/>
    <w:rsid w:val="00717A34"/>
    <w:rsid w:val="00723BF4"/>
    <w:rsid w:val="00725BEE"/>
    <w:rsid w:val="00727F16"/>
    <w:rsid w:val="00727FFB"/>
    <w:rsid w:val="00731356"/>
    <w:rsid w:val="00732CFF"/>
    <w:rsid w:val="00734F4A"/>
    <w:rsid w:val="007358F0"/>
    <w:rsid w:val="00735B7D"/>
    <w:rsid w:val="0074120D"/>
    <w:rsid w:val="00743063"/>
    <w:rsid w:val="00743250"/>
    <w:rsid w:val="00743B37"/>
    <w:rsid w:val="00744263"/>
    <w:rsid w:val="0074662C"/>
    <w:rsid w:val="007506BE"/>
    <w:rsid w:val="00751DC4"/>
    <w:rsid w:val="0075505F"/>
    <w:rsid w:val="00755670"/>
    <w:rsid w:val="007574F4"/>
    <w:rsid w:val="00761A58"/>
    <w:rsid w:val="00761C2F"/>
    <w:rsid w:val="0076371D"/>
    <w:rsid w:val="0076408D"/>
    <w:rsid w:val="00764502"/>
    <w:rsid w:val="00765FC8"/>
    <w:rsid w:val="007666C1"/>
    <w:rsid w:val="007668A3"/>
    <w:rsid w:val="00767464"/>
    <w:rsid w:val="00771856"/>
    <w:rsid w:val="007749A5"/>
    <w:rsid w:val="00774BB5"/>
    <w:rsid w:val="00774BF3"/>
    <w:rsid w:val="00776BA4"/>
    <w:rsid w:val="00783448"/>
    <w:rsid w:val="00783605"/>
    <w:rsid w:val="00784232"/>
    <w:rsid w:val="00784585"/>
    <w:rsid w:val="00785655"/>
    <w:rsid w:val="007856B3"/>
    <w:rsid w:val="00785FD6"/>
    <w:rsid w:val="00792DE4"/>
    <w:rsid w:val="00795CB7"/>
    <w:rsid w:val="00796863"/>
    <w:rsid w:val="00797D35"/>
    <w:rsid w:val="007A136D"/>
    <w:rsid w:val="007A551B"/>
    <w:rsid w:val="007B3DF7"/>
    <w:rsid w:val="007B551C"/>
    <w:rsid w:val="007B5544"/>
    <w:rsid w:val="007B7CC7"/>
    <w:rsid w:val="007C1EA3"/>
    <w:rsid w:val="007C5EC9"/>
    <w:rsid w:val="007D00FD"/>
    <w:rsid w:val="007D01FA"/>
    <w:rsid w:val="007D06FF"/>
    <w:rsid w:val="007D0AA5"/>
    <w:rsid w:val="007D1372"/>
    <w:rsid w:val="007D2C3D"/>
    <w:rsid w:val="007D61E4"/>
    <w:rsid w:val="007E7B7A"/>
    <w:rsid w:val="007E7C8C"/>
    <w:rsid w:val="007F13BF"/>
    <w:rsid w:val="007F2CBA"/>
    <w:rsid w:val="007F4FD3"/>
    <w:rsid w:val="007F6F7F"/>
    <w:rsid w:val="00801211"/>
    <w:rsid w:val="008014F8"/>
    <w:rsid w:val="00802116"/>
    <w:rsid w:val="00804D80"/>
    <w:rsid w:val="00805651"/>
    <w:rsid w:val="00806211"/>
    <w:rsid w:val="0080665B"/>
    <w:rsid w:val="00806D4E"/>
    <w:rsid w:val="00810838"/>
    <w:rsid w:val="00810C7E"/>
    <w:rsid w:val="00812A0D"/>
    <w:rsid w:val="008144D4"/>
    <w:rsid w:val="008145E5"/>
    <w:rsid w:val="00820119"/>
    <w:rsid w:val="00821588"/>
    <w:rsid w:val="00823927"/>
    <w:rsid w:val="00823A81"/>
    <w:rsid w:val="0082711A"/>
    <w:rsid w:val="00831B0B"/>
    <w:rsid w:val="00831B64"/>
    <w:rsid w:val="00832293"/>
    <w:rsid w:val="00833734"/>
    <w:rsid w:val="00834421"/>
    <w:rsid w:val="00835E7B"/>
    <w:rsid w:val="0083664C"/>
    <w:rsid w:val="0083704B"/>
    <w:rsid w:val="00843D10"/>
    <w:rsid w:val="0085312B"/>
    <w:rsid w:val="00861097"/>
    <w:rsid w:val="0086363E"/>
    <w:rsid w:val="008639E6"/>
    <w:rsid w:val="00863A0C"/>
    <w:rsid w:val="00863BA7"/>
    <w:rsid w:val="008665CD"/>
    <w:rsid w:val="00871C3C"/>
    <w:rsid w:val="00874C8E"/>
    <w:rsid w:val="00875776"/>
    <w:rsid w:val="0087658E"/>
    <w:rsid w:val="008773FB"/>
    <w:rsid w:val="00877418"/>
    <w:rsid w:val="00877C19"/>
    <w:rsid w:val="00882587"/>
    <w:rsid w:val="008829DD"/>
    <w:rsid w:val="00886670"/>
    <w:rsid w:val="00893E18"/>
    <w:rsid w:val="00894BFC"/>
    <w:rsid w:val="00894FC8"/>
    <w:rsid w:val="00897F96"/>
    <w:rsid w:val="008A106B"/>
    <w:rsid w:val="008A1413"/>
    <w:rsid w:val="008A22EA"/>
    <w:rsid w:val="008A4461"/>
    <w:rsid w:val="008B0C8E"/>
    <w:rsid w:val="008B189E"/>
    <w:rsid w:val="008C098E"/>
    <w:rsid w:val="008D17A0"/>
    <w:rsid w:val="008D22EA"/>
    <w:rsid w:val="008D7D3B"/>
    <w:rsid w:val="008E1173"/>
    <w:rsid w:val="008E15C6"/>
    <w:rsid w:val="008E7AAA"/>
    <w:rsid w:val="00900082"/>
    <w:rsid w:val="00901EF9"/>
    <w:rsid w:val="009061E3"/>
    <w:rsid w:val="00910524"/>
    <w:rsid w:val="00914A02"/>
    <w:rsid w:val="00915F34"/>
    <w:rsid w:val="00925965"/>
    <w:rsid w:val="00927574"/>
    <w:rsid w:val="00930EA4"/>
    <w:rsid w:val="00932526"/>
    <w:rsid w:val="009342F8"/>
    <w:rsid w:val="009363BA"/>
    <w:rsid w:val="00936924"/>
    <w:rsid w:val="00936C66"/>
    <w:rsid w:val="00941F13"/>
    <w:rsid w:val="00942362"/>
    <w:rsid w:val="00942DA7"/>
    <w:rsid w:val="00943AD1"/>
    <w:rsid w:val="0094409D"/>
    <w:rsid w:val="00945988"/>
    <w:rsid w:val="00954EC1"/>
    <w:rsid w:val="00955136"/>
    <w:rsid w:val="00955318"/>
    <w:rsid w:val="00957308"/>
    <w:rsid w:val="009614DF"/>
    <w:rsid w:val="009646EB"/>
    <w:rsid w:val="0096542F"/>
    <w:rsid w:val="0096637B"/>
    <w:rsid w:val="00966A4E"/>
    <w:rsid w:val="00967E73"/>
    <w:rsid w:val="009705EF"/>
    <w:rsid w:val="00971188"/>
    <w:rsid w:val="0098120A"/>
    <w:rsid w:val="00983210"/>
    <w:rsid w:val="0098380D"/>
    <w:rsid w:val="00984755"/>
    <w:rsid w:val="00987C36"/>
    <w:rsid w:val="009917FB"/>
    <w:rsid w:val="00992CE3"/>
    <w:rsid w:val="009955BB"/>
    <w:rsid w:val="009964B4"/>
    <w:rsid w:val="00997E82"/>
    <w:rsid w:val="009A3CF3"/>
    <w:rsid w:val="009B33DD"/>
    <w:rsid w:val="009B343E"/>
    <w:rsid w:val="009B4C85"/>
    <w:rsid w:val="009C486B"/>
    <w:rsid w:val="009D0AA6"/>
    <w:rsid w:val="009D332F"/>
    <w:rsid w:val="009D5CBC"/>
    <w:rsid w:val="009D68F9"/>
    <w:rsid w:val="009D6ACF"/>
    <w:rsid w:val="009D6B14"/>
    <w:rsid w:val="009E0831"/>
    <w:rsid w:val="009E24E5"/>
    <w:rsid w:val="009E278A"/>
    <w:rsid w:val="009E4013"/>
    <w:rsid w:val="009E5EE8"/>
    <w:rsid w:val="009F099C"/>
    <w:rsid w:val="009F1184"/>
    <w:rsid w:val="009F20EE"/>
    <w:rsid w:val="009F23FE"/>
    <w:rsid w:val="009F6404"/>
    <w:rsid w:val="009F7384"/>
    <w:rsid w:val="00A04A21"/>
    <w:rsid w:val="00A13146"/>
    <w:rsid w:val="00A1343D"/>
    <w:rsid w:val="00A16336"/>
    <w:rsid w:val="00A23B17"/>
    <w:rsid w:val="00A27F02"/>
    <w:rsid w:val="00A304E1"/>
    <w:rsid w:val="00A30632"/>
    <w:rsid w:val="00A3215D"/>
    <w:rsid w:val="00A32658"/>
    <w:rsid w:val="00A32E05"/>
    <w:rsid w:val="00A33CA3"/>
    <w:rsid w:val="00A35BC8"/>
    <w:rsid w:val="00A37A6E"/>
    <w:rsid w:val="00A42863"/>
    <w:rsid w:val="00A4398A"/>
    <w:rsid w:val="00A50D1F"/>
    <w:rsid w:val="00A50F30"/>
    <w:rsid w:val="00A511BC"/>
    <w:rsid w:val="00A54258"/>
    <w:rsid w:val="00A548EC"/>
    <w:rsid w:val="00A60747"/>
    <w:rsid w:val="00A64BBF"/>
    <w:rsid w:val="00A66D58"/>
    <w:rsid w:val="00A70225"/>
    <w:rsid w:val="00A70E7A"/>
    <w:rsid w:val="00A70F3B"/>
    <w:rsid w:val="00A71876"/>
    <w:rsid w:val="00A728EE"/>
    <w:rsid w:val="00A7714F"/>
    <w:rsid w:val="00A83991"/>
    <w:rsid w:val="00A90308"/>
    <w:rsid w:val="00A93961"/>
    <w:rsid w:val="00A94BE5"/>
    <w:rsid w:val="00A9540B"/>
    <w:rsid w:val="00AA00E9"/>
    <w:rsid w:val="00AA06B6"/>
    <w:rsid w:val="00AA18D7"/>
    <w:rsid w:val="00AA19AF"/>
    <w:rsid w:val="00AA4710"/>
    <w:rsid w:val="00AA4EA3"/>
    <w:rsid w:val="00AB2DF6"/>
    <w:rsid w:val="00AB4CB9"/>
    <w:rsid w:val="00AB5AD0"/>
    <w:rsid w:val="00AB7E28"/>
    <w:rsid w:val="00AC0615"/>
    <w:rsid w:val="00AC0A07"/>
    <w:rsid w:val="00AC1529"/>
    <w:rsid w:val="00AC19D5"/>
    <w:rsid w:val="00AC7B5F"/>
    <w:rsid w:val="00AD1ECF"/>
    <w:rsid w:val="00AE040F"/>
    <w:rsid w:val="00AE135F"/>
    <w:rsid w:val="00AE4739"/>
    <w:rsid w:val="00AF08A8"/>
    <w:rsid w:val="00AF0EC1"/>
    <w:rsid w:val="00AF3512"/>
    <w:rsid w:val="00AF456B"/>
    <w:rsid w:val="00AF48B7"/>
    <w:rsid w:val="00AF5E15"/>
    <w:rsid w:val="00AF726D"/>
    <w:rsid w:val="00AF73C4"/>
    <w:rsid w:val="00B01D8C"/>
    <w:rsid w:val="00B121FA"/>
    <w:rsid w:val="00B12997"/>
    <w:rsid w:val="00B20B29"/>
    <w:rsid w:val="00B210E4"/>
    <w:rsid w:val="00B21DA6"/>
    <w:rsid w:val="00B231B8"/>
    <w:rsid w:val="00B25B2F"/>
    <w:rsid w:val="00B2784B"/>
    <w:rsid w:val="00B27EF5"/>
    <w:rsid w:val="00B304E4"/>
    <w:rsid w:val="00B342F7"/>
    <w:rsid w:val="00B36E48"/>
    <w:rsid w:val="00B54429"/>
    <w:rsid w:val="00B544DE"/>
    <w:rsid w:val="00B54EFF"/>
    <w:rsid w:val="00B55E57"/>
    <w:rsid w:val="00B6133C"/>
    <w:rsid w:val="00B61B3F"/>
    <w:rsid w:val="00B621D9"/>
    <w:rsid w:val="00B651EF"/>
    <w:rsid w:val="00B66FED"/>
    <w:rsid w:val="00B67825"/>
    <w:rsid w:val="00B711EB"/>
    <w:rsid w:val="00B73FF3"/>
    <w:rsid w:val="00B74C43"/>
    <w:rsid w:val="00B77B09"/>
    <w:rsid w:val="00B80078"/>
    <w:rsid w:val="00B85D5A"/>
    <w:rsid w:val="00B85D66"/>
    <w:rsid w:val="00B87208"/>
    <w:rsid w:val="00B92A96"/>
    <w:rsid w:val="00B94D48"/>
    <w:rsid w:val="00B95C64"/>
    <w:rsid w:val="00BA0214"/>
    <w:rsid w:val="00BA094C"/>
    <w:rsid w:val="00BA15F1"/>
    <w:rsid w:val="00BA1CD9"/>
    <w:rsid w:val="00BA284F"/>
    <w:rsid w:val="00BA2C98"/>
    <w:rsid w:val="00BA37DA"/>
    <w:rsid w:val="00BA424E"/>
    <w:rsid w:val="00BA54D8"/>
    <w:rsid w:val="00BB63C7"/>
    <w:rsid w:val="00BC1F40"/>
    <w:rsid w:val="00BC3979"/>
    <w:rsid w:val="00BC5CF1"/>
    <w:rsid w:val="00BC5D20"/>
    <w:rsid w:val="00BD0D19"/>
    <w:rsid w:val="00BD167F"/>
    <w:rsid w:val="00BD1F57"/>
    <w:rsid w:val="00BD4400"/>
    <w:rsid w:val="00BD5DFD"/>
    <w:rsid w:val="00BD6234"/>
    <w:rsid w:val="00BD6CC1"/>
    <w:rsid w:val="00BD7D7A"/>
    <w:rsid w:val="00BE2192"/>
    <w:rsid w:val="00BE3F14"/>
    <w:rsid w:val="00BE6CAC"/>
    <w:rsid w:val="00BF47A5"/>
    <w:rsid w:val="00BF6515"/>
    <w:rsid w:val="00BF6892"/>
    <w:rsid w:val="00BF76F7"/>
    <w:rsid w:val="00BF7F13"/>
    <w:rsid w:val="00C00190"/>
    <w:rsid w:val="00C0066F"/>
    <w:rsid w:val="00C00C54"/>
    <w:rsid w:val="00C06B27"/>
    <w:rsid w:val="00C06E41"/>
    <w:rsid w:val="00C07488"/>
    <w:rsid w:val="00C076B6"/>
    <w:rsid w:val="00C11657"/>
    <w:rsid w:val="00C11AF5"/>
    <w:rsid w:val="00C12752"/>
    <w:rsid w:val="00C148D7"/>
    <w:rsid w:val="00C24B92"/>
    <w:rsid w:val="00C25A75"/>
    <w:rsid w:val="00C32E6C"/>
    <w:rsid w:val="00C33E32"/>
    <w:rsid w:val="00C3424B"/>
    <w:rsid w:val="00C364E1"/>
    <w:rsid w:val="00C37C39"/>
    <w:rsid w:val="00C41B2F"/>
    <w:rsid w:val="00C431E9"/>
    <w:rsid w:val="00C50338"/>
    <w:rsid w:val="00C54FAA"/>
    <w:rsid w:val="00C56816"/>
    <w:rsid w:val="00C61AA2"/>
    <w:rsid w:val="00C641BC"/>
    <w:rsid w:val="00C72866"/>
    <w:rsid w:val="00C7299E"/>
    <w:rsid w:val="00C8054F"/>
    <w:rsid w:val="00C80AA0"/>
    <w:rsid w:val="00C84DBA"/>
    <w:rsid w:val="00C86064"/>
    <w:rsid w:val="00C86ACA"/>
    <w:rsid w:val="00C911E7"/>
    <w:rsid w:val="00C92EE3"/>
    <w:rsid w:val="00C94C13"/>
    <w:rsid w:val="00C960DF"/>
    <w:rsid w:val="00CA358A"/>
    <w:rsid w:val="00CA376F"/>
    <w:rsid w:val="00CA3845"/>
    <w:rsid w:val="00CA4CF0"/>
    <w:rsid w:val="00CA5391"/>
    <w:rsid w:val="00CA6FAA"/>
    <w:rsid w:val="00CA6FC3"/>
    <w:rsid w:val="00CB1623"/>
    <w:rsid w:val="00CB16A0"/>
    <w:rsid w:val="00CB1BAA"/>
    <w:rsid w:val="00CB3BB0"/>
    <w:rsid w:val="00CB678C"/>
    <w:rsid w:val="00CB6DCE"/>
    <w:rsid w:val="00CB7963"/>
    <w:rsid w:val="00CC4129"/>
    <w:rsid w:val="00CC6791"/>
    <w:rsid w:val="00CC6932"/>
    <w:rsid w:val="00CC6AEF"/>
    <w:rsid w:val="00CD0765"/>
    <w:rsid w:val="00CD6009"/>
    <w:rsid w:val="00CD6A3E"/>
    <w:rsid w:val="00CE0878"/>
    <w:rsid w:val="00CE0D43"/>
    <w:rsid w:val="00CE1AD8"/>
    <w:rsid w:val="00CE60A5"/>
    <w:rsid w:val="00CE616F"/>
    <w:rsid w:val="00CE6389"/>
    <w:rsid w:val="00CE6D87"/>
    <w:rsid w:val="00CE7AA9"/>
    <w:rsid w:val="00CF1048"/>
    <w:rsid w:val="00CF2F3D"/>
    <w:rsid w:val="00CF387C"/>
    <w:rsid w:val="00CF6730"/>
    <w:rsid w:val="00CF77E6"/>
    <w:rsid w:val="00D0036F"/>
    <w:rsid w:val="00D00B6C"/>
    <w:rsid w:val="00D044D1"/>
    <w:rsid w:val="00D05C9F"/>
    <w:rsid w:val="00D05F82"/>
    <w:rsid w:val="00D0643A"/>
    <w:rsid w:val="00D078F4"/>
    <w:rsid w:val="00D105EC"/>
    <w:rsid w:val="00D10BCA"/>
    <w:rsid w:val="00D11DBE"/>
    <w:rsid w:val="00D1204F"/>
    <w:rsid w:val="00D13971"/>
    <w:rsid w:val="00D14034"/>
    <w:rsid w:val="00D145AE"/>
    <w:rsid w:val="00D15971"/>
    <w:rsid w:val="00D2031C"/>
    <w:rsid w:val="00D21790"/>
    <w:rsid w:val="00D25424"/>
    <w:rsid w:val="00D27A95"/>
    <w:rsid w:val="00D30720"/>
    <w:rsid w:val="00D369EC"/>
    <w:rsid w:val="00D41158"/>
    <w:rsid w:val="00D4305E"/>
    <w:rsid w:val="00D46952"/>
    <w:rsid w:val="00D507F9"/>
    <w:rsid w:val="00D526D5"/>
    <w:rsid w:val="00D53667"/>
    <w:rsid w:val="00D54A9E"/>
    <w:rsid w:val="00D57B54"/>
    <w:rsid w:val="00D57FF4"/>
    <w:rsid w:val="00D61213"/>
    <w:rsid w:val="00D619E3"/>
    <w:rsid w:val="00D61C7F"/>
    <w:rsid w:val="00D67232"/>
    <w:rsid w:val="00D67761"/>
    <w:rsid w:val="00D71723"/>
    <w:rsid w:val="00D746AE"/>
    <w:rsid w:val="00D74EC8"/>
    <w:rsid w:val="00D7578D"/>
    <w:rsid w:val="00D75B18"/>
    <w:rsid w:val="00D82C84"/>
    <w:rsid w:val="00D833E9"/>
    <w:rsid w:val="00D8688A"/>
    <w:rsid w:val="00D868E9"/>
    <w:rsid w:val="00D86B87"/>
    <w:rsid w:val="00D9209E"/>
    <w:rsid w:val="00D920AF"/>
    <w:rsid w:val="00D9290C"/>
    <w:rsid w:val="00D94BEA"/>
    <w:rsid w:val="00DA331F"/>
    <w:rsid w:val="00DA6378"/>
    <w:rsid w:val="00DA7265"/>
    <w:rsid w:val="00DA7E93"/>
    <w:rsid w:val="00DB1C91"/>
    <w:rsid w:val="00DB2A05"/>
    <w:rsid w:val="00DB3F90"/>
    <w:rsid w:val="00DB4535"/>
    <w:rsid w:val="00DB53E9"/>
    <w:rsid w:val="00DB5965"/>
    <w:rsid w:val="00DC15BA"/>
    <w:rsid w:val="00DC5640"/>
    <w:rsid w:val="00DC7393"/>
    <w:rsid w:val="00DC7E21"/>
    <w:rsid w:val="00DD25B1"/>
    <w:rsid w:val="00DD2B3E"/>
    <w:rsid w:val="00DD3470"/>
    <w:rsid w:val="00DD490A"/>
    <w:rsid w:val="00DD6544"/>
    <w:rsid w:val="00DD7891"/>
    <w:rsid w:val="00DE02FF"/>
    <w:rsid w:val="00DE1C0A"/>
    <w:rsid w:val="00DE1FE3"/>
    <w:rsid w:val="00DE361D"/>
    <w:rsid w:val="00DE38D5"/>
    <w:rsid w:val="00DE3CD0"/>
    <w:rsid w:val="00DE4D64"/>
    <w:rsid w:val="00DE54D0"/>
    <w:rsid w:val="00DE6A4C"/>
    <w:rsid w:val="00DF7565"/>
    <w:rsid w:val="00E01A29"/>
    <w:rsid w:val="00E020E3"/>
    <w:rsid w:val="00E02D7C"/>
    <w:rsid w:val="00E05061"/>
    <w:rsid w:val="00E05375"/>
    <w:rsid w:val="00E05AA2"/>
    <w:rsid w:val="00E05DF7"/>
    <w:rsid w:val="00E06F78"/>
    <w:rsid w:val="00E12ABC"/>
    <w:rsid w:val="00E16EF8"/>
    <w:rsid w:val="00E17E90"/>
    <w:rsid w:val="00E2074C"/>
    <w:rsid w:val="00E21827"/>
    <w:rsid w:val="00E23121"/>
    <w:rsid w:val="00E24AEB"/>
    <w:rsid w:val="00E251DD"/>
    <w:rsid w:val="00E263D4"/>
    <w:rsid w:val="00E31D6E"/>
    <w:rsid w:val="00E34F78"/>
    <w:rsid w:val="00E35659"/>
    <w:rsid w:val="00E3728F"/>
    <w:rsid w:val="00E47E29"/>
    <w:rsid w:val="00E53C97"/>
    <w:rsid w:val="00E53DC2"/>
    <w:rsid w:val="00E53FB7"/>
    <w:rsid w:val="00E61782"/>
    <w:rsid w:val="00E65489"/>
    <w:rsid w:val="00E65B94"/>
    <w:rsid w:val="00E752DB"/>
    <w:rsid w:val="00E76B0C"/>
    <w:rsid w:val="00E7748A"/>
    <w:rsid w:val="00E81D63"/>
    <w:rsid w:val="00E83E1A"/>
    <w:rsid w:val="00E85155"/>
    <w:rsid w:val="00E86E85"/>
    <w:rsid w:val="00E90610"/>
    <w:rsid w:val="00E9065F"/>
    <w:rsid w:val="00E908E0"/>
    <w:rsid w:val="00E90AE1"/>
    <w:rsid w:val="00E92061"/>
    <w:rsid w:val="00E92D97"/>
    <w:rsid w:val="00E94631"/>
    <w:rsid w:val="00E958EE"/>
    <w:rsid w:val="00EA00ED"/>
    <w:rsid w:val="00EA19D0"/>
    <w:rsid w:val="00EA442B"/>
    <w:rsid w:val="00EB028F"/>
    <w:rsid w:val="00EB2020"/>
    <w:rsid w:val="00EB271A"/>
    <w:rsid w:val="00EB2E9A"/>
    <w:rsid w:val="00EB5514"/>
    <w:rsid w:val="00EB5979"/>
    <w:rsid w:val="00EC0272"/>
    <w:rsid w:val="00EC0412"/>
    <w:rsid w:val="00EC3B9A"/>
    <w:rsid w:val="00EC3F1F"/>
    <w:rsid w:val="00EC77B4"/>
    <w:rsid w:val="00EC7C0F"/>
    <w:rsid w:val="00ED0FC5"/>
    <w:rsid w:val="00ED23FB"/>
    <w:rsid w:val="00ED2F08"/>
    <w:rsid w:val="00ED383C"/>
    <w:rsid w:val="00ED43E7"/>
    <w:rsid w:val="00ED4984"/>
    <w:rsid w:val="00ED50D2"/>
    <w:rsid w:val="00ED7CCF"/>
    <w:rsid w:val="00EE62E1"/>
    <w:rsid w:val="00EF1E32"/>
    <w:rsid w:val="00EF5CEA"/>
    <w:rsid w:val="00EF66FC"/>
    <w:rsid w:val="00EF7B93"/>
    <w:rsid w:val="00F00AB5"/>
    <w:rsid w:val="00F03630"/>
    <w:rsid w:val="00F03E7F"/>
    <w:rsid w:val="00F05E6A"/>
    <w:rsid w:val="00F07860"/>
    <w:rsid w:val="00F115BB"/>
    <w:rsid w:val="00F13AA6"/>
    <w:rsid w:val="00F144AE"/>
    <w:rsid w:val="00F14951"/>
    <w:rsid w:val="00F14BB3"/>
    <w:rsid w:val="00F16C7C"/>
    <w:rsid w:val="00F2012B"/>
    <w:rsid w:val="00F23520"/>
    <w:rsid w:val="00F2490C"/>
    <w:rsid w:val="00F25A67"/>
    <w:rsid w:val="00F30033"/>
    <w:rsid w:val="00F31441"/>
    <w:rsid w:val="00F33E0A"/>
    <w:rsid w:val="00F34E93"/>
    <w:rsid w:val="00F34EB8"/>
    <w:rsid w:val="00F36240"/>
    <w:rsid w:val="00F37A6B"/>
    <w:rsid w:val="00F406F3"/>
    <w:rsid w:val="00F434E2"/>
    <w:rsid w:val="00F50B90"/>
    <w:rsid w:val="00F50E75"/>
    <w:rsid w:val="00F547B6"/>
    <w:rsid w:val="00F618A1"/>
    <w:rsid w:val="00F65C1C"/>
    <w:rsid w:val="00F701E3"/>
    <w:rsid w:val="00F71494"/>
    <w:rsid w:val="00F7246A"/>
    <w:rsid w:val="00F737DC"/>
    <w:rsid w:val="00F77026"/>
    <w:rsid w:val="00F87BFA"/>
    <w:rsid w:val="00F90AAE"/>
    <w:rsid w:val="00F91464"/>
    <w:rsid w:val="00F96807"/>
    <w:rsid w:val="00F971C6"/>
    <w:rsid w:val="00FA182B"/>
    <w:rsid w:val="00FA3460"/>
    <w:rsid w:val="00FB5410"/>
    <w:rsid w:val="00FB6BDB"/>
    <w:rsid w:val="00FC1EA7"/>
    <w:rsid w:val="00FC2C5C"/>
    <w:rsid w:val="00FC39F2"/>
    <w:rsid w:val="00FC5AAC"/>
    <w:rsid w:val="00FC782B"/>
    <w:rsid w:val="00FD1BA6"/>
    <w:rsid w:val="00FD1DAF"/>
    <w:rsid w:val="00FD2218"/>
    <w:rsid w:val="00FD3C0C"/>
    <w:rsid w:val="00FD793A"/>
    <w:rsid w:val="00FD79D4"/>
    <w:rsid w:val="00FE0915"/>
    <w:rsid w:val="00FE4BBB"/>
    <w:rsid w:val="00FE7A1F"/>
    <w:rsid w:val="00FF0470"/>
    <w:rsid w:val="00FF0872"/>
    <w:rsid w:val="00FF7278"/>
    <w:rsid w:val="02AB44D2"/>
    <w:rsid w:val="03225CE9"/>
    <w:rsid w:val="05D55353"/>
    <w:rsid w:val="06067491"/>
    <w:rsid w:val="06D63183"/>
    <w:rsid w:val="0768359A"/>
    <w:rsid w:val="07E1187B"/>
    <w:rsid w:val="08E6788B"/>
    <w:rsid w:val="09FC441C"/>
    <w:rsid w:val="0ABA0966"/>
    <w:rsid w:val="0BAD1FF1"/>
    <w:rsid w:val="0D01355C"/>
    <w:rsid w:val="0D191B48"/>
    <w:rsid w:val="0E430D98"/>
    <w:rsid w:val="0F0D4F7C"/>
    <w:rsid w:val="109C4359"/>
    <w:rsid w:val="10FF4498"/>
    <w:rsid w:val="11100A55"/>
    <w:rsid w:val="129743A6"/>
    <w:rsid w:val="13901EB6"/>
    <w:rsid w:val="139D56E3"/>
    <w:rsid w:val="13EE1626"/>
    <w:rsid w:val="1738699F"/>
    <w:rsid w:val="1A0F5BA1"/>
    <w:rsid w:val="1B3C2E99"/>
    <w:rsid w:val="1BA24C47"/>
    <w:rsid w:val="1BE37A66"/>
    <w:rsid w:val="1C593354"/>
    <w:rsid w:val="1EE47F71"/>
    <w:rsid w:val="22924012"/>
    <w:rsid w:val="23E26A49"/>
    <w:rsid w:val="23FB7A24"/>
    <w:rsid w:val="24DA321E"/>
    <w:rsid w:val="25926ADC"/>
    <w:rsid w:val="27556A94"/>
    <w:rsid w:val="2794473E"/>
    <w:rsid w:val="2829546D"/>
    <w:rsid w:val="284B0B5E"/>
    <w:rsid w:val="28E20BF3"/>
    <w:rsid w:val="29C67A56"/>
    <w:rsid w:val="29F82133"/>
    <w:rsid w:val="2A884CF3"/>
    <w:rsid w:val="2D922411"/>
    <w:rsid w:val="2EA14149"/>
    <w:rsid w:val="2F507A5C"/>
    <w:rsid w:val="3015556A"/>
    <w:rsid w:val="309B2488"/>
    <w:rsid w:val="30D14E34"/>
    <w:rsid w:val="31777E14"/>
    <w:rsid w:val="31E3141A"/>
    <w:rsid w:val="34115836"/>
    <w:rsid w:val="36227C9F"/>
    <w:rsid w:val="3684748F"/>
    <w:rsid w:val="36A716A8"/>
    <w:rsid w:val="37171C58"/>
    <w:rsid w:val="39AD5B9E"/>
    <w:rsid w:val="3ADB6B9A"/>
    <w:rsid w:val="3B1F2A23"/>
    <w:rsid w:val="3B60677A"/>
    <w:rsid w:val="3BA62F63"/>
    <w:rsid w:val="3D58438F"/>
    <w:rsid w:val="3E794BBE"/>
    <w:rsid w:val="41773D8F"/>
    <w:rsid w:val="41B6355B"/>
    <w:rsid w:val="42D02437"/>
    <w:rsid w:val="433F10AF"/>
    <w:rsid w:val="435A1C08"/>
    <w:rsid w:val="449175CA"/>
    <w:rsid w:val="453F2418"/>
    <w:rsid w:val="45887A15"/>
    <w:rsid w:val="498738A0"/>
    <w:rsid w:val="499375A8"/>
    <w:rsid w:val="4A245AD1"/>
    <w:rsid w:val="4BB00515"/>
    <w:rsid w:val="4D10745B"/>
    <w:rsid w:val="4D281451"/>
    <w:rsid w:val="4DEF0CF2"/>
    <w:rsid w:val="50B667D3"/>
    <w:rsid w:val="51830277"/>
    <w:rsid w:val="51BA0A47"/>
    <w:rsid w:val="55807CE3"/>
    <w:rsid w:val="558C5230"/>
    <w:rsid w:val="55B86BD7"/>
    <w:rsid w:val="56023A7C"/>
    <w:rsid w:val="561E06D5"/>
    <w:rsid w:val="56647E66"/>
    <w:rsid w:val="58D34B1A"/>
    <w:rsid w:val="58D95ECE"/>
    <w:rsid w:val="5CB17154"/>
    <w:rsid w:val="61C405C9"/>
    <w:rsid w:val="64972B34"/>
    <w:rsid w:val="65771A1C"/>
    <w:rsid w:val="65B4597B"/>
    <w:rsid w:val="664B0EB8"/>
    <w:rsid w:val="67786A9E"/>
    <w:rsid w:val="67905D62"/>
    <w:rsid w:val="68106E07"/>
    <w:rsid w:val="694041B3"/>
    <w:rsid w:val="69605A13"/>
    <w:rsid w:val="69EF51EA"/>
    <w:rsid w:val="6DA31E1B"/>
    <w:rsid w:val="6EE45F1C"/>
    <w:rsid w:val="70180DF5"/>
    <w:rsid w:val="71951D5D"/>
    <w:rsid w:val="72D9773C"/>
    <w:rsid w:val="7361259F"/>
    <w:rsid w:val="73622CA9"/>
    <w:rsid w:val="740D6EC0"/>
    <w:rsid w:val="741457EF"/>
    <w:rsid w:val="7458516D"/>
    <w:rsid w:val="747E747A"/>
    <w:rsid w:val="79815C5D"/>
    <w:rsid w:val="7A2C137B"/>
    <w:rsid w:val="7A503511"/>
    <w:rsid w:val="7B947789"/>
    <w:rsid w:val="7E6E38B3"/>
    <w:rsid w:val="7F65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imes New Roman"/>
      <w:kern w:val="2"/>
      <w:sz w:val="30"/>
      <w:szCs w:val="22"/>
      <w:lang w:val="en-US" w:eastAsia="zh-CN" w:bidi="ar-SA"/>
    </w:rPr>
  </w:style>
  <w:style w:type="paragraph" w:styleId="2">
    <w:name w:val="heading 1"/>
    <w:basedOn w:val="1"/>
    <w:next w:val="1"/>
    <w:link w:val="35"/>
    <w:qFormat/>
    <w:uiPriority w:val="9"/>
    <w:pPr>
      <w:keepNext/>
      <w:keepLines/>
      <w:numPr>
        <w:ilvl w:val="0"/>
        <w:numId w:val="1"/>
      </w:numPr>
      <w:ind w:firstLine="0" w:firstLineChars="0"/>
      <w:outlineLvl w:val="0"/>
    </w:pPr>
    <w:rPr>
      <w:rFonts w:eastAsia="黑体"/>
      <w:kern w:val="44"/>
    </w:rPr>
  </w:style>
  <w:style w:type="paragraph" w:styleId="3">
    <w:name w:val="heading 2"/>
    <w:basedOn w:val="1"/>
    <w:next w:val="1"/>
    <w:link w:val="36"/>
    <w:unhideWhenUsed/>
    <w:qFormat/>
    <w:uiPriority w:val="9"/>
    <w:pPr>
      <w:keepNext/>
      <w:keepLines/>
      <w:numPr>
        <w:ilvl w:val="0"/>
        <w:numId w:val="2"/>
      </w:numPr>
      <w:ind w:firstLine="0" w:firstLineChars="0"/>
      <w:outlineLvl w:val="1"/>
    </w:pPr>
    <w:rPr>
      <w:rFonts w:ascii="Arial" w:hAnsi="Arial" w:eastAsia="楷体"/>
      <w:b/>
    </w:rPr>
  </w:style>
  <w:style w:type="paragraph" w:styleId="4">
    <w:name w:val="heading 3"/>
    <w:basedOn w:val="1"/>
    <w:next w:val="1"/>
    <w:link w:val="37"/>
    <w:unhideWhenUsed/>
    <w:qFormat/>
    <w:uiPriority w:val="9"/>
    <w:pPr>
      <w:keepNext/>
      <w:keepLines/>
      <w:numPr>
        <w:ilvl w:val="0"/>
        <w:numId w:val="3"/>
      </w:numPr>
      <w:adjustRightInd w:val="0"/>
      <w:ind w:firstLine="0" w:firstLineChars="0"/>
      <w:jc w:val="left"/>
      <w:outlineLvl w:val="2"/>
    </w:pPr>
    <w:rPr>
      <w:b/>
    </w:rPr>
  </w:style>
  <w:style w:type="paragraph" w:styleId="5">
    <w:name w:val="heading 4"/>
    <w:basedOn w:val="1"/>
    <w:next w:val="1"/>
    <w:link w:val="38"/>
    <w:unhideWhenUsed/>
    <w:qFormat/>
    <w:uiPriority w:val="9"/>
    <w:pPr>
      <w:keepNext/>
      <w:keepLines/>
      <w:numPr>
        <w:ilvl w:val="0"/>
        <w:numId w:val="4"/>
      </w:numPr>
      <w:ind w:firstLine="0" w:firstLineChars="0"/>
      <w:outlineLvl w:val="3"/>
    </w:pPr>
    <w:rPr>
      <w:b/>
    </w:rPr>
  </w:style>
  <w:style w:type="paragraph" w:styleId="6">
    <w:name w:val="heading 5"/>
    <w:basedOn w:val="1"/>
    <w:next w:val="1"/>
    <w:link w:val="39"/>
    <w:unhideWhenUsed/>
    <w:qFormat/>
    <w:uiPriority w:val="9"/>
    <w:pPr>
      <w:keepNext/>
      <w:keepLines/>
      <w:spacing w:before="280" w:after="290" w:line="372" w:lineRule="auto"/>
      <w:outlineLvl w:val="4"/>
    </w:pPr>
    <w:rPr>
      <w:b/>
      <w:sz w:val="28"/>
    </w:rPr>
  </w:style>
  <w:style w:type="paragraph" w:styleId="7">
    <w:name w:val="heading 6"/>
    <w:basedOn w:val="1"/>
    <w:next w:val="1"/>
    <w:link w:val="40"/>
    <w:unhideWhenUsed/>
    <w:qFormat/>
    <w:uiPriority w:val="9"/>
    <w:pPr>
      <w:keepNext/>
      <w:keepLines/>
      <w:ind w:firstLine="0" w:firstLineChars="0"/>
      <w:jc w:val="center"/>
      <w:outlineLvl w:val="5"/>
    </w:pPr>
    <w:rPr>
      <w:rFonts w:ascii="Arial" w:hAnsi="Arial" w:eastAsia="方正小标宋简体"/>
      <w:sz w:val="44"/>
    </w:rPr>
  </w:style>
  <w:style w:type="paragraph" w:styleId="8">
    <w:name w:val="heading 7"/>
    <w:basedOn w:val="1"/>
    <w:next w:val="1"/>
    <w:link w:val="41"/>
    <w:unhideWhenUsed/>
    <w:qFormat/>
    <w:uiPriority w:val="0"/>
    <w:pPr>
      <w:keepNext/>
      <w:keepLines/>
      <w:spacing w:before="240" w:after="64" w:line="317" w:lineRule="auto"/>
      <w:outlineLvl w:val="6"/>
    </w:pPr>
    <w:rPr>
      <w:b/>
      <w:sz w:val="24"/>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9">
    <w:name w:val="toc 7"/>
    <w:basedOn w:val="1"/>
    <w:next w:val="1"/>
    <w:unhideWhenUsed/>
    <w:qFormat/>
    <w:uiPriority w:val="39"/>
    <w:pPr>
      <w:ind w:left="1800"/>
      <w:jc w:val="left"/>
    </w:pPr>
    <w:rPr>
      <w:rFonts w:asciiTheme="minorHAnsi" w:hAnsiTheme="minorHAnsi"/>
      <w:sz w:val="20"/>
      <w:szCs w:val="20"/>
    </w:rPr>
  </w:style>
  <w:style w:type="paragraph" w:styleId="10">
    <w:name w:val="annotation text"/>
    <w:basedOn w:val="1"/>
    <w:link w:val="42"/>
    <w:unhideWhenUsed/>
    <w:qFormat/>
    <w:uiPriority w:val="0"/>
    <w:pPr>
      <w:jc w:val="left"/>
    </w:pPr>
  </w:style>
  <w:style w:type="paragraph" w:styleId="11">
    <w:name w:val="toc 5"/>
    <w:basedOn w:val="1"/>
    <w:next w:val="1"/>
    <w:unhideWhenUsed/>
    <w:qFormat/>
    <w:uiPriority w:val="39"/>
    <w:pPr>
      <w:ind w:left="1200"/>
      <w:jc w:val="left"/>
    </w:pPr>
    <w:rPr>
      <w:rFonts w:asciiTheme="minorHAnsi" w:hAnsiTheme="minorHAnsi"/>
      <w:sz w:val="20"/>
      <w:szCs w:val="20"/>
    </w:rPr>
  </w:style>
  <w:style w:type="paragraph" w:styleId="12">
    <w:name w:val="toc 3"/>
    <w:basedOn w:val="1"/>
    <w:next w:val="1"/>
    <w:unhideWhenUsed/>
    <w:qFormat/>
    <w:uiPriority w:val="39"/>
    <w:pPr>
      <w:ind w:left="600"/>
      <w:jc w:val="left"/>
    </w:pPr>
    <w:rPr>
      <w:rFonts w:asciiTheme="minorHAnsi" w:hAnsiTheme="minorHAnsi"/>
      <w:sz w:val="20"/>
      <w:szCs w:val="20"/>
    </w:rPr>
  </w:style>
  <w:style w:type="paragraph" w:styleId="13">
    <w:name w:val="toc 8"/>
    <w:basedOn w:val="1"/>
    <w:next w:val="1"/>
    <w:unhideWhenUsed/>
    <w:qFormat/>
    <w:uiPriority w:val="39"/>
    <w:pPr>
      <w:ind w:left="2100"/>
      <w:jc w:val="left"/>
    </w:pPr>
    <w:rPr>
      <w:rFonts w:asciiTheme="minorHAnsi" w:hAnsiTheme="minorHAnsi"/>
      <w:sz w:val="20"/>
      <w:szCs w:val="20"/>
    </w:rPr>
  </w:style>
  <w:style w:type="paragraph" w:styleId="14">
    <w:name w:val="Balloon Text"/>
    <w:basedOn w:val="1"/>
    <w:link w:val="43"/>
    <w:qFormat/>
    <w:uiPriority w:val="0"/>
    <w:pPr>
      <w:spacing w:line="240" w:lineRule="auto"/>
    </w:pPr>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240" w:after="120"/>
      <w:jc w:val="left"/>
    </w:pPr>
    <w:rPr>
      <w:rFonts w:asciiTheme="minorHAnsi" w:hAnsiTheme="minorHAnsi"/>
      <w:b/>
      <w:bCs/>
      <w:sz w:val="20"/>
      <w:szCs w:val="20"/>
    </w:rPr>
  </w:style>
  <w:style w:type="paragraph" w:styleId="18">
    <w:name w:val="toc 4"/>
    <w:basedOn w:val="1"/>
    <w:next w:val="1"/>
    <w:unhideWhenUsed/>
    <w:qFormat/>
    <w:uiPriority w:val="39"/>
    <w:pPr>
      <w:ind w:left="900"/>
      <w:jc w:val="left"/>
    </w:pPr>
    <w:rPr>
      <w:rFonts w:asciiTheme="minorHAnsi" w:hAnsiTheme="minorHAnsi"/>
      <w:sz w:val="20"/>
      <w:szCs w:val="20"/>
    </w:rPr>
  </w:style>
  <w:style w:type="paragraph" w:styleId="19">
    <w:name w:val="toc 6"/>
    <w:basedOn w:val="1"/>
    <w:next w:val="1"/>
    <w:unhideWhenUsed/>
    <w:qFormat/>
    <w:uiPriority w:val="39"/>
    <w:pPr>
      <w:ind w:left="1500"/>
      <w:jc w:val="left"/>
    </w:pPr>
    <w:rPr>
      <w:rFonts w:asciiTheme="minorHAnsi" w:hAnsiTheme="minorHAnsi"/>
      <w:sz w:val="20"/>
      <w:szCs w:val="20"/>
    </w:rPr>
  </w:style>
  <w:style w:type="paragraph" w:styleId="20">
    <w:name w:val="toc 2"/>
    <w:basedOn w:val="1"/>
    <w:next w:val="1"/>
    <w:unhideWhenUsed/>
    <w:qFormat/>
    <w:uiPriority w:val="39"/>
    <w:pPr>
      <w:spacing w:before="120"/>
      <w:ind w:left="300"/>
      <w:jc w:val="left"/>
    </w:pPr>
    <w:rPr>
      <w:rFonts w:asciiTheme="minorHAnsi" w:hAnsiTheme="minorHAnsi"/>
      <w:i/>
      <w:iCs/>
      <w:sz w:val="20"/>
      <w:szCs w:val="20"/>
    </w:rPr>
  </w:style>
  <w:style w:type="paragraph" w:styleId="21">
    <w:name w:val="toc 9"/>
    <w:basedOn w:val="1"/>
    <w:next w:val="1"/>
    <w:unhideWhenUsed/>
    <w:qFormat/>
    <w:uiPriority w:val="39"/>
    <w:pPr>
      <w:ind w:left="2400"/>
      <w:jc w:val="left"/>
    </w:pPr>
    <w:rPr>
      <w:rFonts w:asciiTheme="minorHAnsi" w:hAnsiTheme="minorHAnsi"/>
      <w:sz w:val="20"/>
      <w:szCs w:val="20"/>
    </w:rPr>
  </w:style>
  <w:style w:type="paragraph" w:styleId="22">
    <w:name w:val="HTML Preformatted"/>
    <w:basedOn w:val="1"/>
    <w:link w:val="44"/>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23">
    <w:name w:val="Title"/>
    <w:basedOn w:val="1"/>
    <w:next w:val="1"/>
    <w:link w:val="45"/>
    <w:qFormat/>
    <w:uiPriority w:val="0"/>
    <w:pPr>
      <w:spacing w:before="240" w:after="60"/>
      <w:jc w:val="center"/>
      <w:outlineLvl w:val="0"/>
    </w:pPr>
    <w:rPr>
      <w:rFonts w:asciiTheme="majorHAnsi" w:hAnsiTheme="majorHAnsi" w:eastAsiaTheme="majorEastAsia" w:cstheme="majorBidi"/>
      <w:b/>
      <w:bCs/>
      <w:sz w:val="32"/>
      <w:szCs w:val="32"/>
    </w:rPr>
  </w:style>
  <w:style w:type="paragraph" w:styleId="24">
    <w:name w:val="annotation subject"/>
    <w:basedOn w:val="10"/>
    <w:next w:val="10"/>
    <w:link w:val="77"/>
    <w:unhideWhenUsed/>
    <w:qFormat/>
    <w:uiPriority w:val="99"/>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basedOn w:val="27"/>
    <w:unhideWhenUsed/>
    <w:qFormat/>
    <w:uiPriority w:val="99"/>
    <w:rPr>
      <w:color w:val="954F72" w:themeColor="followedHyperlink"/>
      <w:u w:val="single"/>
      <w14:textFill>
        <w14:solidFill>
          <w14:schemeClr w14:val="folHlink"/>
        </w14:solidFill>
      </w14:textFill>
    </w:rPr>
  </w:style>
  <w:style w:type="character" w:styleId="30">
    <w:name w:val="Emphasis"/>
    <w:qFormat/>
    <w:uiPriority w:val="0"/>
    <w:rPr>
      <w:rFonts w:ascii="Times New Roman" w:hAnsi="Times New Roman" w:eastAsia="楷体_GB2312"/>
      <w:b/>
      <w:sz w:val="24"/>
    </w:rPr>
  </w:style>
  <w:style w:type="character" w:styleId="31">
    <w:name w:val="Hyperlink"/>
    <w:basedOn w:val="27"/>
    <w:unhideWhenUsed/>
    <w:qFormat/>
    <w:uiPriority w:val="99"/>
    <w:rPr>
      <w:color w:val="0563C1" w:themeColor="hyperlink"/>
      <w:u w:val="single"/>
      <w14:textFill>
        <w14:solidFill>
          <w14:schemeClr w14:val="hlink"/>
        </w14:solidFill>
      </w14:textFill>
    </w:rPr>
  </w:style>
  <w:style w:type="character" w:styleId="32">
    <w:name w:val="annotation reference"/>
    <w:basedOn w:val="27"/>
    <w:unhideWhenUsed/>
    <w:qFormat/>
    <w:uiPriority w:val="0"/>
    <w:rPr>
      <w:sz w:val="21"/>
      <w:szCs w:val="21"/>
    </w:rPr>
  </w:style>
  <w:style w:type="character" w:customStyle="1" w:styleId="33">
    <w:name w:val="页眉 字符"/>
    <w:basedOn w:val="27"/>
    <w:link w:val="16"/>
    <w:qFormat/>
    <w:uiPriority w:val="99"/>
    <w:rPr>
      <w:sz w:val="18"/>
      <w:szCs w:val="18"/>
    </w:rPr>
  </w:style>
  <w:style w:type="character" w:customStyle="1" w:styleId="34">
    <w:name w:val="页脚 字符"/>
    <w:basedOn w:val="27"/>
    <w:link w:val="15"/>
    <w:qFormat/>
    <w:uiPriority w:val="99"/>
    <w:rPr>
      <w:sz w:val="18"/>
      <w:szCs w:val="18"/>
    </w:rPr>
  </w:style>
  <w:style w:type="character" w:customStyle="1" w:styleId="35">
    <w:name w:val="标题 1 字符"/>
    <w:basedOn w:val="27"/>
    <w:link w:val="2"/>
    <w:qFormat/>
    <w:uiPriority w:val="9"/>
    <w:rPr>
      <w:rFonts w:ascii="仿宋_GB2312" w:hAnsi="仿宋_GB2312" w:eastAsia="黑体" w:cs="Times New Roman"/>
      <w:kern w:val="44"/>
      <w:sz w:val="30"/>
    </w:rPr>
  </w:style>
  <w:style w:type="character" w:customStyle="1" w:styleId="36">
    <w:name w:val="标题 2 字符"/>
    <w:basedOn w:val="27"/>
    <w:link w:val="3"/>
    <w:qFormat/>
    <w:uiPriority w:val="9"/>
    <w:rPr>
      <w:rFonts w:ascii="Arial" w:hAnsi="Arial" w:eastAsia="楷体" w:cs="Times New Roman"/>
      <w:b/>
      <w:sz w:val="30"/>
    </w:rPr>
  </w:style>
  <w:style w:type="character" w:customStyle="1" w:styleId="37">
    <w:name w:val="标题 3 字符"/>
    <w:basedOn w:val="27"/>
    <w:link w:val="4"/>
    <w:qFormat/>
    <w:uiPriority w:val="9"/>
    <w:rPr>
      <w:rFonts w:ascii="仿宋_GB2312" w:hAnsi="仿宋_GB2312" w:eastAsia="仿宋_GB2312" w:cs="Times New Roman"/>
      <w:b/>
      <w:sz w:val="30"/>
    </w:rPr>
  </w:style>
  <w:style w:type="character" w:customStyle="1" w:styleId="38">
    <w:name w:val="标题 4 字符"/>
    <w:basedOn w:val="27"/>
    <w:link w:val="5"/>
    <w:qFormat/>
    <w:uiPriority w:val="9"/>
    <w:rPr>
      <w:rFonts w:ascii="仿宋_GB2312" w:hAnsi="仿宋_GB2312" w:eastAsia="仿宋_GB2312" w:cs="Times New Roman"/>
      <w:b/>
      <w:sz w:val="30"/>
    </w:rPr>
  </w:style>
  <w:style w:type="character" w:customStyle="1" w:styleId="39">
    <w:name w:val="标题 5 字符"/>
    <w:basedOn w:val="27"/>
    <w:link w:val="6"/>
    <w:qFormat/>
    <w:uiPriority w:val="9"/>
    <w:rPr>
      <w:rFonts w:ascii="仿宋_GB2312" w:hAnsi="仿宋_GB2312" w:eastAsia="仿宋_GB2312" w:cs="Times New Roman"/>
      <w:b/>
      <w:sz w:val="28"/>
    </w:rPr>
  </w:style>
  <w:style w:type="character" w:customStyle="1" w:styleId="40">
    <w:name w:val="标题 6 字符"/>
    <w:basedOn w:val="27"/>
    <w:link w:val="7"/>
    <w:qFormat/>
    <w:uiPriority w:val="9"/>
    <w:rPr>
      <w:rFonts w:ascii="Arial" w:hAnsi="Arial" w:eastAsia="方正小标宋简体" w:cs="Times New Roman"/>
      <w:sz w:val="44"/>
    </w:rPr>
  </w:style>
  <w:style w:type="character" w:customStyle="1" w:styleId="41">
    <w:name w:val="标题 7 字符"/>
    <w:basedOn w:val="27"/>
    <w:link w:val="8"/>
    <w:qFormat/>
    <w:uiPriority w:val="0"/>
    <w:rPr>
      <w:rFonts w:ascii="仿宋_GB2312" w:hAnsi="仿宋_GB2312" w:eastAsia="仿宋_GB2312" w:cs="Times New Roman"/>
      <w:b/>
      <w:sz w:val="24"/>
    </w:rPr>
  </w:style>
  <w:style w:type="character" w:customStyle="1" w:styleId="42">
    <w:name w:val="批注文字 字符"/>
    <w:basedOn w:val="27"/>
    <w:link w:val="10"/>
    <w:qFormat/>
    <w:uiPriority w:val="0"/>
    <w:rPr>
      <w:rFonts w:ascii="仿宋_GB2312" w:hAnsi="仿宋_GB2312" w:eastAsia="仿宋_GB2312" w:cs="Times New Roman"/>
      <w:sz w:val="30"/>
    </w:rPr>
  </w:style>
  <w:style w:type="character" w:customStyle="1" w:styleId="43">
    <w:name w:val="批注框文本 字符"/>
    <w:basedOn w:val="27"/>
    <w:link w:val="14"/>
    <w:qFormat/>
    <w:uiPriority w:val="0"/>
    <w:rPr>
      <w:rFonts w:ascii="仿宋_GB2312" w:hAnsi="仿宋_GB2312" w:eastAsia="仿宋_GB2312" w:cs="Times New Roman"/>
      <w:sz w:val="18"/>
      <w:szCs w:val="18"/>
    </w:rPr>
  </w:style>
  <w:style w:type="character" w:customStyle="1" w:styleId="44">
    <w:name w:val="HTML 预设格式 字符"/>
    <w:basedOn w:val="27"/>
    <w:link w:val="22"/>
    <w:qFormat/>
    <w:uiPriority w:val="0"/>
    <w:rPr>
      <w:rFonts w:ascii="宋体" w:hAnsi="宋体" w:eastAsia="宋体" w:cs="Times New Roman"/>
      <w:kern w:val="0"/>
      <w:sz w:val="24"/>
      <w:szCs w:val="24"/>
    </w:rPr>
  </w:style>
  <w:style w:type="character" w:customStyle="1" w:styleId="45">
    <w:name w:val="标题 字符"/>
    <w:basedOn w:val="27"/>
    <w:link w:val="23"/>
    <w:qFormat/>
    <w:uiPriority w:val="0"/>
    <w:rPr>
      <w:rFonts w:asciiTheme="majorHAnsi" w:hAnsiTheme="majorHAnsi" w:eastAsiaTheme="majorEastAsia" w:cstheme="majorBidi"/>
      <w:b/>
      <w:bCs/>
      <w:sz w:val="32"/>
      <w:szCs w:val="32"/>
    </w:rPr>
  </w:style>
  <w:style w:type="paragraph" w:customStyle="1" w:styleId="46">
    <w:name w:val="表头2"/>
    <w:basedOn w:val="47"/>
    <w:qFormat/>
    <w:uiPriority w:val="0"/>
    <w:rPr>
      <w:sz w:val="21"/>
    </w:rPr>
  </w:style>
  <w:style w:type="paragraph" w:customStyle="1" w:styleId="47">
    <w:name w:val="表头"/>
    <w:basedOn w:val="48"/>
    <w:link w:val="49"/>
    <w:qFormat/>
    <w:uiPriority w:val="0"/>
    <w:pPr>
      <w:jc w:val="center"/>
    </w:pPr>
    <w:rPr>
      <w:b/>
      <w:sz w:val="24"/>
    </w:rPr>
  </w:style>
  <w:style w:type="paragraph" w:customStyle="1" w:styleId="48">
    <w:name w:val="表格"/>
    <w:basedOn w:val="1"/>
    <w:qFormat/>
    <w:uiPriority w:val="0"/>
    <w:pPr>
      <w:spacing w:line="288" w:lineRule="auto"/>
    </w:pPr>
    <w:rPr>
      <w:rFonts w:ascii="Times New Roman" w:hAnsi="Times New Roman" w:eastAsia="宋体"/>
      <w:sz w:val="21"/>
    </w:rPr>
  </w:style>
  <w:style w:type="character" w:customStyle="1" w:styleId="49">
    <w:name w:val="表头 Char Char"/>
    <w:link w:val="47"/>
    <w:qFormat/>
    <w:uiPriority w:val="0"/>
    <w:rPr>
      <w:rFonts w:ascii="Times New Roman" w:hAnsi="Times New Roman" w:eastAsia="宋体" w:cs="Times New Roman"/>
      <w:b/>
      <w:sz w:val="24"/>
    </w:rPr>
  </w:style>
  <w:style w:type="paragraph" w:customStyle="1" w:styleId="50">
    <w:name w:val="正文1"/>
    <w:basedOn w:val="1"/>
    <w:qFormat/>
    <w:uiPriority w:val="0"/>
    <w:pPr>
      <w:ind w:firstLine="600"/>
    </w:pPr>
    <w:rPr>
      <w:rFonts w:ascii="Times New Roman" w:hAnsi="Times New Roman"/>
    </w:rPr>
  </w:style>
  <w:style w:type="paragraph" w:customStyle="1" w:styleId="51">
    <w:name w:val="列表段落1"/>
    <w:basedOn w:val="1"/>
    <w:unhideWhenUsed/>
    <w:qFormat/>
    <w:uiPriority w:val="99"/>
    <w:pPr>
      <w:ind w:firstLine="420"/>
    </w:pPr>
  </w:style>
  <w:style w:type="character" w:customStyle="1" w:styleId="52">
    <w:name w:val="font71"/>
    <w:basedOn w:val="27"/>
    <w:qFormat/>
    <w:uiPriority w:val="0"/>
    <w:rPr>
      <w:rFonts w:hint="eastAsia" w:ascii="宋体" w:hAnsi="宋体" w:eastAsia="宋体" w:cs="宋体"/>
      <w:color w:val="000000"/>
      <w:sz w:val="24"/>
      <w:szCs w:val="24"/>
      <w:u w:val="none"/>
    </w:rPr>
  </w:style>
  <w:style w:type="character" w:customStyle="1" w:styleId="53">
    <w:name w:val="font41"/>
    <w:basedOn w:val="27"/>
    <w:qFormat/>
    <w:uiPriority w:val="0"/>
    <w:rPr>
      <w:rFonts w:hint="eastAsia" w:ascii="宋体" w:hAnsi="宋体" w:eastAsia="宋体" w:cs="宋体"/>
      <w:color w:val="000000"/>
      <w:sz w:val="24"/>
      <w:szCs w:val="24"/>
      <w:u w:val="none"/>
    </w:rPr>
  </w:style>
  <w:style w:type="character" w:customStyle="1" w:styleId="54">
    <w:name w:val="font31"/>
    <w:basedOn w:val="27"/>
    <w:qFormat/>
    <w:uiPriority w:val="0"/>
    <w:rPr>
      <w:rFonts w:hint="default" w:ascii="Times New Roman" w:hAnsi="Times New Roman" w:cs="Times New Roman"/>
      <w:color w:val="000000"/>
      <w:sz w:val="24"/>
      <w:szCs w:val="24"/>
      <w:u w:val="none"/>
    </w:rPr>
  </w:style>
  <w:style w:type="character" w:customStyle="1" w:styleId="55">
    <w:name w:val="font01"/>
    <w:basedOn w:val="27"/>
    <w:qFormat/>
    <w:uiPriority w:val="0"/>
    <w:rPr>
      <w:rFonts w:hint="default" w:ascii="Times New Roman" w:hAnsi="Times New Roman" w:cs="Times New Roman"/>
      <w:color w:val="000000"/>
      <w:sz w:val="24"/>
      <w:szCs w:val="24"/>
      <w:u w:val="none"/>
    </w:rPr>
  </w:style>
  <w:style w:type="character" w:customStyle="1" w:styleId="56">
    <w:name w:val="font11"/>
    <w:basedOn w:val="27"/>
    <w:qFormat/>
    <w:uiPriority w:val="0"/>
    <w:rPr>
      <w:rFonts w:hint="eastAsia" w:ascii="宋体" w:hAnsi="宋体" w:eastAsia="宋体" w:cs="宋体"/>
      <w:color w:val="000000"/>
      <w:sz w:val="24"/>
      <w:szCs w:val="24"/>
      <w:u w:val="none"/>
    </w:rPr>
  </w:style>
  <w:style w:type="character" w:customStyle="1" w:styleId="57">
    <w:name w:val="font51"/>
    <w:basedOn w:val="27"/>
    <w:qFormat/>
    <w:uiPriority w:val="0"/>
    <w:rPr>
      <w:rFonts w:hint="default" w:ascii="Times New Roman" w:hAnsi="Times New Roman" w:cs="Times New Roman"/>
      <w:color w:val="000000"/>
      <w:sz w:val="24"/>
      <w:szCs w:val="24"/>
      <w:u w:val="none"/>
    </w:rPr>
  </w:style>
  <w:style w:type="character" w:customStyle="1" w:styleId="58">
    <w:name w:val="font21"/>
    <w:basedOn w:val="27"/>
    <w:qFormat/>
    <w:uiPriority w:val="0"/>
    <w:rPr>
      <w:rFonts w:hint="eastAsia" w:ascii="宋体" w:hAnsi="宋体" w:eastAsia="宋体" w:cs="宋体"/>
      <w:color w:val="000000"/>
      <w:sz w:val="24"/>
      <w:szCs w:val="24"/>
      <w:u w:val="none"/>
    </w:rPr>
  </w:style>
  <w:style w:type="character" w:customStyle="1" w:styleId="59">
    <w:name w:val="font61"/>
    <w:basedOn w:val="27"/>
    <w:qFormat/>
    <w:uiPriority w:val="0"/>
    <w:rPr>
      <w:rFonts w:hint="default" w:ascii="Times New Roman" w:hAnsi="Times New Roman" w:cs="Times New Roman"/>
      <w:color w:val="000000"/>
      <w:sz w:val="24"/>
      <w:szCs w:val="24"/>
      <w:u w:val="none"/>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3">
    <w:name w:val="TOC 标题1"/>
    <w:basedOn w:val="2"/>
    <w:next w:val="1"/>
    <w:unhideWhenUsed/>
    <w:qFormat/>
    <w:uiPriority w:val="39"/>
    <w:pPr>
      <w:widowControl/>
      <w:numPr>
        <w:numId w:val="0"/>
      </w:numPr>
      <w:spacing w:before="480" w:line="276" w:lineRule="auto"/>
      <w:jc w:val="left"/>
      <w:outlineLvl w:val="9"/>
    </w:pPr>
    <w:rPr>
      <w:rFonts w:asciiTheme="majorHAnsi" w:hAnsiTheme="majorHAnsi" w:eastAsiaTheme="majorEastAsia" w:cstheme="majorBidi"/>
      <w:bCs/>
      <w:color w:val="2F5597" w:themeColor="accent1" w:themeShade="BF"/>
      <w:kern w:val="0"/>
      <w:sz w:val="28"/>
      <w:szCs w:val="28"/>
    </w:rPr>
  </w:style>
  <w:style w:type="paragraph" w:customStyle="1" w:styleId="64">
    <w:name w:val="TOC 标题2"/>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color w:val="2F5597" w:themeColor="accent1" w:themeShade="BF"/>
      <w:kern w:val="0"/>
      <w:szCs w:val="32"/>
    </w:rPr>
  </w:style>
  <w:style w:type="character" w:customStyle="1" w:styleId="65">
    <w:name w:val="未处理的提及1"/>
    <w:basedOn w:val="27"/>
    <w:unhideWhenUsed/>
    <w:qFormat/>
    <w:uiPriority w:val="99"/>
    <w:rPr>
      <w:color w:val="605E5C"/>
      <w:shd w:val="clear" w:color="auto" w:fill="E1DFDD"/>
    </w:rPr>
  </w:style>
  <w:style w:type="paragraph" w:customStyle="1" w:styleId="66">
    <w:name w:val="TOC 标题3"/>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color w:val="2F5597" w:themeColor="accent1" w:themeShade="BF"/>
      <w:kern w:val="0"/>
      <w:szCs w:val="32"/>
    </w:rPr>
  </w:style>
  <w:style w:type="character" w:customStyle="1" w:styleId="67">
    <w:name w:val="未处理的提及2"/>
    <w:basedOn w:val="27"/>
    <w:unhideWhenUsed/>
    <w:qFormat/>
    <w:uiPriority w:val="99"/>
    <w:rPr>
      <w:color w:val="605E5C"/>
      <w:shd w:val="clear" w:color="auto" w:fill="E1DFDD"/>
    </w:rPr>
  </w:style>
  <w:style w:type="paragraph" w:customStyle="1" w:styleId="68">
    <w:name w:val="Char1"/>
    <w:basedOn w:val="1"/>
    <w:qFormat/>
    <w:uiPriority w:val="0"/>
    <w:pPr>
      <w:spacing w:line="240" w:lineRule="auto"/>
      <w:ind w:firstLine="0" w:firstLineChars="0"/>
    </w:pPr>
    <w:rPr>
      <w:rFonts w:ascii="Times New Roman" w:hAnsi="Times New Roman"/>
      <w:szCs w:val="24"/>
    </w:rPr>
  </w:style>
  <w:style w:type="paragraph" w:customStyle="1" w:styleId="69">
    <w:name w:val="列表段落2"/>
    <w:basedOn w:val="1"/>
    <w:unhideWhenUsed/>
    <w:qFormat/>
    <w:uiPriority w:val="99"/>
    <w:pPr>
      <w:ind w:firstLine="420"/>
    </w:pPr>
  </w:style>
  <w:style w:type="paragraph" w:customStyle="1" w:styleId="70">
    <w:name w:val="TOC 标题4"/>
    <w:basedOn w:val="2"/>
    <w:next w:val="1"/>
    <w:unhideWhenUsed/>
    <w:qFormat/>
    <w:uiPriority w:val="39"/>
    <w:pPr>
      <w:widowControl/>
      <w:numPr>
        <w:numId w:val="0"/>
      </w:numPr>
      <w:spacing w:before="480" w:line="276" w:lineRule="auto"/>
      <w:jc w:val="left"/>
      <w:outlineLvl w:val="9"/>
    </w:pPr>
    <w:rPr>
      <w:rFonts w:asciiTheme="majorHAnsi" w:hAnsiTheme="majorHAnsi" w:eastAsiaTheme="majorEastAsia" w:cstheme="majorBidi"/>
      <w:b/>
      <w:bCs/>
      <w:color w:val="2F5597" w:themeColor="accent1" w:themeShade="BF"/>
      <w:kern w:val="0"/>
      <w:sz w:val="28"/>
      <w:szCs w:val="28"/>
    </w:rPr>
  </w:style>
  <w:style w:type="paragraph" w:customStyle="1" w:styleId="71">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72">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73">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bottom"/>
    </w:pPr>
    <w:rPr>
      <w:rFonts w:ascii="宋体" w:hAnsi="宋体" w:eastAsia="宋体" w:cs="宋体"/>
      <w:kern w:val="0"/>
      <w:sz w:val="22"/>
    </w:rPr>
  </w:style>
  <w:style w:type="paragraph" w:customStyle="1" w:styleId="74">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bottom"/>
    </w:pPr>
    <w:rPr>
      <w:rFonts w:ascii="宋体" w:hAnsi="宋体" w:eastAsia="宋体" w:cs="宋体"/>
      <w:kern w:val="0"/>
      <w:sz w:val="22"/>
    </w:rPr>
  </w:style>
  <w:style w:type="paragraph" w:customStyle="1" w:styleId="75">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宋体" w:hAnsi="宋体" w:eastAsia="宋体" w:cs="宋体"/>
      <w:kern w:val="0"/>
      <w:sz w:val="22"/>
    </w:rPr>
  </w:style>
  <w:style w:type="paragraph" w:customStyle="1" w:styleId="76">
    <w:name w:val="TOC 标题5"/>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color w:val="2F5597" w:themeColor="accent1" w:themeShade="BF"/>
      <w:kern w:val="0"/>
      <w:sz w:val="32"/>
      <w:szCs w:val="32"/>
    </w:rPr>
  </w:style>
  <w:style w:type="character" w:customStyle="1" w:styleId="77">
    <w:name w:val="批注主题 字符"/>
    <w:basedOn w:val="42"/>
    <w:link w:val="24"/>
    <w:semiHidden/>
    <w:qFormat/>
    <w:uiPriority w:val="99"/>
    <w:rPr>
      <w:rFonts w:ascii="仿宋_GB2312" w:hAnsi="仿宋_GB2312" w:eastAsia="仿宋_GB2312" w:cs="Times New Roman"/>
      <w:b/>
      <w:bCs/>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245EF-41B9-45BB-B9DB-F058D66BEC05}">
  <ds:schemaRefs/>
</ds:datastoreItem>
</file>

<file path=docProps/app.xml><?xml version="1.0" encoding="utf-8"?>
<Properties xmlns="http://schemas.openxmlformats.org/officeDocument/2006/extended-properties" xmlns:vt="http://schemas.openxmlformats.org/officeDocument/2006/docPropsVTypes">
  <Template>Normal.dotm</Template>
  <Pages>206</Pages>
  <Words>22554</Words>
  <Characters>128558</Characters>
  <Lines>1071</Lines>
  <Paragraphs>301</Paragraphs>
  <TotalTime>148</TotalTime>
  <ScaleCrop>false</ScaleCrop>
  <LinksUpToDate>false</LinksUpToDate>
  <CharactersWithSpaces>150811</CharactersWithSpaces>
  <Application>WPS Office_11.8.2.11509_F1E327BC-269C-435d-A152-05C5408002CA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2021-05-31T05:59:00Z</dcterms:created>
  <dc:creator>user</dc:creator>
  <cp:lastModifiedBy>邵世骏</cp:lastModifiedBy>
  <dcterms:modified xsi:type="dcterms:W3CDTF">2022-11-03T07:24:30Z</dcterms:modified>
  <dc:title>中国银保监会保险业监管数据标准化规范</dc:title>
  <cp:revision>709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2052-11.8.2.11509</vt:lpwstr>
  </property>
  <property fmtid="{D5CDD505-2E9C-101B-9397-08002B2CF9AE}" pid="3" name="ICV">
    <vt:lpwstr>C99BE47573884357B0C3440836AAE252</vt:lpwstr>
  </property>
</Properties>
</file>