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1-2</w:t>
      </w:r>
    </w:p>
    <w:p>
      <w:pPr>
        <w:widowControl w:val="0"/>
        <w:spacing w:line="240" w:lineRule="auto"/>
        <w:ind w:firstLine="0" w:firstLineChars="0"/>
        <w:jc w:val="center"/>
        <w:rPr>
          <w:rFonts w:ascii="Times New Roman" w:hAnsi="Times New Roman" w:eastAsia="黑体"/>
          <w:kern w:val="2"/>
          <w:sz w:val="72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ascii="Times New Roman" w:hAnsi="Times New Roman" w:eastAsia="黑体"/>
          <w:kern w:val="2"/>
          <w:sz w:val="72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ascii="Times New Roman" w:hAnsi="Times New Roman" w:eastAsia="黑体"/>
          <w:kern w:val="2"/>
          <w:sz w:val="72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金融监管总局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保险业监管数据标准化规范（人身保险公司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黑体"/>
          <w:sz w:val="36"/>
          <w:szCs w:val="36"/>
        </w:rPr>
        <w:t>版）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采集技术接口说明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 w:eastAsia="黑体"/>
          <w:sz w:val="52"/>
          <w:szCs w:val="16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56"/>
          <w:szCs w:val="18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bCs w:val="0"/>
          <w:sz w:val="30"/>
          <w:szCs w:val="32"/>
        </w:rPr>
      </w:pPr>
      <w:r>
        <w:rPr>
          <w:rFonts w:hint="eastAsia" w:ascii="黑体" w:hAnsi="黑体" w:eastAsia="黑体" w:cs="黑体"/>
          <w:bCs w:val="0"/>
          <w:sz w:val="30"/>
          <w:szCs w:val="32"/>
        </w:rPr>
        <w:t>202</w:t>
      </w:r>
      <w:r>
        <w:rPr>
          <w:rFonts w:hint="eastAsia" w:ascii="黑体" w:hAnsi="黑体" w:eastAsia="黑体" w:cs="黑体"/>
          <w:bCs w:val="0"/>
          <w:sz w:val="30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 w:val="0"/>
          <w:sz w:val="30"/>
          <w:szCs w:val="32"/>
        </w:rPr>
        <w:t>年</w:t>
      </w:r>
      <w:r>
        <w:rPr>
          <w:rFonts w:hint="default" w:ascii="黑体" w:hAnsi="黑体" w:eastAsia="黑体" w:cs="黑体"/>
          <w:bCs w:val="0"/>
          <w:sz w:val="30"/>
          <w:szCs w:val="32"/>
          <w:lang w:val="en" w:eastAsia="zh-CN"/>
        </w:rPr>
        <w:t>10</w:t>
      </w:r>
      <w:r>
        <w:rPr>
          <w:rFonts w:hint="eastAsia" w:ascii="黑体" w:hAnsi="黑体" w:eastAsia="黑体" w:cs="黑体"/>
          <w:bCs w:val="0"/>
          <w:sz w:val="30"/>
          <w:szCs w:val="32"/>
        </w:rPr>
        <w:t>月</w:t>
      </w:r>
    </w:p>
    <w:p>
      <w:pPr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endnotePr>
            <w:numFmt w:val="decimal"/>
          </w:end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7" w:charSpace="0"/>
        </w:sectPr>
      </w:pPr>
      <w:bookmarkStart w:id="0" w:name="_Toc25945"/>
      <w:bookmarkStart w:id="1" w:name="_Toc30449"/>
      <w:bookmarkStart w:id="2" w:name="_Toc327522399"/>
    </w:p>
    <w:p>
      <w:pPr>
        <w:pStyle w:val="2"/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文档概述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本文档定义了按照《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金融监管总局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保险业监管数据标准化规范（人身保险公司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版）》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（以下简称《规范》）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金融监管总局</w:t>
      </w:r>
      <w:r>
        <w:rPr>
          <w:rFonts w:hint="eastAsia" w:ascii="仿宋_GB2312" w:hAnsi="仿宋_GB2312" w:eastAsia="仿宋_GB2312" w:cs="仿宋_GB2312"/>
          <w:sz w:val="32"/>
          <w:szCs w:val="32"/>
        </w:rPr>
        <w:t>采集数据的物理存储和传输形式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即数据的采集技术接口，包括承载数据的文件命名规则、字符集、行分隔符、数据项分隔符、缺省值等，以及集中采集和持续采集的模式。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技术接口的要求是强制性的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本文档还明确了采集频率、报送介质的参考性要求，包括持续采集的频度，集中采集和持续采集采用的介质。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非技术接口的要求是参考性的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技术接口要求</w:t>
      </w:r>
    </w:p>
    <w:p>
      <w:pPr>
        <w:pStyle w:val="3"/>
        <w:numPr>
          <w:ilvl w:val="1"/>
          <w:numId w:val="0"/>
        </w:numPr>
        <w:ind w:left="0" w:leftChars="0" w:firstLine="602"/>
        <w:rPr>
          <w:sz w:val="32"/>
          <w:szCs w:val="32"/>
        </w:rPr>
      </w:pPr>
      <w:r>
        <w:rPr>
          <w:rFonts w:hint="eastAsia"/>
          <w:sz w:val="32"/>
          <w:szCs w:val="32"/>
        </w:rPr>
        <w:t>（一）文件格式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UTF-8编码（无BOM）的纯文本文件，扩展名为.txt。</w:t>
      </w:r>
    </w:p>
    <w:p>
      <w:pPr>
        <w:pStyle w:val="3"/>
        <w:numPr>
          <w:ilvl w:val="1"/>
          <w:numId w:val="0"/>
        </w:numPr>
        <w:ind w:left="0" w:leftChars="0" w:firstLine="602"/>
        <w:rPr>
          <w:sz w:val="32"/>
          <w:szCs w:val="32"/>
        </w:rPr>
      </w:pPr>
      <w:r>
        <w:rPr>
          <w:rFonts w:hint="eastAsia"/>
          <w:sz w:val="32"/>
          <w:szCs w:val="32"/>
        </w:rPr>
        <w:t>（二）文件命名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原则上每个数据表生成一个数据文件，文件命名规则是：机构代码-表名对应字符串-YYYYMMDD.txt，其中分隔符“-”为英文短横线（ASCII码0x2D），“YYYYMMDD”为本次/本期采集的截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日期。表名对应字符串见表1，如中国人寿保险股份有限公司报送截至20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年3月31日的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分支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机构信息表数据时，文件名称应为：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000005-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FZ</w:t>
      </w:r>
      <w:r>
        <w:rPr>
          <w:rFonts w:hint="eastAsia" w:ascii="仿宋_GB2312" w:hAnsi="仿宋_GB2312" w:eastAsia="仿宋_GB2312" w:cs="仿宋_GB2312"/>
          <w:sz w:val="32"/>
          <w:szCs w:val="32"/>
        </w:rPr>
        <w:t>JGXXB-20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0331.txt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每一个数据文件要同时生成一个同名的数据校验文件，数据校验文件的编码格式同数据文件，后缀名为.log，数据校验文件需要包含以下5行信息，定义如下：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文件名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文件大小（字节）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文件创建完成时间（YYYY-MM-DD HH:MM:SS）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文件是否正常生成（Y或N）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文件记录数（行数）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例如：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000005-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FZ</w:t>
      </w:r>
      <w:r>
        <w:rPr>
          <w:rFonts w:hint="eastAsia" w:ascii="仿宋_GB2312" w:hAnsi="仿宋_GB2312" w:eastAsia="仿宋_GB2312" w:cs="仿宋_GB2312"/>
          <w:sz w:val="32"/>
          <w:szCs w:val="32"/>
        </w:rPr>
        <w:t>JGXXB-20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0331.txt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80896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-04-01 00:29:02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</w:t>
      </w:r>
    </w:p>
    <w:p>
      <w:pPr>
        <w:pStyle w:val="12"/>
        <w:spacing w:before="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SEQ 表 \* ARABIC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表名与字符串对应表</w:t>
      </w:r>
    </w:p>
    <w:tbl>
      <w:tblPr>
        <w:tblStyle w:val="3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976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表编号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表中文名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对应字符串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JGXXB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机构扩展信息表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JGKZXXB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股权信息表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GQXXB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分支机构信息表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FZJGXXB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机构关系表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JGGXB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00106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机构处罚信息表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JGCFXXB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00107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YGXXB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00108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员工岗位信息表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YGGWXXB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00109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员工履职回避信息表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YGLZHBXXB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00110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员工处罚信息表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YGCFXXB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员工问责信息表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YGWZXXB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董监高履职信息表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DJGLZXXB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董监高薪酬信息表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DJGXCXXB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决策议事会议信息表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JCYSHYXXB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总账会计全科目表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ZZKJQKMB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内部科目对照表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NBKMDZB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财务报表项目对照表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CWBBXMDZB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财务凭证信息表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CWPZXXB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业务及管理费分科目明细账表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YWJGLFFKMMXZB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00206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手续费及佣金分科目明细账表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SXFJYJFKMMXZB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00207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账户信息表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ZHXXB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00208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资金流水表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ZJLSB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00209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交易流水表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JYLSB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00210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业财信息关联表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YCXXGLB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关联方信息表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GLFXXB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金融产品信息表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JRCPXXB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关联关系表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GLGXB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资金运用类关联交易协议信息表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ZJYYLGLJYXYXXB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服务类关联交易协议信息表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FWLGLJYXYXXB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00306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利益转移类关联交易协议信息表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LYZYLGLJYXYXXB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00307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保险业务和其他类关联交易协议信息表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BXYWHQTLGLJYXYXXB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00308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关联交易明细表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GLJYMXB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00309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资金运用关联交易统计表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ZJYYGLJYTJB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00310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与单一关联方资金运用关联交易统计表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YDYGLFZJYYGLJYTJB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XSRYXXB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销售人员佣金信息表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XSRYYJXXB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销售人员处罚信息表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XSRYCFXXB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销售人员问责信息表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XSRYWZXXB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中介机构信息表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ZJJGXXB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00406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中介机构手续费信息表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ZJJGSXFXXB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个人客户信息表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GRKHXXB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机构客户信息表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JGKHXXB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险种定义表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XZDYB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险种扩展信息表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XZKZXXB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ZRXXB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保单险种核保信息表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BDXZHBXXB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团体保单表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TTBDB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团体保单扩展信息表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TTBDKZXXB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团体险种表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TTXZB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个人保单表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GRBDB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00706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个人保单扩展信息表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GRBDKZXXB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00707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个人险种表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GRXZB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00708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专属商业养老保单扩展信息表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ZSSYYLBDKZXXB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00709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客户保单对照表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KHBDDZB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00710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被保险人表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BBXRB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保单销售人员关联表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BDXSRYGLB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销售人员直接佣金信息表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XSRYZJYJXXB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中介机构保单手续费信息表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ZJJGBDSXFXXB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机构间合作项目信息表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JGJHZXMXXB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保全项目明细表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BQXMMXB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保单借款信息表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BDJKXXB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保单还款信息表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BDHKXXB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保险账户信息表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BXZHXXB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保险账户流水表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BXZHLSB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00806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红利分配表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HLFPB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00807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生存金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SCJPFB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报案信息表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BAXXB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立案信息表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理赔案件信息表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LPAJXXB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出险人信息表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CXRXXB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保险销售行为信息表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BXXSXWXXB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客户回访表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KHHFB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投诉信息表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TSXXB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再保产品信息表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ZBCPXXB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再保合同信息表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ZBHTXXB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再保账单信息表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ZBZDXXB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保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保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单明细表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BLZBBDMXB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非比例再保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摊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回赔案表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FBLZBTHPAB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商业养老金产品信息表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SYYLJCPXXB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商业养老金产品投资情况表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SYYLJCPTZQKB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商养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计划合同信息表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SYJHHTXXB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客户账户信息表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KHZHXXB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客户账户权益信息表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KHZHQYXXB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01206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客户账户交易流水表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KHZHJYLSB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NJJHXXB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年金计划投管关系表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NJJHTGGXB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年金计划管理情况表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NJJHGLQKB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年金计划运营明细表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NJJHYYMXB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年金计划投资情况表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NJJHTZQKB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养老保障产品信息表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YLBZCPXXB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养老保障产品组合信息表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YLBZCPZHXXB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养老保障受托管理合同信息表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YLBZSTGLHTXXB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养老保障业务信息表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YLBZYWXXB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健康保障委托业务项目信息表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JKBZWTYWXMXXB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投资账户信息表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TZZHXXB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自主投资持仓表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ZZTZCCB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自主投资交易流水表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ZZTZJYLSB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信托计划基本信息表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XTJHJBXXB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信托计划融资人信息表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XTJHRZRXXB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01506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存款证实书信息表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CKZSSXXB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01507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理财产品信息表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LCCPXXB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01508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证券公司专项资管计划信息表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ZQGSZXZGJHXXB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01509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信贷资产支持证券信息表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XDZCZCZQXXB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01510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直接股权投资信息表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ZJGQTZXXB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01511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私募投资基金信息表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SMTZJJXXB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01512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直接投资不动产信息表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ZJTZBDCXXB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01513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其他投资标的信息表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QTTZBDXXB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01514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委托投资账户关联信息表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WTTZZHGLXXB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01515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委托投资信息表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WTTZXXB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01516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委托投资资产负债统计表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WTTZZCFZTJB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01517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委托投资持仓表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WTTZCCB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01518</w:t>
            </w:r>
          </w:p>
        </w:tc>
        <w:tc>
          <w:tcPr>
            <w:tcW w:w="26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资金运用比例监管信息表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ZJYYBLJGXXB</w:t>
            </w:r>
          </w:p>
        </w:tc>
      </w:tr>
    </w:tbl>
    <w:p>
      <w:pPr>
        <w:pStyle w:val="3"/>
        <w:numPr>
          <w:ilvl w:val="1"/>
          <w:numId w:val="0"/>
        </w:numPr>
        <w:ind w:left="0" w:leftChars="0" w:firstLine="602"/>
        <w:rPr>
          <w:sz w:val="32"/>
          <w:szCs w:val="32"/>
        </w:rPr>
      </w:pPr>
      <w:r>
        <w:rPr>
          <w:rFonts w:hint="eastAsia"/>
          <w:sz w:val="32"/>
          <w:szCs w:val="32"/>
        </w:rPr>
        <w:t>（三）数据项分隔与特殊字符处理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1.行分隔符：数据文件的一行数据对应一条数据库记录，各行之间分隔符为UNIX样式的换行符（ASCII码0x0A）。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2.数据项分隔符：数据项之间以^A（SOH，ASCII码0x01）进行分隔，每行末尾不需要添加数据项分隔符。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3.数据项首尾禁止使用双引号（ASCII码0x22）包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夹</w:t>
      </w:r>
      <w:r>
        <w:rPr>
          <w:rFonts w:hint="eastAsia" w:ascii="仿宋_GB2312" w:hAnsi="仿宋_GB2312" w:eastAsia="仿宋_GB2312" w:cs="仿宋_GB2312"/>
          <w:sz w:val="32"/>
          <w:szCs w:val="32"/>
        </w:rPr>
        <w:t>，但数据项内容可以有双引号，且不需要进行转义。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4.数据项内子项分隔符：单个数据项中需要填报多个子项内容时，子项内容之间使用英文分号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“;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”（ASCII码0x3B）隔开。如“保险期限类型”，可同时归属为“长期险定期(年)”和“长期险终身”时，用“长期险定期(年);长期险终身”表示。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5.在数据项中不允许出现ASCII码为0x00~0x1F、0x7F的各类控制字符和非可打印字符；若出现则统一替换为空格（ASCII码0x20）。</w:t>
      </w: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6.日期格式：YYYYMMDD。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7.以上字符均为英文半角。</w:t>
      </w:r>
    </w:p>
    <w:p>
      <w:pPr>
        <w:pStyle w:val="3"/>
        <w:numPr>
          <w:ilvl w:val="1"/>
          <w:numId w:val="0"/>
        </w:numPr>
        <w:ind w:left="0" w:leftChars="0" w:firstLine="602"/>
        <w:rPr>
          <w:sz w:val="32"/>
          <w:szCs w:val="32"/>
        </w:rPr>
      </w:pPr>
      <w:r>
        <w:rPr>
          <w:rFonts w:hint="eastAsia"/>
          <w:sz w:val="32"/>
          <w:szCs w:val="32"/>
        </w:rPr>
        <w:t>（四）小数值、空值与默认值处理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所有数据项在取小数近似数时，采用“四舍五入”法。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当如下数据类型出现空值时，如数据项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无特殊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表述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，请按默认值填写，处理方式为：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字符类型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人身保险公司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未采集相关信息）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——默认值设为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未记录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字符类型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（实际场景不适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报送要求）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——默认值设为不适用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/年月/时间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类型（人身保险公司未采集相关信息）——默认值分别设为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99991231/</w:t>
      </w:r>
      <w:r>
        <w:rPr>
          <w:rFonts w:hint="eastAsia" w:ascii="仿宋_GB2312" w:hAnsi="仿宋_GB2312" w:eastAsia="仿宋_GB2312" w:cs="仿宋_GB2312"/>
          <w:sz w:val="32"/>
          <w:szCs w:val="32"/>
        </w:rPr>
        <w:t>999912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000000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/年月/时间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类型（实际场景不适用报送要求或报送时点尚不确定的未来时间）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——默认值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设为9999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0101/</w:t>
      </w:r>
      <w:r>
        <w:rPr>
          <w:rFonts w:hint="eastAsia" w:ascii="仿宋_GB2312" w:hAnsi="仿宋_GB2312" w:eastAsia="仿宋_GB2312" w:cs="仿宋_GB2312"/>
          <w:sz w:val="32"/>
          <w:szCs w:val="32"/>
        </w:rPr>
        <w:t>9999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01/</w:t>
      </w:r>
      <w:r>
        <w:rPr>
          <w:rFonts w:hint="eastAsia" w:ascii="仿宋_GB2312" w:hAnsi="仿宋_GB2312" w:eastAsia="仿宋_GB2312" w:cs="仿宋_GB2312"/>
          <w:sz w:val="32"/>
          <w:szCs w:val="32"/>
        </w:rPr>
        <w:t>000000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数字类型——默认值设为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3"/>
        <w:numPr>
          <w:ilvl w:val="1"/>
          <w:numId w:val="0"/>
        </w:numPr>
        <w:ind w:left="0" w:leftChars="0" w:firstLine="602"/>
        <w:rPr>
          <w:sz w:val="32"/>
          <w:szCs w:val="32"/>
        </w:rPr>
      </w:pPr>
      <w:r>
        <w:rPr>
          <w:rFonts w:hint="eastAsia"/>
          <w:sz w:val="32"/>
          <w:szCs w:val="32"/>
        </w:rPr>
        <w:t>（五）采集模式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数据采集包括集中采集和持续采集两种方式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集中采集指人身保险公司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本《规范》首次集中报送数据，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持续采集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则指人身保险公司根据各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报送模式，于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日前报送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上个月的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数据。</w:t>
      </w: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数据表根据性质，可分为状态类和明细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两种。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其中，明细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表包括：决策议事会议信息表、总账会计全科目表、财务凭证信息表、业务及管理费分科目明细账表、手续费及佣金分科目明细账表、销售人员佣金信息表、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中介机构手续费信息表、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销售人员直接佣金信息表、中介机构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手续费信息表、比例再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  <w:t>保保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单明细表、非比例再保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eastAsia="zh-CN"/>
        </w:rPr>
        <w:t>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回赔案表、客户账户交易流水表、自主投资交易流水表，共计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13张数据表。其余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为状态类表。</w:t>
      </w:r>
    </w:p>
    <w:p>
      <w:pPr>
        <w:autoSpaceDE/>
        <w:spacing w:line="560" w:lineRule="exact"/>
        <w:ind w:firstLine="60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根据采集方式和数据表性质可以设定6种报送模式，详见下表2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utoSpaceDE w:val="0"/>
        <w:spacing w:line="560" w:lineRule="exact"/>
        <w:ind w:firstLine="0" w:firstLineChars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表2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数据报送模式定义</w:t>
      </w:r>
    </w:p>
    <w:tbl>
      <w:tblPr>
        <w:tblStyle w:val="3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9"/>
        <w:gridCol w:w="1600"/>
        <w:gridCol w:w="3416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tblHeader/>
        </w:trPr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采集方式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数据性质</w:t>
            </w: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解释说明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报送模式编码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0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A集中采集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表</w:t>
            </w: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报送发生在集中采集期间的全部明细数据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00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状态类表</w:t>
            </w: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报送集中采集截止日期的最新状态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100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B持续采集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表</w:t>
            </w: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报送发生在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应报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期间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的全部明细数据（增量）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0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状态类表</w:t>
            </w: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当有记录或字段值发生变化时，报送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截至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应报月月末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最新状态（全量） 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9" w:hRule="atLeast"/>
        </w:trPr>
        <w:tc>
          <w:tcPr>
            <w:tcW w:w="100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当有记录或字段值发生变化时，报送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截至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最新状态（变化量）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B3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0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当有记录或字段值发生变化时，报送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发生在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应报月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期间的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所有状态轨迹（状态轨迹）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B4</w:t>
            </w:r>
          </w:p>
        </w:tc>
      </w:tr>
    </w:tbl>
    <w:p>
      <w:pPr>
        <w:ind w:firstLine="6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1.集中采集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集中采集时，所有状态类表采用全量采集，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</w:rPr>
        <w:t>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时间段内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所有发生业务（包含终结业务及存续业务）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的全量数据在采集截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时点的状态，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不追溯采集规定时间段前已结清业务的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状态信息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。假设集中采集时间段为20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年12月31日，则20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年离职的员工应当报送一条数据，而20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年离职的员工则不在采集范围内。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表按照集中采集通知定义的时间范围采集具体时间段内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所有数据。</w:t>
      </w:r>
    </w:p>
    <w:p>
      <w:pPr>
        <w:ind w:firstLine="6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2.持续采集</w:t>
      </w: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增量：报送明细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表在本次报送时间范围内产生的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数据。例如，202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年10月报送202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年9月的数据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凭证信息表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报送记账日期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年9月1日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（含）至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年9月30日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（含）之间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所有凭证信息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全量：全量采集方式同集中采集的全量采集方式，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状态类表本次报送时间范围内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所有发生业务（包含终结业务及存续业务）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的全量数据在当期截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时点的状态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</w:rPr>
        <w:t>即当采集表中有新增记录或已有记录任一数据</w:t>
      </w:r>
      <w:r>
        <w:rPr>
          <w:rFonts w:hint="eastAsia"/>
          <w:sz w:val="32"/>
          <w:szCs w:val="32"/>
          <w:lang w:eastAsia="zh-CN"/>
        </w:rPr>
        <w:t>项</w:t>
      </w:r>
      <w:r>
        <w:rPr>
          <w:rFonts w:hint="eastAsia"/>
          <w:sz w:val="32"/>
          <w:szCs w:val="32"/>
        </w:rPr>
        <w:t>发生变化时，需将采集表内所有记录全部重新报送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例如，202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年10月报送202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年9月的数据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若存在新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设分支机构或已报送分支机构信息发生变化的情况，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全量重新报送分支机构信息表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不论相关机构是否已停业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00"/>
        <w:rPr>
          <w:rFonts w:hint="default" w:ascii="仿宋_GB2312" w:hAnsi="仿宋_GB2312" w:eastAsia="FangSong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变化量：报送状态类表较前一次采集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变更的记录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包括新增、更新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等情况，并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“流水号”（保险机构代码+日期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YYYYMMDD）+10位流水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已报送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记录。</w:t>
      </w:r>
      <w:r>
        <w:rPr>
          <w:rFonts w:hint="eastAsia"/>
          <w:sz w:val="32"/>
          <w:szCs w:val="32"/>
          <w:lang w:eastAsia="zh-CN"/>
        </w:rPr>
        <w:t>例如，</w:t>
      </w:r>
      <w:r>
        <w:rPr>
          <w:rFonts w:hint="eastAsia"/>
          <w:sz w:val="32"/>
          <w:szCs w:val="32"/>
          <w:lang w:val="en-US" w:eastAsia="zh-CN"/>
        </w:rPr>
        <w:t>2025年10月报送2025年9月的数据时，仅需报送员工岗位信息表中较前一次采集存在变化的记录，以及在2025年9月内新增的记录；对于2025年9月内未发生变化的记录，无需重复报送。</w:t>
      </w: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状态轨迹：报送状态类表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本次报送时间范围内历次变更的记录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例如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，股权信息表若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报送时间范围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发生了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变化，则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报送3条状态不同的记录。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根据以上采集模式说明，本《规范》定义的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数据表</w:t>
      </w:r>
      <w:r>
        <w:rPr>
          <w:rFonts w:hint="eastAsia" w:ascii="仿宋_GB2312" w:hAnsi="仿宋_GB2312" w:eastAsia="仿宋_GB2312" w:cs="仿宋_GB2312"/>
          <w:sz w:val="32"/>
          <w:szCs w:val="32"/>
        </w:rPr>
        <w:t>在集中采集和持续采集阶段的报送模式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与频率</w:t>
      </w:r>
      <w:r>
        <w:rPr>
          <w:rFonts w:hint="eastAsia" w:ascii="仿宋_GB2312" w:hAnsi="仿宋_GB2312" w:eastAsia="仿宋_GB2312" w:cs="仿宋_GB2312"/>
          <w:sz w:val="32"/>
          <w:szCs w:val="32"/>
        </w:rPr>
        <w:t>详见下表3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各表数据报送模式说明</w:t>
      </w:r>
    </w:p>
    <w:tbl>
      <w:tblPr>
        <w:tblStyle w:val="3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5121"/>
        <w:gridCol w:w="1450"/>
        <w:gridCol w:w="1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表编号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表中文名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集中采集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持续采集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机构扩展信息表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股权信息表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分支机构信息表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机构关系表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机构处罚信息表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00107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00108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员工岗位信息表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00109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员工履职回避信息表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00110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员工处罚信息表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员工问责信息表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董监高履职信息表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董监高薪酬信息表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决策议事会议信息表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总账会计全科目表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内部科目对照表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财务报表项目对照表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财务凭证信息表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业务及管理费分科目明细账表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手续费及佣金分科目明细账表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00207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账户信息表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00208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资金流水表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00209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交易流水表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00210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业财信息关联表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关联方信息表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金融产品信息表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关联关系表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资金运用类关联交易协议信息表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服务类关联交易协议信息表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利益转移类关联交易协议信息表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00307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保险业务和其他类关联交易协议信息表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00308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关联交易明细表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00309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资金运用关联交易统计表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00310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与单一关联方资金运用关联交易统计表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销售人员佣金信息表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销售人员处罚信息表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销售人员问责信息表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中介机构信息表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00406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中介机构手续费信息表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个人客户信息表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机构客户信息表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险种定义表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险种扩展信息表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保单险种核保信息表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团体保单表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团体保单扩展信息表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团体险种表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个人保单表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个人保单扩展信息表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00707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个人险种表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00708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专属商业养老保单扩展信息表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00709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客户保单对照表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00710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被保险人表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保单销售人员关联表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销售人员直接佣金信息表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中介机构保单手续费信息表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机构间合作项目信息表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保全项目明细表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保单借款信息表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保单还款信息表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保险账户信息表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保险账户流水表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红利分配表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00807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生存金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报案信息表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立案信息表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理赔案件信息表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出险人信息表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保险销售行为信息表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客户回访表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投诉信息表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再保产品信息表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再保合同信息表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再保账单信息表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保保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单明细表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非比例再保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回赔案表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商业养老金产品信息表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商业养老金产品投资情况表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商养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计划合同信息表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客户账户信息表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客户账户权益信息表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01206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客户账户交易流水表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年金计划投管关系表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年金计划管理情况表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年金计划运营明细表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年金计划投资情况表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养老保障产品信息表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养老保障产品组合信息表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养老保障受托管理合同信息表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养老保障业务信息表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健康保障委托业务项目信息表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投资账户信息表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自主投资持仓表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自主投资交易流水表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信托计划基本信息表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信托计划融资人信息表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存款证实书信息表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01507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理财产品信息表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01508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证券公司专项资管计划信息表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01509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信贷资产支持证券信息表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01510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直接股权投资信息表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01511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私募投资基金信息表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01512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直接投资不动产信息表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01513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其他投资标的信息表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01514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委托投资账户关联信息表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01515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委托投资信息表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01516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委托投资资产负债统计表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01517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委托投资持仓表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01518</w:t>
            </w:r>
          </w:p>
        </w:tc>
        <w:tc>
          <w:tcPr>
            <w:tcW w:w="2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资金运用比例监管信息表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</w:t>
            </w:r>
          </w:p>
        </w:tc>
      </w:tr>
    </w:tbl>
    <w:p>
      <w:pPr>
        <w:pStyle w:val="2"/>
        <w:ind w:firstLine="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技术接口要求</w:t>
      </w:r>
    </w:p>
    <w:p>
      <w:pPr>
        <w:pStyle w:val="3"/>
        <w:numPr>
          <w:ilvl w:val="1"/>
          <w:numId w:val="0"/>
        </w:numPr>
        <w:ind w:left="0" w:leftChars="0" w:firstLine="602"/>
        <w:rPr>
          <w:sz w:val="32"/>
          <w:szCs w:val="32"/>
        </w:rPr>
      </w:pPr>
      <w:r>
        <w:rPr>
          <w:rFonts w:hint="eastAsia"/>
          <w:sz w:val="32"/>
          <w:szCs w:val="32"/>
        </w:rPr>
        <w:t>（一）持续采集频率</w:t>
      </w:r>
    </w:p>
    <w:p>
      <w:pPr>
        <w:numPr>
          <w:ilvl w:val="1"/>
          <w:numId w:val="0"/>
        </w:numPr>
        <w:ind w:left="0" w:leftChars="0"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首次报送后，各人身保险公司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定义的报送模式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，于每个月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日前报送上个月的数据。</w:t>
      </w:r>
    </w:p>
    <w:p>
      <w:pPr>
        <w:numPr>
          <w:ilvl w:val="1"/>
          <w:numId w:val="0"/>
        </w:numPr>
        <w:ind w:left="0" w:leftChars="0" w:firstLine="6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金融监管总局可根据工作需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，调整报送频度。</w:t>
      </w:r>
    </w:p>
    <w:p>
      <w:pPr>
        <w:pStyle w:val="3"/>
        <w:numPr>
          <w:ilvl w:val="1"/>
          <w:numId w:val="0"/>
        </w:numPr>
        <w:ind w:left="0" w:leftChars="0" w:firstLine="602"/>
        <w:rPr>
          <w:sz w:val="32"/>
          <w:szCs w:val="32"/>
        </w:rPr>
      </w:pPr>
      <w:r>
        <w:rPr>
          <w:rFonts w:hint="eastAsia"/>
          <w:sz w:val="32"/>
          <w:szCs w:val="32"/>
        </w:rPr>
        <w:t>（二）采集介质</w:t>
      </w:r>
    </w:p>
    <w:bookmarkEnd w:id="0"/>
    <w:bookmarkEnd w:id="1"/>
    <w:bookmarkEnd w:id="2"/>
    <w:p>
      <w:pPr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人身保险公司应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通过符合相应安全要求的专用网络报送数据，该网络应当与互联网物理隔离，数据采集部门应当根据本接口说明，制定传输要求，确保数据安全。</w:t>
      </w:r>
    </w:p>
    <w:p/>
    <w:sectPr>
      <w:footerReference r:id="rId11" w:type="default"/>
      <w:endnotePr>
        <w:numFmt w:val="decimal"/>
      </w:endnotePr>
      <w:type w:val="oddPage"/>
      <w:pgSz w:w="11906" w:h="16838"/>
      <w:pgMar w:top="1440" w:right="141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7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2">
      <wne:acd wne:acdName="acd0"/>
    </wne:keymap>
    <wne:keymap wne:kcmPrimary="0451">
      <wne:acd wne:acdName="acd1"/>
    </wne:keymap>
    <wne:keymap wne:kcmPrimary="0454">
      <wne:acd wne:acdName="acd2"/>
    </wne:keymap>
    <wne:keymap wne:kcmPrimary="045A">
      <wne:acd wne:acdName="acd3"/>
    </wne:keymap>
  </wne:keymaps>
  <wne:acds>
    <wne:acd wne:argValue="AQAAAAAA" wne:acdName="acd0" wne:fciIndexBasedOn="0065"/>
    <wne:acd wne:argValue="AQAAAFgA" wne:acdName="acd1" wne:fciIndexBasedOn="0065"/>
    <wne:acd wne:argValue="AgBoiDxo" wne:acdName="acd2" wne:fciIndexBasedOn="0065"/>
    <wne:acd wne:argValue="AgBja4dlMQA=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0" w:firstLineChars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0" w:firstLineChars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D58F0"/>
    <w:multiLevelType w:val="singleLevel"/>
    <w:tmpl w:val="CA0D58F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3B45D96"/>
    <w:multiLevelType w:val="multilevel"/>
    <w:tmpl w:val="E3B45D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none"/>
      <w:pStyle w:val="55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A"/>
    <w:multiLevelType w:val="multilevel"/>
    <w:tmpl w:val="0000000A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hint="eastAsia" w:ascii="黑体" w:eastAsia="黑体"/>
        <w:b w:val="0"/>
        <w:sz w:val="30"/>
        <w:szCs w:val="30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Arial" w:hAnsi="Arial" w:eastAsia="宋体" w:cs="Arial"/>
      </w:rPr>
    </w:lvl>
    <w:lvl w:ilvl="2" w:tentative="0">
      <w:start w:val="1"/>
      <w:numFmt w:val="decimal"/>
      <w:pStyle w:val="47"/>
      <w:lvlText w:val="%1.%2.%3"/>
      <w:lvlJc w:val="left"/>
      <w:pPr>
        <w:tabs>
          <w:tab w:val="left" w:pos="720"/>
        </w:tabs>
        <w:ind w:left="720" w:hanging="720"/>
      </w:pPr>
      <w:rPr>
        <w:rFonts w:ascii="宋体" w:hAnsi="宋体" w:eastAsia="宋体"/>
        <w:b/>
        <w:sz w:val="24"/>
        <w:szCs w:val="24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ascii="宋体" w:hAnsi="宋体" w:eastAsia="宋体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revisionView w:markup="0"/>
  <w:trackRevisions w:val="1"/>
  <w:documentProtection w:enforcement="0"/>
  <w:defaultTabStop w:val="420"/>
  <w:drawingGridHorizontalSpacing w:val="20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882"/>
    <w:rsid w:val="000156E0"/>
    <w:rsid w:val="00017872"/>
    <w:rsid w:val="00023C4E"/>
    <w:rsid w:val="000345FA"/>
    <w:rsid w:val="000632B1"/>
    <w:rsid w:val="00072CAD"/>
    <w:rsid w:val="00093159"/>
    <w:rsid w:val="000C2704"/>
    <w:rsid w:val="000D0B66"/>
    <w:rsid w:val="000F0891"/>
    <w:rsid w:val="00114476"/>
    <w:rsid w:val="00172A27"/>
    <w:rsid w:val="00174C10"/>
    <w:rsid w:val="00182F90"/>
    <w:rsid w:val="001973E8"/>
    <w:rsid w:val="001A1D45"/>
    <w:rsid w:val="001B6905"/>
    <w:rsid w:val="001E1945"/>
    <w:rsid w:val="00214EEA"/>
    <w:rsid w:val="00216FF4"/>
    <w:rsid w:val="0026015F"/>
    <w:rsid w:val="00266D4A"/>
    <w:rsid w:val="00275FFD"/>
    <w:rsid w:val="00276901"/>
    <w:rsid w:val="00293199"/>
    <w:rsid w:val="002A02DF"/>
    <w:rsid w:val="002A32F5"/>
    <w:rsid w:val="002C2938"/>
    <w:rsid w:val="002C2BBC"/>
    <w:rsid w:val="002D2F0A"/>
    <w:rsid w:val="002D32E9"/>
    <w:rsid w:val="002D43D4"/>
    <w:rsid w:val="002D7715"/>
    <w:rsid w:val="002E28A0"/>
    <w:rsid w:val="00316DD6"/>
    <w:rsid w:val="003334EE"/>
    <w:rsid w:val="003354C1"/>
    <w:rsid w:val="0035493C"/>
    <w:rsid w:val="00356D49"/>
    <w:rsid w:val="0037153F"/>
    <w:rsid w:val="0037741C"/>
    <w:rsid w:val="00385ACC"/>
    <w:rsid w:val="003B79F6"/>
    <w:rsid w:val="003C4D6D"/>
    <w:rsid w:val="003D57E4"/>
    <w:rsid w:val="003F6EF9"/>
    <w:rsid w:val="00465CDA"/>
    <w:rsid w:val="004875B7"/>
    <w:rsid w:val="004876EE"/>
    <w:rsid w:val="004D0329"/>
    <w:rsid w:val="004D35B8"/>
    <w:rsid w:val="004D5768"/>
    <w:rsid w:val="004E1AFA"/>
    <w:rsid w:val="00501331"/>
    <w:rsid w:val="00502E67"/>
    <w:rsid w:val="005045F3"/>
    <w:rsid w:val="00505092"/>
    <w:rsid w:val="00506B37"/>
    <w:rsid w:val="00506FF5"/>
    <w:rsid w:val="005139A4"/>
    <w:rsid w:val="00524BD3"/>
    <w:rsid w:val="00534596"/>
    <w:rsid w:val="00563060"/>
    <w:rsid w:val="005722F0"/>
    <w:rsid w:val="005734E1"/>
    <w:rsid w:val="00584C02"/>
    <w:rsid w:val="005A2AFF"/>
    <w:rsid w:val="005B27EE"/>
    <w:rsid w:val="005C3438"/>
    <w:rsid w:val="005E0FDE"/>
    <w:rsid w:val="005F0EDC"/>
    <w:rsid w:val="005F2F5F"/>
    <w:rsid w:val="005F3FC1"/>
    <w:rsid w:val="006041F8"/>
    <w:rsid w:val="0060452B"/>
    <w:rsid w:val="0061057F"/>
    <w:rsid w:val="006108E0"/>
    <w:rsid w:val="006170F1"/>
    <w:rsid w:val="006353D0"/>
    <w:rsid w:val="00637D9F"/>
    <w:rsid w:val="00670CEB"/>
    <w:rsid w:val="00693887"/>
    <w:rsid w:val="00693AAF"/>
    <w:rsid w:val="006A0248"/>
    <w:rsid w:val="006C3AB9"/>
    <w:rsid w:val="006D25D3"/>
    <w:rsid w:val="006F3BEC"/>
    <w:rsid w:val="006F7608"/>
    <w:rsid w:val="006F7C16"/>
    <w:rsid w:val="00700752"/>
    <w:rsid w:val="00711026"/>
    <w:rsid w:val="007134A7"/>
    <w:rsid w:val="00714BE4"/>
    <w:rsid w:val="00717982"/>
    <w:rsid w:val="00722F8B"/>
    <w:rsid w:val="00760C78"/>
    <w:rsid w:val="0076486F"/>
    <w:rsid w:val="00773C79"/>
    <w:rsid w:val="007A2A11"/>
    <w:rsid w:val="007A6CCE"/>
    <w:rsid w:val="007B1CA8"/>
    <w:rsid w:val="007B67DC"/>
    <w:rsid w:val="007D76C3"/>
    <w:rsid w:val="007E040D"/>
    <w:rsid w:val="007E216A"/>
    <w:rsid w:val="007E4F54"/>
    <w:rsid w:val="007F6118"/>
    <w:rsid w:val="0080074E"/>
    <w:rsid w:val="008414F8"/>
    <w:rsid w:val="008675C9"/>
    <w:rsid w:val="00873B49"/>
    <w:rsid w:val="00884E58"/>
    <w:rsid w:val="00884E63"/>
    <w:rsid w:val="008973C6"/>
    <w:rsid w:val="008A2D51"/>
    <w:rsid w:val="008B0B5E"/>
    <w:rsid w:val="008B356C"/>
    <w:rsid w:val="008B5589"/>
    <w:rsid w:val="008D7C6A"/>
    <w:rsid w:val="008F0DF1"/>
    <w:rsid w:val="008F6399"/>
    <w:rsid w:val="009018A3"/>
    <w:rsid w:val="00910891"/>
    <w:rsid w:val="00915FD9"/>
    <w:rsid w:val="0092651B"/>
    <w:rsid w:val="0096627D"/>
    <w:rsid w:val="00967A78"/>
    <w:rsid w:val="00967CD0"/>
    <w:rsid w:val="00970DE2"/>
    <w:rsid w:val="009856F8"/>
    <w:rsid w:val="00995A37"/>
    <w:rsid w:val="009C1296"/>
    <w:rsid w:val="009C221A"/>
    <w:rsid w:val="009F306D"/>
    <w:rsid w:val="009F594E"/>
    <w:rsid w:val="00A065CA"/>
    <w:rsid w:val="00A072EA"/>
    <w:rsid w:val="00A1310D"/>
    <w:rsid w:val="00A14D1C"/>
    <w:rsid w:val="00A23505"/>
    <w:rsid w:val="00A31CF0"/>
    <w:rsid w:val="00A56198"/>
    <w:rsid w:val="00A568E3"/>
    <w:rsid w:val="00A62B76"/>
    <w:rsid w:val="00A62FC3"/>
    <w:rsid w:val="00A70D91"/>
    <w:rsid w:val="00A71F23"/>
    <w:rsid w:val="00A93210"/>
    <w:rsid w:val="00AA3840"/>
    <w:rsid w:val="00AB5857"/>
    <w:rsid w:val="00AB64D0"/>
    <w:rsid w:val="00AD602D"/>
    <w:rsid w:val="00AE620F"/>
    <w:rsid w:val="00AF1068"/>
    <w:rsid w:val="00AF35C5"/>
    <w:rsid w:val="00B31B13"/>
    <w:rsid w:val="00B601C3"/>
    <w:rsid w:val="00B61253"/>
    <w:rsid w:val="00B75C9B"/>
    <w:rsid w:val="00B92212"/>
    <w:rsid w:val="00BB7679"/>
    <w:rsid w:val="00BC32C2"/>
    <w:rsid w:val="00BD049A"/>
    <w:rsid w:val="00BD11E8"/>
    <w:rsid w:val="00BE0456"/>
    <w:rsid w:val="00BF7846"/>
    <w:rsid w:val="00C170E5"/>
    <w:rsid w:val="00C54794"/>
    <w:rsid w:val="00C66F0E"/>
    <w:rsid w:val="00C70C98"/>
    <w:rsid w:val="00C81F53"/>
    <w:rsid w:val="00C9003C"/>
    <w:rsid w:val="00CA27B0"/>
    <w:rsid w:val="00CC7E62"/>
    <w:rsid w:val="00CD3191"/>
    <w:rsid w:val="00CE2340"/>
    <w:rsid w:val="00CE2EC5"/>
    <w:rsid w:val="00CE4634"/>
    <w:rsid w:val="00CE7751"/>
    <w:rsid w:val="00D114B6"/>
    <w:rsid w:val="00D131BE"/>
    <w:rsid w:val="00D17C35"/>
    <w:rsid w:val="00D26961"/>
    <w:rsid w:val="00D70A8F"/>
    <w:rsid w:val="00D85A8C"/>
    <w:rsid w:val="00D90A4A"/>
    <w:rsid w:val="00D9454D"/>
    <w:rsid w:val="00DA3E56"/>
    <w:rsid w:val="00DA5339"/>
    <w:rsid w:val="00DB78CD"/>
    <w:rsid w:val="00DC7470"/>
    <w:rsid w:val="00DD2FB3"/>
    <w:rsid w:val="00DD607A"/>
    <w:rsid w:val="00DF585F"/>
    <w:rsid w:val="00DF5C31"/>
    <w:rsid w:val="00DF7048"/>
    <w:rsid w:val="00E04E92"/>
    <w:rsid w:val="00E10880"/>
    <w:rsid w:val="00E12521"/>
    <w:rsid w:val="00E17C77"/>
    <w:rsid w:val="00E240C9"/>
    <w:rsid w:val="00E2560E"/>
    <w:rsid w:val="00E26E8F"/>
    <w:rsid w:val="00E614E7"/>
    <w:rsid w:val="00E62544"/>
    <w:rsid w:val="00E741E2"/>
    <w:rsid w:val="00E742FF"/>
    <w:rsid w:val="00E77089"/>
    <w:rsid w:val="00E869B8"/>
    <w:rsid w:val="00EA1E63"/>
    <w:rsid w:val="00EA3743"/>
    <w:rsid w:val="00EB3B85"/>
    <w:rsid w:val="00ED7D35"/>
    <w:rsid w:val="00EE1B23"/>
    <w:rsid w:val="00F00086"/>
    <w:rsid w:val="00F00984"/>
    <w:rsid w:val="00F24D25"/>
    <w:rsid w:val="00F373BC"/>
    <w:rsid w:val="00F378CE"/>
    <w:rsid w:val="00F37A67"/>
    <w:rsid w:val="00F80065"/>
    <w:rsid w:val="00FA2A94"/>
    <w:rsid w:val="00FA6D4A"/>
    <w:rsid w:val="00FB2DDD"/>
    <w:rsid w:val="00FB5B9A"/>
    <w:rsid w:val="00FD2137"/>
    <w:rsid w:val="00FD3F61"/>
    <w:rsid w:val="00FD597D"/>
    <w:rsid w:val="00FE6FC5"/>
    <w:rsid w:val="00FF3178"/>
    <w:rsid w:val="00FF411B"/>
    <w:rsid w:val="00FF684B"/>
    <w:rsid w:val="011420C0"/>
    <w:rsid w:val="012164A0"/>
    <w:rsid w:val="012B41E4"/>
    <w:rsid w:val="015317B6"/>
    <w:rsid w:val="01553A36"/>
    <w:rsid w:val="01570494"/>
    <w:rsid w:val="01605EE2"/>
    <w:rsid w:val="01651CD9"/>
    <w:rsid w:val="01CE67F4"/>
    <w:rsid w:val="01F23F2A"/>
    <w:rsid w:val="02261622"/>
    <w:rsid w:val="028202F0"/>
    <w:rsid w:val="02CF4BDA"/>
    <w:rsid w:val="02D17124"/>
    <w:rsid w:val="033D2A56"/>
    <w:rsid w:val="03413BE1"/>
    <w:rsid w:val="035B717A"/>
    <w:rsid w:val="03994DA7"/>
    <w:rsid w:val="03D22E33"/>
    <w:rsid w:val="03D625E6"/>
    <w:rsid w:val="040D2AA0"/>
    <w:rsid w:val="04185982"/>
    <w:rsid w:val="04312E68"/>
    <w:rsid w:val="043178A8"/>
    <w:rsid w:val="043C6642"/>
    <w:rsid w:val="04450098"/>
    <w:rsid w:val="04821C4C"/>
    <w:rsid w:val="04A52D5E"/>
    <w:rsid w:val="04B9384D"/>
    <w:rsid w:val="04FB688D"/>
    <w:rsid w:val="053036E5"/>
    <w:rsid w:val="05321746"/>
    <w:rsid w:val="054E6430"/>
    <w:rsid w:val="05625C26"/>
    <w:rsid w:val="057B238D"/>
    <w:rsid w:val="05922A16"/>
    <w:rsid w:val="05D90A0C"/>
    <w:rsid w:val="060671F9"/>
    <w:rsid w:val="062B0569"/>
    <w:rsid w:val="064A5EDE"/>
    <w:rsid w:val="0654681C"/>
    <w:rsid w:val="069C4950"/>
    <w:rsid w:val="06E22BD9"/>
    <w:rsid w:val="07813BEA"/>
    <w:rsid w:val="078B6A63"/>
    <w:rsid w:val="079B1188"/>
    <w:rsid w:val="07AF6AAA"/>
    <w:rsid w:val="0803017B"/>
    <w:rsid w:val="08083955"/>
    <w:rsid w:val="08BF1355"/>
    <w:rsid w:val="08C11C57"/>
    <w:rsid w:val="08EB3893"/>
    <w:rsid w:val="094C3718"/>
    <w:rsid w:val="096164AA"/>
    <w:rsid w:val="097A7AD1"/>
    <w:rsid w:val="099A78CF"/>
    <w:rsid w:val="09A3701B"/>
    <w:rsid w:val="09D1046B"/>
    <w:rsid w:val="09E119A2"/>
    <w:rsid w:val="0A5A37E1"/>
    <w:rsid w:val="0A657D9F"/>
    <w:rsid w:val="0A717402"/>
    <w:rsid w:val="0A73289C"/>
    <w:rsid w:val="0A892E08"/>
    <w:rsid w:val="0AB31B64"/>
    <w:rsid w:val="0AE8367C"/>
    <w:rsid w:val="0B244052"/>
    <w:rsid w:val="0B6F2693"/>
    <w:rsid w:val="0B917933"/>
    <w:rsid w:val="0BB87D63"/>
    <w:rsid w:val="0BD23D81"/>
    <w:rsid w:val="0BDB2A1C"/>
    <w:rsid w:val="0BEA628D"/>
    <w:rsid w:val="0BF145E8"/>
    <w:rsid w:val="0BFE3258"/>
    <w:rsid w:val="0C6032AE"/>
    <w:rsid w:val="0C8E29D6"/>
    <w:rsid w:val="0C8F7A87"/>
    <w:rsid w:val="0C995D7A"/>
    <w:rsid w:val="0CAB4205"/>
    <w:rsid w:val="0CBA3529"/>
    <w:rsid w:val="0CC55409"/>
    <w:rsid w:val="0CE13029"/>
    <w:rsid w:val="0CF4170E"/>
    <w:rsid w:val="0D07099E"/>
    <w:rsid w:val="0D2EDCDC"/>
    <w:rsid w:val="0D70169F"/>
    <w:rsid w:val="0D924734"/>
    <w:rsid w:val="0D993EFE"/>
    <w:rsid w:val="0DBFED95"/>
    <w:rsid w:val="0DD81515"/>
    <w:rsid w:val="0DFC7D61"/>
    <w:rsid w:val="0E057DF8"/>
    <w:rsid w:val="0E06571C"/>
    <w:rsid w:val="0E341388"/>
    <w:rsid w:val="0E3766AE"/>
    <w:rsid w:val="0E3C3F88"/>
    <w:rsid w:val="0E582A9F"/>
    <w:rsid w:val="0E7425F0"/>
    <w:rsid w:val="0E8233EC"/>
    <w:rsid w:val="0E8954B3"/>
    <w:rsid w:val="0ED062C0"/>
    <w:rsid w:val="0F0B4808"/>
    <w:rsid w:val="0F183748"/>
    <w:rsid w:val="0F4278A1"/>
    <w:rsid w:val="0F5830A6"/>
    <w:rsid w:val="0F7C6B24"/>
    <w:rsid w:val="0FD60930"/>
    <w:rsid w:val="0FFE691D"/>
    <w:rsid w:val="10083E9B"/>
    <w:rsid w:val="109D16D1"/>
    <w:rsid w:val="10B90B5B"/>
    <w:rsid w:val="10BB2A42"/>
    <w:rsid w:val="10CB5AD1"/>
    <w:rsid w:val="10D81C47"/>
    <w:rsid w:val="10DF1D3E"/>
    <w:rsid w:val="10E703CB"/>
    <w:rsid w:val="11390855"/>
    <w:rsid w:val="115B4F82"/>
    <w:rsid w:val="11913095"/>
    <w:rsid w:val="11957B9C"/>
    <w:rsid w:val="11963BD2"/>
    <w:rsid w:val="11A11AE5"/>
    <w:rsid w:val="11D968CE"/>
    <w:rsid w:val="1208533D"/>
    <w:rsid w:val="120D6068"/>
    <w:rsid w:val="12241DA6"/>
    <w:rsid w:val="12C33C44"/>
    <w:rsid w:val="12C7219B"/>
    <w:rsid w:val="1324650D"/>
    <w:rsid w:val="1356441F"/>
    <w:rsid w:val="137DA4FB"/>
    <w:rsid w:val="13873278"/>
    <w:rsid w:val="138D28D6"/>
    <w:rsid w:val="139A32B7"/>
    <w:rsid w:val="13C505FF"/>
    <w:rsid w:val="13EE2F46"/>
    <w:rsid w:val="143B531E"/>
    <w:rsid w:val="14492156"/>
    <w:rsid w:val="146C1347"/>
    <w:rsid w:val="14793F95"/>
    <w:rsid w:val="149104E8"/>
    <w:rsid w:val="14D54D74"/>
    <w:rsid w:val="1506011C"/>
    <w:rsid w:val="15683B42"/>
    <w:rsid w:val="157842C9"/>
    <w:rsid w:val="15807649"/>
    <w:rsid w:val="158E25ED"/>
    <w:rsid w:val="15947676"/>
    <w:rsid w:val="15A72795"/>
    <w:rsid w:val="15C7F924"/>
    <w:rsid w:val="15D456A0"/>
    <w:rsid w:val="15F66E2B"/>
    <w:rsid w:val="15F87200"/>
    <w:rsid w:val="15FE2248"/>
    <w:rsid w:val="16182E0A"/>
    <w:rsid w:val="165677D9"/>
    <w:rsid w:val="167B388D"/>
    <w:rsid w:val="16D9398F"/>
    <w:rsid w:val="16F5B385"/>
    <w:rsid w:val="170422D1"/>
    <w:rsid w:val="1708634D"/>
    <w:rsid w:val="172E1B5E"/>
    <w:rsid w:val="17371389"/>
    <w:rsid w:val="17494063"/>
    <w:rsid w:val="17546ADB"/>
    <w:rsid w:val="175D0414"/>
    <w:rsid w:val="17703AFD"/>
    <w:rsid w:val="179C5FBA"/>
    <w:rsid w:val="17BE133B"/>
    <w:rsid w:val="17BFFBF7"/>
    <w:rsid w:val="17C526BC"/>
    <w:rsid w:val="17FD5C4C"/>
    <w:rsid w:val="1808235E"/>
    <w:rsid w:val="18246B6B"/>
    <w:rsid w:val="18271D02"/>
    <w:rsid w:val="184A5790"/>
    <w:rsid w:val="184C2CC6"/>
    <w:rsid w:val="1889101E"/>
    <w:rsid w:val="188C0BE3"/>
    <w:rsid w:val="18976E60"/>
    <w:rsid w:val="18BA187B"/>
    <w:rsid w:val="18BE0F2E"/>
    <w:rsid w:val="19343EF6"/>
    <w:rsid w:val="194E0330"/>
    <w:rsid w:val="194F4C6F"/>
    <w:rsid w:val="195908C4"/>
    <w:rsid w:val="197054A5"/>
    <w:rsid w:val="198620CE"/>
    <w:rsid w:val="19A65F68"/>
    <w:rsid w:val="19D83E14"/>
    <w:rsid w:val="19E7EBC5"/>
    <w:rsid w:val="19EFF368"/>
    <w:rsid w:val="1A701A15"/>
    <w:rsid w:val="1AA537A2"/>
    <w:rsid w:val="1AAC1EB2"/>
    <w:rsid w:val="1AE24529"/>
    <w:rsid w:val="1B1D3D2D"/>
    <w:rsid w:val="1B604DF7"/>
    <w:rsid w:val="1B661710"/>
    <w:rsid w:val="1B9E64F2"/>
    <w:rsid w:val="1BFE418A"/>
    <w:rsid w:val="1BFFC66F"/>
    <w:rsid w:val="1C1F0542"/>
    <w:rsid w:val="1C2D3E4A"/>
    <w:rsid w:val="1C426950"/>
    <w:rsid w:val="1C4765A8"/>
    <w:rsid w:val="1C546029"/>
    <w:rsid w:val="1C6901B1"/>
    <w:rsid w:val="1CAD60DF"/>
    <w:rsid w:val="1CC45DEB"/>
    <w:rsid w:val="1D337359"/>
    <w:rsid w:val="1D380D02"/>
    <w:rsid w:val="1D4467AC"/>
    <w:rsid w:val="1D497547"/>
    <w:rsid w:val="1DBAB93E"/>
    <w:rsid w:val="1DCB19EE"/>
    <w:rsid w:val="1DD5706C"/>
    <w:rsid w:val="1DE31F6B"/>
    <w:rsid w:val="1DF33385"/>
    <w:rsid w:val="1DFFED3E"/>
    <w:rsid w:val="1E223A8B"/>
    <w:rsid w:val="1E2D620F"/>
    <w:rsid w:val="1E410E9D"/>
    <w:rsid w:val="1E6D4690"/>
    <w:rsid w:val="1ECC60AF"/>
    <w:rsid w:val="1ED63B46"/>
    <w:rsid w:val="1EDC2150"/>
    <w:rsid w:val="1EDCB4E9"/>
    <w:rsid w:val="1EE76CC2"/>
    <w:rsid w:val="1EFCC621"/>
    <w:rsid w:val="1F3FA99B"/>
    <w:rsid w:val="1F5B60C5"/>
    <w:rsid w:val="1F5C043F"/>
    <w:rsid w:val="1F5F36CE"/>
    <w:rsid w:val="1F7D20BE"/>
    <w:rsid w:val="1F7FF336"/>
    <w:rsid w:val="1F87632D"/>
    <w:rsid w:val="1FA02C62"/>
    <w:rsid w:val="1FC22FC0"/>
    <w:rsid w:val="1FD95B8D"/>
    <w:rsid w:val="1FDE651D"/>
    <w:rsid w:val="1FF4183E"/>
    <w:rsid w:val="1FFB0277"/>
    <w:rsid w:val="20005D1A"/>
    <w:rsid w:val="202872CE"/>
    <w:rsid w:val="20382911"/>
    <w:rsid w:val="2056239C"/>
    <w:rsid w:val="207E643B"/>
    <w:rsid w:val="208E5198"/>
    <w:rsid w:val="20AF5EEA"/>
    <w:rsid w:val="20B32D1B"/>
    <w:rsid w:val="20B946E0"/>
    <w:rsid w:val="20D41B2E"/>
    <w:rsid w:val="20F07092"/>
    <w:rsid w:val="211227F5"/>
    <w:rsid w:val="2122049F"/>
    <w:rsid w:val="2145226F"/>
    <w:rsid w:val="21766768"/>
    <w:rsid w:val="218602AF"/>
    <w:rsid w:val="21DF046D"/>
    <w:rsid w:val="21F8071D"/>
    <w:rsid w:val="22156E7A"/>
    <w:rsid w:val="226674C2"/>
    <w:rsid w:val="22762EC1"/>
    <w:rsid w:val="22B508AF"/>
    <w:rsid w:val="22FE3C0B"/>
    <w:rsid w:val="232775E6"/>
    <w:rsid w:val="238258EA"/>
    <w:rsid w:val="23B73288"/>
    <w:rsid w:val="23B96968"/>
    <w:rsid w:val="23C54C80"/>
    <w:rsid w:val="23FBB215"/>
    <w:rsid w:val="23FFEB1B"/>
    <w:rsid w:val="24001E9D"/>
    <w:rsid w:val="241F76FC"/>
    <w:rsid w:val="245615A0"/>
    <w:rsid w:val="24914773"/>
    <w:rsid w:val="24E62C82"/>
    <w:rsid w:val="24FB61C4"/>
    <w:rsid w:val="253FD8C9"/>
    <w:rsid w:val="254D53C2"/>
    <w:rsid w:val="255054BA"/>
    <w:rsid w:val="256F1ACD"/>
    <w:rsid w:val="257F6278"/>
    <w:rsid w:val="25A869D6"/>
    <w:rsid w:val="26742D34"/>
    <w:rsid w:val="26981B61"/>
    <w:rsid w:val="26A37EF2"/>
    <w:rsid w:val="26F918F6"/>
    <w:rsid w:val="27127660"/>
    <w:rsid w:val="272A0371"/>
    <w:rsid w:val="272EED8E"/>
    <w:rsid w:val="2756F4BB"/>
    <w:rsid w:val="276FF825"/>
    <w:rsid w:val="2772537F"/>
    <w:rsid w:val="277A46D2"/>
    <w:rsid w:val="2788129E"/>
    <w:rsid w:val="27B63CB4"/>
    <w:rsid w:val="27BE1344"/>
    <w:rsid w:val="27E704A8"/>
    <w:rsid w:val="27FB5F34"/>
    <w:rsid w:val="283B4790"/>
    <w:rsid w:val="284550A0"/>
    <w:rsid w:val="2859091A"/>
    <w:rsid w:val="287176A3"/>
    <w:rsid w:val="2884331E"/>
    <w:rsid w:val="28A453F4"/>
    <w:rsid w:val="28BB411C"/>
    <w:rsid w:val="28E15A83"/>
    <w:rsid w:val="28E95FEC"/>
    <w:rsid w:val="28FE6705"/>
    <w:rsid w:val="29652300"/>
    <w:rsid w:val="29957A6A"/>
    <w:rsid w:val="299856B9"/>
    <w:rsid w:val="29D32128"/>
    <w:rsid w:val="29E5509C"/>
    <w:rsid w:val="29FF90CF"/>
    <w:rsid w:val="2A6D7F28"/>
    <w:rsid w:val="2ABD26F5"/>
    <w:rsid w:val="2ACC5E2B"/>
    <w:rsid w:val="2AE758BA"/>
    <w:rsid w:val="2B2B5DBF"/>
    <w:rsid w:val="2B3A0B91"/>
    <w:rsid w:val="2B4D1C5C"/>
    <w:rsid w:val="2B5F3FFC"/>
    <w:rsid w:val="2B6FABE6"/>
    <w:rsid w:val="2BAFCD92"/>
    <w:rsid w:val="2BDB42F2"/>
    <w:rsid w:val="2BDF4485"/>
    <w:rsid w:val="2BE1122A"/>
    <w:rsid w:val="2BE5684F"/>
    <w:rsid w:val="2BFB68F3"/>
    <w:rsid w:val="2BFE3367"/>
    <w:rsid w:val="2C084E07"/>
    <w:rsid w:val="2C3A44DA"/>
    <w:rsid w:val="2C557F84"/>
    <w:rsid w:val="2C6538E6"/>
    <w:rsid w:val="2CFFD930"/>
    <w:rsid w:val="2D081B41"/>
    <w:rsid w:val="2D324DFC"/>
    <w:rsid w:val="2D376F96"/>
    <w:rsid w:val="2D4016A6"/>
    <w:rsid w:val="2D416E01"/>
    <w:rsid w:val="2D9D3F9F"/>
    <w:rsid w:val="2DB12BFF"/>
    <w:rsid w:val="2DB2163F"/>
    <w:rsid w:val="2DB2CD5C"/>
    <w:rsid w:val="2DD85915"/>
    <w:rsid w:val="2DF00767"/>
    <w:rsid w:val="2DF7BD08"/>
    <w:rsid w:val="2DFA244F"/>
    <w:rsid w:val="2DFF8900"/>
    <w:rsid w:val="2E450E84"/>
    <w:rsid w:val="2E591542"/>
    <w:rsid w:val="2E6F2476"/>
    <w:rsid w:val="2E897D86"/>
    <w:rsid w:val="2EA14652"/>
    <w:rsid w:val="2EEC6788"/>
    <w:rsid w:val="2EFE893F"/>
    <w:rsid w:val="2F122F12"/>
    <w:rsid w:val="2F1A0789"/>
    <w:rsid w:val="2F2F418D"/>
    <w:rsid w:val="2F460F56"/>
    <w:rsid w:val="2F4A11E0"/>
    <w:rsid w:val="2F4F010A"/>
    <w:rsid w:val="2F6B372D"/>
    <w:rsid w:val="2FA239BE"/>
    <w:rsid w:val="2FAF2778"/>
    <w:rsid w:val="2FEA2B5E"/>
    <w:rsid w:val="2FED4E55"/>
    <w:rsid w:val="300A77B4"/>
    <w:rsid w:val="30974B52"/>
    <w:rsid w:val="30BE2847"/>
    <w:rsid w:val="310A5B94"/>
    <w:rsid w:val="312E2402"/>
    <w:rsid w:val="31AB4D5A"/>
    <w:rsid w:val="31B74303"/>
    <w:rsid w:val="31CD24DF"/>
    <w:rsid w:val="31FB71FE"/>
    <w:rsid w:val="31FFA86E"/>
    <w:rsid w:val="32355859"/>
    <w:rsid w:val="3241401D"/>
    <w:rsid w:val="32481A0E"/>
    <w:rsid w:val="325E5714"/>
    <w:rsid w:val="32895019"/>
    <w:rsid w:val="329E19A2"/>
    <w:rsid w:val="32A44D62"/>
    <w:rsid w:val="32B826E0"/>
    <w:rsid w:val="32DF63ED"/>
    <w:rsid w:val="32E20907"/>
    <w:rsid w:val="333764D1"/>
    <w:rsid w:val="333D9A4E"/>
    <w:rsid w:val="33653119"/>
    <w:rsid w:val="337505A4"/>
    <w:rsid w:val="33E7E8C6"/>
    <w:rsid w:val="33F15FC5"/>
    <w:rsid w:val="33FACF97"/>
    <w:rsid w:val="341206D3"/>
    <w:rsid w:val="34210119"/>
    <w:rsid w:val="342D144A"/>
    <w:rsid w:val="343238D1"/>
    <w:rsid w:val="3439473C"/>
    <w:rsid w:val="343D3FD2"/>
    <w:rsid w:val="3467D370"/>
    <w:rsid w:val="34941C9D"/>
    <w:rsid w:val="349F720D"/>
    <w:rsid w:val="34FF32C9"/>
    <w:rsid w:val="34FFB14A"/>
    <w:rsid w:val="35091883"/>
    <w:rsid w:val="350E5A19"/>
    <w:rsid w:val="354B080B"/>
    <w:rsid w:val="35A01BFD"/>
    <w:rsid w:val="35AF6A99"/>
    <w:rsid w:val="35AF7FB4"/>
    <w:rsid w:val="35B77304"/>
    <w:rsid w:val="35ECEDF4"/>
    <w:rsid w:val="361D09BE"/>
    <w:rsid w:val="36226AD0"/>
    <w:rsid w:val="364A66CE"/>
    <w:rsid w:val="365336AB"/>
    <w:rsid w:val="36575BE2"/>
    <w:rsid w:val="3667045E"/>
    <w:rsid w:val="36C25770"/>
    <w:rsid w:val="371401A8"/>
    <w:rsid w:val="373FFB27"/>
    <w:rsid w:val="37604A57"/>
    <w:rsid w:val="377774D6"/>
    <w:rsid w:val="37A421DA"/>
    <w:rsid w:val="37B47713"/>
    <w:rsid w:val="37B53440"/>
    <w:rsid w:val="37D11758"/>
    <w:rsid w:val="37D551BC"/>
    <w:rsid w:val="37F19002"/>
    <w:rsid w:val="37F619F1"/>
    <w:rsid w:val="37FCF3CF"/>
    <w:rsid w:val="38072F6B"/>
    <w:rsid w:val="38170483"/>
    <w:rsid w:val="38412595"/>
    <w:rsid w:val="38545018"/>
    <w:rsid w:val="3877F3FC"/>
    <w:rsid w:val="38922C43"/>
    <w:rsid w:val="38B96A79"/>
    <w:rsid w:val="38D00895"/>
    <w:rsid w:val="38E76A9C"/>
    <w:rsid w:val="38FDC4CF"/>
    <w:rsid w:val="38FE19E8"/>
    <w:rsid w:val="39214C45"/>
    <w:rsid w:val="3931588F"/>
    <w:rsid w:val="394F0F4E"/>
    <w:rsid w:val="39520404"/>
    <w:rsid w:val="39634705"/>
    <w:rsid w:val="39B3700A"/>
    <w:rsid w:val="3A0E03CB"/>
    <w:rsid w:val="3A301DED"/>
    <w:rsid w:val="3A3E4F6F"/>
    <w:rsid w:val="3A4B10A1"/>
    <w:rsid w:val="3A716769"/>
    <w:rsid w:val="3A7526C2"/>
    <w:rsid w:val="3AEB2329"/>
    <w:rsid w:val="3AF34D63"/>
    <w:rsid w:val="3AF5FBB5"/>
    <w:rsid w:val="3AFF7615"/>
    <w:rsid w:val="3AFFA25F"/>
    <w:rsid w:val="3B246909"/>
    <w:rsid w:val="3B5A55C5"/>
    <w:rsid w:val="3B723F27"/>
    <w:rsid w:val="3B7662BE"/>
    <w:rsid w:val="3BAB2075"/>
    <w:rsid w:val="3BB31E3E"/>
    <w:rsid w:val="3BBF5144"/>
    <w:rsid w:val="3BDE141B"/>
    <w:rsid w:val="3BF5F535"/>
    <w:rsid w:val="3BF666C0"/>
    <w:rsid w:val="3BF7B9C3"/>
    <w:rsid w:val="3C203E80"/>
    <w:rsid w:val="3C8B16E3"/>
    <w:rsid w:val="3CDF753E"/>
    <w:rsid w:val="3D1971BF"/>
    <w:rsid w:val="3D523EA7"/>
    <w:rsid w:val="3D57B1DE"/>
    <w:rsid w:val="3D5D5DCB"/>
    <w:rsid w:val="3D67F5A9"/>
    <w:rsid w:val="3D716785"/>
    <w:rsid w:val="3D7F6679"/>
    <w:rsid w:val="3D7FCAB3"/>
    <w:rsid w:val="3D8E097F"/>
    <w:rsid w:val="3D9F369D"/>
    <w:rsid w:val="3DDD3B88"/>
    <w:rsid w:val="3DE91A97"/>
    <w:rsid w:val="3DEB1675"/>
    <w:rsid w:val="3DFB8094"/>
    <w:rsid w:val="3DFBC503"/>
    <w:rsid w:val="3DFF5679"/>
    <w:rsid w:val="3DFF9785"/>
    <w:rsid w:val="3E3F1239"/>
    <w:rsid w:val="3E6109A4"/>
    <w:rsid w:val="3E778F54"/>
    <w:rsid w:val="3E7E2C6C"/>
    <w:rsid w:val="3E805D41"/>
    <w:rsid w:val="3E9277B1"/>
    <w:rsid w:val="3E9F79D6"/>
    <w:rsid w:val="3EBF5CE2"/>
    <w:rsid w:val="3EC3264A"/>
    <w:rsid w:val="3EDB2A57"/>
    <w:rsid w:val="3EE141C8"/>
    <w:rsid w:val="3F0A73E6"/>
    <w:rsid w:val="3F1823D8"/>
    <w:rsid w:val="3F203934"/>
    <w:rsid w:val="3F2C6F9F"/>
    <w:rsid w:val="3F3A7536"/>
    <w:rsid w:val="3F597A8A"/>
    <w:rsid w:val="3F7FD50D"/>
    <w:rsid w:val="3F8714CB"/>
    <w:rsid w:val="3F893FA9"/>
    <w:rsid w:val="3F9A1580"/>
    <w:rsid w:val="3F9F02AF"/>
    <w:rsid w:val="3F9F7F8B"/>
    <w:rsid w:val="3FAD2BB6"/>
    <w:rsid w:val="3FB78D24"/>
    <w:rsid w:val="3FBBDFFC"/>
    <w:rsid w:val="3FBFF155"/>
    <w:rsid w:val="3FCD3F94"/>
    <w:rsid w:val="3FCF5472"/>
    <w:rsid w:val="3FD14A94"/>
    <w:rsid w:val="3FDEC526"/>
    <w:rsid w:val="3FEACF0E"/>
    <w:rsid w:val="3FEDF1AB"/>
    <w:rsid w:val="3FEE2807"/>
    <w:rsid w:val="3FEF4AAB"/>
    <w:rsid w:val="3FF15F63"/>
    <w:rsid w:val="3FFA21E1"/>
    <w:rsid w:val="3FFF5D3D"/>
    <w:rsid w:val="401269C1"/>
    <w:rsid w:val="401C40D8"/>
    <w:rsid w:val="40255E31"/>
    <w:rsid w:val="404A0D49"/>
    <w:rsid w:val="407400B1"/>
    <w:rsid w:val="407671D0"/>
    <w:rsid w:val="408A5B06"/>
    <w:rsid w:val="40EE15E1"/>
    <w:rsid w:val="40F91680"/>
    <w:rsid w:val="41943DE7"/>
    <w:rsid w:val="41A2574B"/>
    <w:rsid w:val="41B67932"/>
    <w:rsid w:val="41BA7839"/>
    <w:rsid w:val="41BF0272"/>
    <w:rsid w:val="41EE3A38"/>
    <w:rsid w:val="42DC35FB"/>
    <w:rsid w:val="42DD500A"/>
    <w:rsid w:val="43297526"/>
    <w:rsid w:val="43655713"/>
    <w:rsid w:val="4367E4F8"/>
    <w:rsid w:val="439A2524"/>
    <w:rsid w:val="43C73176"/>
    <w:rsid w:val="43D111E7"/>
    <w:rsid w:val="43E23901"/>
    <w:rsid w:val="43EF76BD"/>
    <w:rsid w:val="43FBED7C"/>
    <w:rsid w:val="4416012A"/>
    <w:rsid w:val="44297836"/>
    <w:rsid w:val="444658D6"/>
    <w:rsid w:val="445F42BC"/>
    <w:rsid w:val="44C61B90"/>
    <w:rsid w:val="450128BD"/>
    <w:rsid w:val="45397211"/>
    <w:rsid w:val="45585A18"/>
    <w:rsid w:val="457E68AD"/>
    <w:rsid w:val="45AA6CD7"/>
    <w:rsid w:val="45BA5568"/>
    <w:rsid w:val="45F157BC"/>
    <w:rsid w:val="45F732CE"/>
    <w:rsid w:val="465B8207"/>
    <w:rsid w:val="46A10236"/>
    <w:rsid w:val="46B01F4B"/>
    <w:rsid w:val="46D35ECA"/>
    <w:rsid w:val="46F6BA1D"/>
    <w:rsid w:val="472A3B1C"/>
    <w:rsid w:val="47430D13"/>
    <w:rsid w:val="47500015"/>
    <w:rsid w:val="476067EB"/>
    <w:rsid w:val="477914D1"/>
    <w:rsid w:val="47850A45"/>
    <w:rsid w:val="478F2545"/>
    <w:rsid w:val="47910384"/>
    <w:rsid w:val="4791696C"/>
    <w:rsid w:val="479C3B4D"/>
    <w:rsid w:val="479E57A2"/>
    <w:rsid w:val="47C8193C"/>
    <w:rsid w:val="47E42A42"/>
    <w:rsid w:val="47E44A14"/>
    <w:rsid w:val="47F32289"/>
    <w:rsid w:val="47F910B1"/>
    <w:rsid w:val="47FBDE63"/>
    <w:rsid w:val="48021260"/>
    <w:rsid w:val="483E7320"/>
    <w:rsid w:val="487D519F"/>
    <w:rsid w:val="488644B5"/>
    <w:rsid w:val="489F12B3"/>
    <w:rsid w:val="48DB03B6"/>
    <w:rsid w:val="48E158AE"/>
    <w:rsid w:val="48F44837"/>
    <w:rsid w:val="494F5022"/>
    <w:rsid w:val="4965495B"/>
    <w:rsid w:val="49871979"/>
    <w:rsid w:val="49BE7CDE"/>
    <w:rsid w:val="4A4A20CB"/>
    <w:rsid w:val="4A4D52E0"/>
    <w:rsid w:val="4A717981"/>
    <w:rsid w:val="4AA11648"/>
    <w:rsid w:val="4ABF7C19"/>
    <w:rsid w:val="4ACF3306"/>
    <w:rsid w:val="4ADF0312"/>
    <w:rsid w:val="4B645E12"/>
    <w:rsid w:val="4B736C89"/>
    <w:rsid w:val="4B783080"/>
    <w:rsid w:val="4BA97779"/>
    <w:rsid w:val="4BB275BC"/>
    <w:rsid w:val="4BB7D782"/>
    <w:rsid w:val="4BBA84EB"/>
    <w:rsid w:val="4BE9D81D"/>
    <w:rsid w:val="4BEB5651"/>
    <w:rsid w:val="4BFD1C4B"/>
    <w:rsid w:val="4C0B60B5"/>
    <w:rsid w:val="4C164CFA"/>
    <w:rsid w:val="4C410ED1"/>
    <w:rsid w:val="4C6A6F66"/>
    <w:rsid w:val="4C7B6DB7"/>
    <w:rsid w:val="4C9961C0"/>
    <w:rsid w:val="4CD32FA2"/>
    <w:rsid w:val="4CE14AD2"/>
    <w:rsid w:val="4D067963"/>
    <w:rsid w:val="4D295DAF"/>
    <w:rsid w:val="4D973649"/>
    <w:rsid w:val="4D9D50DB"/>
    <w:rsid w:val="4DADE75C"/>
    <w:rsid w:val="4DBCD67D"/>
    <w:rsid w:val="4DC558BC"/>
    <w:rsid w:val="4DDA5692"/>
    <w:rsid w:val="4DDD9DC8"/>
    <w:rsid w:val="4DF675F2"/>
    <w:rsid w:val="4E001FBC"/>
    <w:rsid w:val="4E05041D"/>
    <w:rsid w:val="4E13753E"/>
    <w:rsid w:val="4E227D14"/>
    <w:rsid w:val="4E4327BA"/>
    <w:rsid w:val="4E4809D0"/>
    <w:rsid w:val="4E4B4668"/>
    <w:rsid w:val="4E564AD0"/>
    <w:rsid w:val="4E591F5C"/>
    <w:rsid w:val="4E6D653B"/>
    <w:rsid w:val="4E7FE4B0"/>
    <w:rsid w:val="4EAB3B6C"/>
    <w:rsid w:val="4EAE47A7"/>
    <w:rsid w:val="4EAE4BF3"/>
    <w:rsid w:val="4EB844F9"/>
    <w:rsid w:val="4EBB7198"/>
    <w:rsid w:val="4EBF885F"/>
    <w:rsid w:val="4EE06B39"/>
    <w:rsid w:val="4EF67AE3"/>
    <w:rsid w:val="4F1F635F"/>
    <w:rsid w:val="4F37A0A0"/>
    <w:rsid w:val="4FB43525"/>
    <w:rsid w:val="4FE24CD8"/>
    <w:rsid w:val="4FEA1CE2"/>
    <w:rsid w:val="4FF31D90"/>
    <w:rsid w:val="4FF35ECD"/>
    <w:rsid w:val="4FFDE57C"/>
    <w:rsid w:val="4FFF7BBC"/>
    <w:rsid w:val="4FFFED75"/>
    <w:rsid w:val="5027528D"/>
    <w:rsid w:val="50345D3F"/>
    <w:rsid w:val="50532444"/>
    <w:rsid w:val="505950BF"/>
    <w:rsid w:val="50E410A7"/>
    <w:rsid w:val="511C59E0"/>
    <w:rsid w:val="51367904"/>
    <w:rsid w:val="513F8A04"/>
    <w:rsid w:val="51707B6C"/>
    <w:rsid w:val="517D480E"/>
    <w:rsid w:val="51A26DF0"/>
    <w:rsid w:val="51B448AE"/>
    <w:rsid w:val="52164F15"/>
    <w:rsid w:val="52310F57"/>
    <w:rsid w:val="525948FD"/>
    <w:rsid w:val="52726444"/>
    <w:rsid w:val="528F3E93"/>
    <w:rsid w:val="52A044F4"/>
    <w:rsid w:val="52B7236E"/>
    <w:rsid w:val="52D31BAA"/>
    <w:rsid w:val="52DC7272"/>
    <w:rsid w:val="52FA34BE"/>
    <w:rsid w:val="52FFEA0A"/>
    <w:rsid w:val="530F6CD1"/>
    <w:rsid w:val="531135F1"/>
    <w:rsid w:val="533D0C77"/>
    <w:rsid w:val="53544D50"/>
    <w:rsid w:val="539F3F37"/>
    <w:rsid w:val="53D9315B"/>
    <w:rsid w:val="53EC6E3E"/>
    <w:rsid w:val="54302B8E"/>
    <w:rsid w:val="54365967"/>
    <w:rsid w:val="54506361"/>
    <w:rsid w:val="54A4317B"/>
    <w:rsid w:val="54B8792E"/>
    <w:rsid w:val="54DC2048"/>
    <w:rsid w:val="54F14E86"/>
    <w:rsid w:val="54F7BE32"/>
    <w:rsid w:val="5500720B"/>
    <w:rsid w:val="5536732C"/>
    <w:rsid w:val="556BBA6D"/>
    <w:rsid w:val="557F9BA3"/>
    <w:rsid w:val="55A10345"/>
    <w:rsid w:val="55ED5899"/>
    <w:rsid w:val="55F76B1C"/>
    <w:rsid w:val="56013273"/>
    <w:rsid w:val="561F6E48"/>
    <w:rsid w:val="564A3785"/>
    <w:rsid w:val="564F3F0F"/>
    <w:rsid w:val="565643EB"/>
    <w:rsid w:val="565F30DA"/>
    <w:rsid w:val="567F9934"/>
    <w:rsid w:val="568A5206"/>
    <w:rsid w:val="56AA1789"/>
    <w:rsid w:val="56AB3C81"/>
    <w:rsid w:val="56ED3EC9"/>
    <w:rsid w:val="56FB8C1D"/>
    <w:rsid w:val="56FC1A9B"/>
    <w:rsid w:val="570670D6"/>
    <w:rsid w:val="5716066D"/>
    <w:rsid w:val="577FA196"/>
    <w:rsid w:val="57E706DB"/>
    <w:rsid w:val="586650CB"/>
    <w:rsid w:val="58A673C6"/>
    <w:rsid w:val="58B68442"/>
    <w:rsid w:val="58C21006"/>
    <w:rsid w:val="58C358D1"/>
    <w:rsid w:val="58DD47E9"/>
    <w:rsid w:val="58F962D5"/>
    <w:rsid w:val="591C0116"/>
    <w:rsid w:val="59451AF2"/>
    <w:rsid w:val="59535F7A"/>
    <w:rsid w:val="595B29E5"/>
    <w:rsid w:val="5973466D"/>
    <w:rsid w:val="598415B1"/>
    <w:rsid w:val="59BFCF3C"/>
    <w:rsid w:val="59C75B74"/>
    <w:rsid w:val="5A1631D9"/>
    <w:rsid w:val="5A1F1B8B"/>
    <w:rsid w:val="5A436C9A"/>
    <w:rsid w:val="5A470BD5"/>
    <w:rsid w:val="5A7C6DBF"/>
    <w:rsid w:val="5A8A054E"/>
    <w:rsid w:val="5AB57F1D"/>
    <w:rsid w:val="5AC05BF0"/>
    <w:rsid w:val="5AE71D4F"/>
    <w:rsid w:val="5AE7993D"/>
    <w:rsid w:val="5AF7B6CD"/>
    <w:rsid w:val="5AFDA5CF"/>
    <w:rsid w:val="5AFF3CB6"/>
    <w:rsid w:val="5AFFF1D9"/>
    <w:rsid w:val="5B0FE681"/>
    <w:rsid w:val="5B345835"/>
    <w:rsid w:val="5B396A62"/>
    <w:rsid w:val="5B6FFADD"/>
    <w:rsid w:val="5B824B8A"/>
    <w:rsid w:val="5B971C92"/>
    <w:rsid w:val="5BCF79A9"/>
    <w:rsid w:val="5BEFF1CC"/>
    <w:rsid w:val="5BF79BFF"/>
    <w:rsid w:val="5BF7E2DD"/>
    <w:rsid w:val="5BFEE604"/>
    <w:rsid w:val="5BFF6D12"/>
    <w:rsid w:val="5BFFBFFE"/>
    <w:rsid w:val="5C355E42"/>
    <w:rsid w:val="5C6F7EB5"/>
    <w:rsid w:val="5CC10BB9"/>
    <w:rsid w:val="5CF47558"/>
    <w:rsid w:val="5CF79926"/>
    <w:rsid w:val="5D067251"/>
    <w:rsid w:val="5D7519BE"/>
    <w:rsid w:val="5D967917"/>
    <w:rsid w:val="5D9F6722"/>
    <w:rsid w:val="5DAF72DC"/>
    <w:rsid w:val="5DD96C0F"/>
    <w:rsid w:val="5DE40117"/>
    <w:rsid w:val="5DE7E21D"/>
    <w:rsid w:val="5DFF07BD"/>
    <w:rsid w:val="5DFF21FB"/>
    <w:rsid w:val="5E0C5358"/>
    <w:rsid w:val="5E0F55F4"/>
    <w:rsid w:val="5E1C7AA4"/>
    <w:rsid w:val="5E3602E2"/>
    <w:rsid w:val="5E4976C9"/>
    <w:rsid w:val="5E5F6B78"/>
    <w:rsid w:val="5E9FCFDD"/>
    <w:rsid w:val="5EB706D0"/>
    <w:rsid w:val="5EBA54CB"/>
    <w:rsid w:val="5EC9169E"/>
    <w:rsid w:val="5EDD2484"/>
    <w:rsid w:val="5EDFDD77"/>
    <w:rsid w:val="5EEBB837"/>
    <w:rsid w:val="5EED3303"/>
    <w:rsid w:val="5EF79A13"/>
    <w:rsid w:val="5EFDF100"/>
    <w:rsid w:val="5EFFA5C9"/>
    <w:rsid w:val="5F352F53"/>
    <w:rsid w:val="5F3F1D81"/>
    <w:rsid w:val="5F4948D0"/>
    <w:rsid w:val="5F5B13BA"/>
    <w:rsid w:val="5F7922D4"/>
    <w:rsid w:val="5F797C0E"/>
    <w:rsid w:val="5F7F1013"/>
    <w:rsid w:val="5F7FE3E1"/>
    <w:rsid w:val="5F9F6ABB"/>
    <w:rsid w:val="5FAC295D"/>
    <w:rsid w:val="5FAFAF3C"/>
    <w:rsid w:val="5FB4079A"/>
    <w:rsid w:val="5FBA705A"/>
    <w:rsid w:val="5FBF3727"/>
    <w:rsid w:val="5FD66673"/>
    <w:rsid w:val="5FD748F9"/>
    <w:rsid w:val="5FDD1B92"/>
    <w:rsid w:val="5FDF23AD"/>
    <w:rsid w:val="5FE7DDB2"/>
    <w:rsid w:val="5FEA5D00"/>
    <w:rsid w:val="5FEB74D7"/>
    <w:rsid w:val="5FEB7C6F"/>
    <w:rsid w:val="5FEFCAA1"/>
    <w:rsid w:val="5FEFCC6F"/>
    <w:rsid w:val="5FF16B3F"/>
    <w:rsid w:val="5FF5905C"/>
    <w:rsid w:val="5FF836F6"/>
    <w:rsid w:val="5FF9AF83"/>
    <w:rsid w:val="5FFD1724"/>
    <w:rsid w:val="5FFD20F3"/>
    <w:rsid w:val="5FFE0600"/>
    <w:rsid w:val="5FFF88BC"/>
    <w:rsid w:val="5FFFAE4C"/>
    <w:rsid w:val="5FFFE36A"/>
    <w:rsid w:val="606174C8"/>
    <w:rsid w:val="60A94346"/>
    <w:rsid w:val="61036B45"/>
    <w:rsid w:val="61332BAC"/>
    <w:rsid w:val="613C6FF5"/>
    <w:rsid w:val="613D3971"/>
    <w:rsid w:val="61621419"/>
    <w:rsid w:val="61C977C8"/>
    <w:rsid w:val="61D17068"/>
    <w:rsid w:val="61FA0249"/>
    <w:rsid w:val="620B3947"/>
    <w:rsid w:val="6243258E"/>
    <w:rsid w:val="624B0BD0"/>
    <w:rsid w:val="627207EA"/>
    <w:rsid w:val="628A3AB4"/>
    <w:rsid w:val="62957C9B"/>
    <w:rsid w:val="62A66778"/>
    <w:rsid w:val="62DE5BC0"/>
    <w:rsid w:val="62EBF8DA"/>
    <w:rsid w:val="63153836"/>
    <w:rsid w:val="631C646C"/>
    <w:rsid w:val="636F3885"/>
    <w:rsid w:val="637454D9"/>
    <w:rsid w:val="64362692"/>
    <w:rsid w:val="643B2792"/>
    <w:rsid w:val="645A0770"/>
    <w:rsid w:val="645C7985"/>
    <w:rsid w:val="6467820F"/>
    <w:rsid w:val="64973121"/>
    <w:rsid w:val="652E5830"/>
    <w:rsid w:val="653E61EA"/>
    <w:rsid w:val="653F940F"/>
    <w:rsid w:val="654D05BF"/>
    <w:rsid w:val="654D14A9"/>
    <w:rsid w:val="659A7066"/>
    <w:rsid w:val="65BEBDD7"/>
    <w:rsid w:val="65E273B9"/>
    <w:rsid w:val="65E75B62"/>
    <w:rsid w:val="65F95D7A"/>
    <w:rsid w:val="664F20DE"/>
    <w:rsid w:val="66634354"/>
    <w:rsid w:val="66D01339"/>
    <w:rsid w:val="66E773DB"/>
    <w:rsid w:val="66FD71FB"/>
    <w:rsid w:val="674D6E07"/>
    <w:rsid w:val="6755229C"/>
    <w:rsid w:val="675DEA9D"/>
    <w:rsid w:val="6786274D"/>
    <w:rsid w:val="67AB56C4"/>
    <w:rsid w:val="67D75514"/>
    <w:rsid w:val="67E74B0A"/>
    <w:rsid w:val="67FF1BBD"/>
    <w:rsid w:val="67FF2A85"/>
    <w:rsid w:val="680126E7"/>
    <w:rsid w:val="68257B37"/>
    <w:rsid w:val="687142E8"/>
    <w:rsid w:val="688E2C0E"/>
    <w:rsid w:val="68A1486D"/>
    <w:rsid w:val="68BF1E69"/>
    <w:rsid w:val="68EA7E48"/>
    <w:rsid w:val="68FD8F6B"/>
    <w:rsid w:val="6904444F"/>
    <w:rsid w:val="69432E10"/>
    <w:rsid w:val="697E3620"/>
    <w:rsid w:val="69DF087B"/>
    <w:rsid w:val="69F07101"/>
    <w:rsid w:val="69F31A82"/>
    <w:rsid w:val="69FDD8B5"/>
    <w:rsid w:val="69FF5BF0"/>
    <w:rsid w:val="6A204114"/>
    <w:rsid w:val="6A204A29"/>
    <w:rsid w:val="6A3F5463"/>
    <w:rsid w:val="6A522630"/>
    <w:rsid w:val="6A626DD2"/>
    <w:rsid w:val="6AD36418"/>
    <w:rsid w:val="6AEE110F"/>
    <w:rsid w:val="6AFC4BC3"/>
    <w:rsid w:val="6B000653"/>
    <w:rsid w:val="6B111E26"/>
    <w:rsid w:val="6B1F220C"/>
    <w:rsid w:val="6B2C0D7D"/>
    <w:rsid w:val="6B2C5E93"/>
    <w:rsid w:val="6B740282"/>
    <w:rsid w:val="6BDD483B"/>
    <w:rsid w:val="6BDF6DB7"/>
    <w:rsid w:val="6BEC331A"/>
    <w:rsid w:val="6BEF02E5"/>
    <w:rsid w:val="6BEFC211"/>
    <w:rsid w:val="6BEFCE69"/>
    <w:rsid w:val="6C026743"/>
    <w:rsid w:val="6C264FD3"/>
    <w:rsid w:val="6C5E3498"/>
    <w:rsid w:val="6C7AA3FB"/>
    <w:rsid w:val="6CAC7B4C"/>
    <w:rsid w:val="6CDAB53C"/>
    <w:rsid w:val="6CDF4217"/>
    <w:rsid w:val="6CEFACA1"/>
    <w:rsid w:val="6CFFAF11"/>
    <w:rsid w:val="6D0944D9"/>
    <w:rsid w:val="6D19B412"/>
    <w:rsid w:val="6D21534A"/>
    <w:rsid w:val="6D394C37"/>
    <w:rsid w:val="6D5A599F"/>
    <w:rsid w:val="6D6F2D6A"/>
    <w:rsid w:val="6D816609"/>
    <w:rsid w:val="6D9FC0C1"/>
    <w:rsid w:val="6DA44F4D"/>
    <w:rsid w:val="6DABCCFF"/>
    <w:rsid w:val="6DBB1944"/>
    <w:rsid w:val="6DC42AAA"/>
    <w:rsid w:val="6DCE61E3"/>
    <w:rsid w:val="6DCF7F51"/>
    <w:rsid w:val="6DD00817"/>
    <w:rsid w:val="6DDE4A0C"/>
    <w:rsid w:val="6DDE87F0"/>
    <w:rsid w:val="6DF45114"/>
    <w:rsid w:val="6DFFB486"/>
    <w:rsid w:val="6E1C303F"/>
    <w:rsid w:val="6E203314"/>
    <w:rsid w:val="6E3553A2"/>
    <w:rsid w:val="6E3D95D4"/>
    <w:rsid w:val="6E5F9087"/>
    <w:rsid w:val="6EAD331D"/>
    <w:rsid w:val="6EBDCA05"/>
    <w:rsid w:val="6EBF6E90"/>
    <w:rsid w:val="6ECFB56F"/>
    <w:rsid w:val="6EE7668E"/>
    <w:rsid w:val="6EEF0EFC"/>
    <w:rsid w:val="6EF73AF3"/>
    <w:rsid w:val="6EFF5C98"/>
    <w:rsid w:val="6F2BA91C"/>
    <w:rsid w:val="6F2E6A49"/>
    <w:rsid w:val="6F3916BB"/>
    <w:rsid w:val="6F3B0DBB"/>
    <w:rsid w:val="6F5EE4B4"/>
    <w:rsid w:val="6F5F44A6"/>
    <w:rsid w:val="6F5F5D55"/>
    <w:rsid w:val="6F735958"/>
    <w:rsid w:val="6F7D3A5A"/>
    <w:rsid w:val="6F7D7EB1"/>
    <w:rsid w:val="6F8E7BCA"/>
    <w:rsid w:val="6FA5B2CD"/>
    <w:rsid w:val="6FB727C7"/>
    <w:rsid w:val="6FB7DEA8"/>
    <w:rsid w:val="6FBA9F0B"/>
    <w:rsid w:val="6FD2796C"/>
    <w:rsid w:val="6FDE1B61"/>
    <w:rsid w:val="6FDFC245"/>
    <w:rsid w:val="6FE50614"/>
    <w:rsid w:val="6FF9D997"/>
    <w:rsid w:val="6FFB05CC"/>
    <w:rsid w:val="6FFF7CA6"/>
    <w:rsid w:val="6FFFD3E5"/>
    <w:rsid w:val="70161CE7"/>
    <w:rsid w:val="70196878"/>
    <w:rsid w:val="702C6897"/>
    <w:rsid w:val="70547457"/>
    <w:rsid w:val="705E372B"/>
    <w:rsid w:val="70793414"/>
    <w:rsid w:val="70905977"/>
    <w:rsid w:val="70C7580B"/>
    <w:rsid w:val="70CD2FCE"/>
    <w:rsid w:val="70D36F5A"/>
    <w:rsid w:val="70DB2436"/>
    <w:rsid w:val="71567FDA"/>
    <w:rsid w:val="719227CF"/>
    <w:rsid w:val="71BFBA82"/>
    <w:rsid w:val="71CA4AB4"/>
    <w:rsid w:val="71E65341"/>
    <w:rsid w:val="71EE36BD"/>
    <w:rsid w:val="71F95A89"/>
    <w:rsid w:val="71FFDB10"/>
    <w:rsid w:val="72043925"/>
    <w:rsid w:val="721768CF"/>
    <w:rsid w:val="72534E9D"/>
    <w:rsid w:val="727433CE"/>
    <w:rsid w:val="72790BEC"/>
    <w:rsid w:val="728C5C7C"/>
    <w:rsid w:val="72A704D5"/>
    <w:rsid w:val="72B693FB"/>
    <w:rsid w:val="72C436B6"/>
    <w:rsid w:val="72E35DFE"/>
    <w:rsid w:val="72EF5B39"/>
    <w:rsid w:val="7314476C"/>
    <w:rsid w:val="7327B66B"/>
    <w:rsid w:val="73392753"/>
    <w:rsid w:val="733D0750"/>
    <w:rsid w:val="733FABB1"/>
    <w:rsid w:val="73425370"/>
    <w:rsid w:val="734D5FBF"/>
    <w:rsid w:val="7374595C"/>
    <w:rsid w:val="737BB09A"/>
    <w:rsid w:val="73BF04FC"/>
    <w:rsid w:val="74161FB5"/>
    <w:rsid w:val="742A70FA"/>
    <w:rsid w:val="74510413"/>
    <w:rsid w:val="745A7D4C"/>
    <w:rsid w:val="74645FCD"/>
    <w:rsid w:val="746639EF"/>
    <w:rsid w:val="74B643D5"/>
    <w:rsid w:val="74BD2EF8"/>
    <w:rsid w:val="74CF3665"/>
    <w:rsid w:val="74D7F8CA"/>
    <w:rsid w:val="74EA0C02"/>
    <w:rsid w:val="74FE4394"/>
    <w:rsid w:val="75170425"/>
    <w:rsid w:val="753FE9AA"/>
    <w:rsid w:val="756FFFB6"/>
    <w:rsid w:val="757805B2"/>
    <w:rsid w:val="757CAF33"/>
    <w:rsid w:val="757E3546"/>
    <w:rsid w:val="75B00123"/>
    <w:rsid w:val="75BF7C3C"/>
    <w:rsid w:val="75DF94A0"/>
    <w:rsid w:val="75EB015C"/>
    <w:rsid w:val="75EB3A1C"/>
    <w:rsid w:val="75ED6014"/>
    <w:rsid w:val="75F51C53"/>
    <w:rsid w:val="75F83D9A"/>
    <w:rsid w:val="75FB1DCC"/>
    <w:rsid w:val="75FEE8A7"/>
    <w:rsid w:val="761B6202"/>
    <w:rsid w:val="76A32641"/>
    <w:rsid w:val="76BF250A"/>
    <w:rsid w:val="76BFDA39"/>
    <w:rsid w:val="76E3032C"/>
    <w:rsid w:val="76EF7A13"/>
    <w:rsid w:val="76F1884B"/>
    <w:rsid w:val="770741B0"/>
    <w:rsid w:val="771073EB"/>
    <w:rsid w:val="771410F8"/>
    <w:rsid w:val="772C692D"/>
    <w:rsid w:val="773B129A"/>
    <w:rsid w:val="773E0886"/>
    <w:rsid w:val="776E5CBE"/>
    <w:rsid w:val="7772161A"/>
    <w:rsid w:val="777B800B"/>
    <w:rsid w:val="777DD4A3"/>
    <w:rsid w:val="778F3F0A"/>
    <w:rsid w:val="77AD2AD4"/>
    <w:rsid w:val="77AFACA5"/>
    <w:rsid w:val="77AFBF61"/>
    <w:rsid w:val="77C52EA5"/>
    <w:rsid w:val="77D869E6"/>
    <w:rsid w:val="77DD1416"/>
    <w:rsid w:val="77DD1A4E"/>
    <w:rsid w:val="77DF3205"/>
    <w:rsid w:val="77DF6CD4"/>
    <w:rsid w:val="77E5D8DB"/>
    <w:rsid w:val="77E62A72"/>
    <w:rsid w:val="77EB76E4"/>
    <w:rsid w:val="77EC88EA"/>
    <w:rsid w:val="77EE84F9"/>
    <w:rsid w:val="77EFE8B4"/>
    <w:rsid w:val="77F0ECE5"/>
    <w:rsid w:val="77F3F88C"/>
    <w:rsid w:val="77F67379"/>
    <w:rsid w:val="77FADEA4"/>
    <w:rsid w:val="77FF33A2"/>
    <w:rsid w:val="77FFBA5B"/>
    <w:rsid w:val="77FFC7D8"/>
    <w:rsid w:val="77FFFB4B"/>
    <w:rsid w:val="78040347"/>
    <w:rsid w:val="784464B8"/>
    <w:rsid w:val="787520A3"/>
    <w:rsid w:val="78786865"/>
    <w:rsid w:val="787B7BF1"/>
    <w:rsid w:val="788A1325"/>
    <w:rsid w:val="78AE558D"/>
    <w:rsid w:val="78D6C566"/>
    <w:rsid w:val="78D9C672"/>
    <w:rsid w:val="78FC5B52"/>
    <w:rsid w:val="795F700D"/>
    <w:rsid w:val="79BD0359"/>
    <w:rsid w:val="79C92ED0"/>
    <w:rsid w:val="79D32C33"/>
    <w:rsid w:val="79DBAA26"/>
    <w:rsid w:val="79E72B06"/>
    <w:rsid w:val="79E899E8"/>
    <w:rsid w:val="79F574D6"/>
    <w:rsid w:val="79FD0E2C"/>
    <w:rsid w:val="7A1F6282"/>
    <w:rsid w:val="7A5FA1B8"/>
    <w:rsid w:val="7A76090F"/>
    <w:rsid w:val="7A925AF3"/>
    <w:rsid w:val="7AA0ACAE"/>
    <w:rsid w:val="7ADBAD1F"/>
    <w:rsid w:val="7ADD5F57"/>
    <w:rsid w:val="7AECE2E7"/>
    <w:rsid w:val="7AEF6DC1"/>
    <w:rsid w:val="7AF2CB59"/>
    <w:rsid w:val="7AF2FC89"/>
    <w:rsid w:val="7AFF35C3"/>
    <w:rsid w:val="7AFF7F70"/>
    <w:rsid w:val="7AFFF456"/>
    <w:rsid w:val="7B031240"/>
    <w:rsid w:val="7B1E0103"/>
    <w:rsid w:val="7B279B48"/>
    <w:rsid w:val="7B2D4A8F"/>
    <w:rsid w:val="7B2F0884"/>
    <w:rsid w:val="7B2FCD79"/>
    <w:rsid w:val="7B37627D"/>
    <w:rsid w:val="7B57305C"/>
    <w:rsid w:val="7B5ADE84"/>
    <w:rsid w:val="7B631FDC"/>
    <w:rsid w:val="7B70519D"/>
    <w:rsid w:val="7B7700E5"/>
    <w:rsid w:val="7B7CA87C"/>
    <w:rsid w:val="7B7E78E2"/>
    <w:rsid w:val="7B7EE472"/>
    <w:rsid w:val="7B9878D5"/>
    <w:rsid w:val="7B9C0C20"/>
    <w:rsid w:val="7B9D537D"/>
    <w:rsid w:val="7BB6F330"/>
    <w:rsid w:val="7BBF1862"/>
    <w:rsid w:val="7BBF3D66"/>
    <w:rsid w:val="7BBFD612"/>
    <w:rsid w:val="7BC7D762"/>
    <w:rsid w:val="7BCF206E"/>
    <w:rsid w:val="7BDBA6C9"/>
    <w:rsid w:val="7BDD8206"/>
    <w:rsid w:val="7BE5272B"/>
    <w:rsid w:val="7BF36037"/>
    <w:rsid w:val="7BF54913"/>
    <w:rsid w:val="7BF6A416"/>
    <w:rsid w:val="7BF79A4C"/>
    <w:rsid w:val="7BFC482C"/>
    <w:rsid w:val="7BFD55CA"/>
    <w:rsid w:val="7BFE30B4"/>
    <w:rsid w:val="7BFE9D34"/>
    <w:rsid w:val="7BFF44E2"/>
    <w:rsid w:val="7BFF6A66"/>
    <w:rsid w:val="7BFFA5A7"/>
    <w:rsid w:val="7BFFFCEC"/>
    <w:rsid w:val="7C0C2613"/>
    <w:rsid w:val="7C1127A0"/>
    <w:rsid w:val="7C245A07"/>
    <w:rsid w:val="7C4C6B71"/>
    <w:rsid w:val="7C551573"/>
    <w:rsid w:val="7C977B3A"/>
    <w:rsid w:val="7CA411CF"/>
    <w:rsid w:val="7CE75A27"/>
    <w:rsid w:val="7CEE7D8E"/>
    <w:rsid w:val="7CF76A8C"/>
    <w:rsid w:val="7CFC026A"/>
    <w:rsid w:val="7CFF38E9"/>
    <w:rsid w:val="7CFF5B14"/>
    <w:rsid w:val="7D226B97"/>
    <w:rsid w:val="7D3E0783"/>
    <w:rsid w:val="7D3F0D5A"/>
    <w:rsid w:val="7D4D154D"/>
    <w:rsid w:val="7D573BC4"/>
    <w:rsid w:val="7D6B5366"/>
    <w:rsid w:val="7D6F4DE4"/>
    <w:rsid w:val="7D6F6653"/>
    <w:rsid w:val="7D7745E8"/>
    <w:rsid w:val="7D7EE11F"/>
    <w:rsid w:val="7D8F7C53"/>
    <w:rsid w:val="7D97D8A6"/>
    <w:rsid w:val="7D9A0352"/>
    <w:rsid w:val="7DA45EA2"/>
    <w:rsid w:val="7DACE0F6"/>
    <w:rsid w:val="7DBA2F32"/>
    <w:rsid w:val="7DBAFFCA"/>
    <w:rsid w:val="7DBD574C"/>
    <w:rsid w:val="7DBDB0D7"/>
    <w:rsid w:val="7DBF8361"/>
    <w:rsid w:val="7DDD618F"/>
    <w:rsid w:val="7DDD6220"/>
    <w:rsid w:val="7DDE038D"/>
    <w:rsid w:val="7DEE281A"/>
    <w:rsid w:val="7DEEAE51"/>
    <w:rsid w:val="7DEFF9F6"/>
    <w:rsid w:val="7DF90A54"/>
    <w:rsid w:val="7DFA3CCB"/>
    <w:rsid w:val="7DFB6770"/>
    <w:rsid w:val="7DFD935C"/>
    <w:rsid w:val="7DFE6966"/>
    <w:rsid w:val="7DFEA551"/>
    <w:rsid w:val="7DFEDC2D"/>
    <w:rsid w:val="7DFF60BE"/>
    <w:rsid w:val="7E196409"/>
    <w:rsid w:val="7E371D12"/>
    <w:rsid w:val="7E4670C6"/>
    <w:rsid w:val="7E4FD2A5"/>
    <w:rsid w:val="7E5550A9"/>
    <w:rsid w:val="7E5721A8"/>
    <w:rsid w:val="7E616658"/>
    <w:rsid w:val="7E6F8879"/>
    <w:rsid w:val="7E73FA68"/>
    <w:rsid w:val="7EA7DA68"/>
    <w:rsid w:val="7EB71AAE"/>
    <w:rsid w:val="7EBAEBA6"/>
    <w:rsid w:val="7EC6E0F2"/>
    <w:rsid w:val="7EC953D2"/>
    <w:rsid w:val="7ECEA2BE"/>
    <w:rsid w:val="7ECF25CB"/>
    <w:rsid w:val="7ED4BFF4"/>
    <w:rsid w:val="7EDF6BB0"/>
    <w:rsid w:val="7EE32BB4"/>
    <w:rsid w:val="7EE6DDB2"/>
    <w:rsid w:val="7EED56D1"/>
    <w:rsid w:val="7EEF3FA3"/>
    <w:rsid w:val="7EEFC9B7"/>
    <w:rsid w:val="7EF5361A"/>
    <w:rsid w:val="7EFB1613"/>
    <w:rsid w:val="7EFBADAA"/>
    <w:rsid w:val="7EFD2461"/>
    <w:rsid w:val="7EFE3113"/>
    <w:rsid w:val="7EFF41AD"/>
    <w:rsid w:val="7F0D7E75"/>
    <w:rsid w:val="7F0DE126"/>
    <w:rsid w:val="7F2F7620"/>
    <w:rsid w:val="7F359922"/>
    <w:rsid w:val="7F3DA72E"/>
    <w:rsid w:val="7F3F3A15"/>
    <w:rsid w:val="7F4E0FD2"/>
    <w:rsid w:val="7F51E5BB"/>
    <w:rsid w:val="7F5216C5"/>
    <w:rsid w:val="7F5F4013"/>
    <w:rsid w:val="7F602104"/>
    <w:rsid w:val="7F6D7D8A"/>
    <w:rsid w:val="7F6DB580"/>
    <w:rsid w:val="7F6E2F39"/>
    <w:rsid w:val="7F6ED35A"/>
    <w:rsid w:val="7F795A0B"/>
    <w:rsid w:val="7F7D2EF2"/>
    <w:rsid w:val="7F7E196F"/>
    <w:rsid w:val="7F7F93A5"/>
    <w:rsid w:val="7F7FBFCA"/>
    <w:rsid w:val="7F7FEA79"/>
    <w:rsid w:val="7F8958F6"/>
    <w:rsid w:val="7F9A89F4"/>
    <w:rsid w:val="7F9F5083"/>
    <w:rsid w:val="7FADE332"/>
    <w:rsid w:val="7FB33D2B"/>
    <w:rsid w:val="7FB36AAD"/>
    <w:rsid w:val="7FB4875D"/>
    <w:rsid w:val="7FB94768"/>
    <w:rsid w:val="7FBEDE6A"/>
    <w:rsid w:val="7FBF0D35"/>
    <w:rsid w:val="7FBF5465"/>
    <w:rsid w:val="7FBF83B9"/>
    <w:rsid w:val="7FBF8B1E"/>
    <w:rsid w:val="7FBFC0BB"/>
    <w:rsid w:val="7FBFC32B"/>
    <w:rsid w:val="7FC7F2D9"/>
    <w:rsid w:val="7FCDB4B8"/>
    <w:rsid w:val="7FCF2552"/>
    <w:rsid w:val="7FCF8F11"/>
    <w:rsid w:val="7FCFFFDD"/>
    <w:rsid w:val="7FD1E72E"/>
    <w:rsid w:val="7FD73937"/>
    <w:rsid w:val="7FD8AA74"/>
    <w:rsid w:val="7FD9A1B7"/>
    <w:rsid w:val="7FDB4D5B"/>
    <w:rsid w:val="7FDCACD6"/>
    <w:rsid w:val="7FDD617C"/>
    <w:rsid w:val="7FDFA325"/>
    <w:rsid w:val="7FDFC781"/>
    <w:rsid w:val="7FEA9830"/>
    <w:rsid w:val="7FEDDD02"/>
    <w:rsid w:val="7FEDEBCB"/>
    <w:rsid w:val="7FEE5336"/>
    <w:rsid w:val="7FF32D9B"/>
    <w:rsid w:val="7FF43E03"/>
    <w:rsid w:val="7FF4DD6D"/>
    <w:rsid w:val="7FF59940"/>
    <w:rsid w:val="7FF62F7B"/>
    <w:rsid w:val="7FF764AF"/>
    <w:rsid w:val="7FF7CCBC"/>
    <w:rsid w:val="7FF7DB07"/>
    <w:rsid w:val="7FFA164E"/>
    <w:rsid w:val="7FFB69FC"/>
    <w:rsid w:val="7FFB7509"/>
    <w:rsid w:val="7FFD4D2C"/>
    <w:rsid w:val="7FFD6B35"/>
    <w:rsid w:val="7FFE3933"/>
    <w:rsid w:val="7FFF58D9"/>
    <w:rsid w:val="7FFFA00B"/>
    <w:rsid w:val="7FFFA782"/>
    <w:rsid w:val="7FFFFE9C"/>
    <w:rsid w:val="81E96845"/>
    <w:rsid w:val="86F62ADA"/>
    <w:rsid w:val="8EF6209E"/>
    <w:rsid w:val="8F7FE785"/>
    <w:rsid w:val="8FE7893A"/>
    <w:rsid w:val="8FFEF880"/>
    <w:rsid w:val="8FFF1A64"/>
    <w:rsid w:val="90ABA252"/>
    <w:rsid w:val="91B9B1AF"/>
    <w:rsid w:val="93ADE2AB"/>
    <w:rsid w:val="95FF951B"/>
    <w:rsid w:val="97E7567A"/>
    <w:rsid w:val="996FBA13"/>
    <w:rsid w:val="9C6FE0AE"/>
    <w:rsid w:val="9E7F6CFD"/>
    <w:rsid w:val="9EAB8CCB"/>
    <w:rsid w:val="9EEF5940"/>
    <w:rsid w:val="9F5FADDA"/>
    <w:rsid w:val="9F77B9DF"/>
    <w:rsid w:val="9F79019F"/>
    <w:rsid w:val="9F7D4E82"/>
    <w:rsid w:val="9FBD4666"/>
    <w:rsid w:val="9FCBABBF"/>
    <w:rsid w:val="9FEBD25C"/>
    <w:rsid w:val="9FEF3CC8"/>
    <w:rsid w:val="9FF908EC"/>
    <w:rsid w:val="9FFF4BFB"/>
    <w:rsid w:val="A1BDCB3F"/>
    <w:rsid w:val="A57C1E0C"/>
    <w:rsid w:val="A57E7857"/>
    <w:rsid w:val="A9FB1DDE"/>
    <w:rsid w:val="AADF5169"/>
    <w:rsid w:val="AB7122DC"/>
    <w:rsid w:val="AB775597"/>
    <w:rsid w:val="ABDDFA86"/>
    <w:rsid w:val="AC7BB4CF"/>
    <w:rsid w:val="AD9F95F4"/>
    <w:rsid w:val="AEAFCAE4"/>
    <w:rsid w:val="AEB8F7E5"/>
    <w:rsid w:val="AEBD80DB"/>
    <w:rsid w:val="AF593D20"/>
    <w:rsid w:val="AF5F4148"/>
    <w:rsid w:val="AF7EA3C7"/>
    <w:rsid w:val="AFDB6FFB"/>
    <w:rsid w:val="AFEE1CA2"/>
    <w:rsid w:val="AFEEE816"/>
    <w:rsid w:val="AFF3DAB9"/>
    <w:rsid w:val="AFFF90DA"/>
    <w:rsid w:val="B363AB2A"/>
    <w:rsid w:val="B3BDA148"/>
    <w:rsid w:val="B4BF1B84"/>
    <w:rsid w:val="B4DFDF5B"/>
    <w:rsid w:val="B5BF690C"/>
    <w:rsid w:val="B5E52DD2"/>
    <w:rsid w:val="B5F7FEE4"/>
    <w:rsid w:val="B5FF86A1"/>
    <w:rsid w:val="B6553480"/>
    <w:rsid w:val="B6CE329B"/>
    <w:rsid w:val="B6F0BC4D"/>
    <w:rsid w:val="B6FFD18C"/>
    <w:rsid w:val="B753B6EA"/>
    <w:rsid w:val="B753EDBD"/>
    <w:rsid w:val="B7DDD48B"/>
    <w:rsid w:val="B7DF7784"/>
    <w:rsid w:val="B7E548DE"/>
    <w:rsid w:val="B7E73611"/>
    <w:rsid w:val="B7EF30BE"/>
    <w:rsid w:val="B7FB60BC"/>
    <w:rsid w:val="B7FE3081"/>
    <w:rsid w:val="B7FEA557"/>
    <w:rsid w:val="B7FFF79D"/>
    <w:rsid w:val="B865F559"/>
    <w:rsid w:val="B8FE88A9"/>
    <w:rsid w:val="B97315BB"/>
    <w:rsid w:val="B9A77978"/>
    <w:rsid w:val="B9FF48C1"/>
    <w:rsid w:val="BAD693F1"/>
    <w:rsid w:val="BAED5D91"/>
    <w:rsid w:val="BAFFCD3E"/>
    <w:rsid w:val="BB3E15A7"/>
    <w:rsid w:val="BB8E0D2C"/>
    <w:rsid w:val="BBD32888"/>
    <w:rsid w:val="BBEFAA3E"/>
    <w:rsid w:val="BBFFBDF8"/>
    <w:rsid w:val="BCDE16E4"/>
    <w:rsid w:val="BD0BEE42"/>
    <w:rsid w:val="BDB973CB"/>
    <w:rsid w:val="BDEF2978"/>
    <w:rsid w:val="BDEFDC40"/>
    <w:rsid w:val="BDF56FD1"/>
    <w:rsid w:val="BDFD1F1C"/>
    <w:rsid w:val="BE2F733F"/>
    <w:rsid w:val="BE3BA540"/>
    <w:rsid w:val="BE672891"/>
    <w:rsid w:val="BE7E6F55"/>
    <w:rsid w:val="BE7FF4CD"/>
    <w:rsid w:val="BEBD6DCE"/>
    <w:rsid w:val="BEDF8CEF"/>
    <w:rsid w:val="BEFDC3A4"/>
    <w:rsid w:val="BF2F05D5"/>
    <w:rsid w:val="BF3DAE32"/>
    <w:rsid w:val="BF3F110D"/>
    <w:rsid w:val="BF4F45C8"/>
    <w:rsid w:val="BF5EF9CE"/>
    <w:rsid w:val="BF5F5417"/>
    <w:rsid w:val="BF5FD7ED"/>
    <w:rsid w:val="BF6EAB17"/>
    <w:rsid w:val="BF790FA0"/>
    <w:rsid w:val="BF7E115D"/>
    <w:rsid w:val="BF7EE375"/>
    <w:rsid w:val="BFA7875E"/>
    <w:rsid w:val="BFAF7F6D"/>
    <w:rsid w:val="BFC7E0E4"/>
    <w:rsid w:val="BFC82EB1"/>
    <w:rsid w:val="BFD9E0B5"/>
    <w:rsid w:val="BFDD1811"/>
    <w:rsid w:val="BFE77452"/>
    <w:rsid w:val="BFE7BA7D"/>
    <w:rsid w:val="BFEC19DC"/>
    <w:rsid w:val="BFEDC209"/>
    <w:rsid w:val="BFF76DA9"/>
    <w:rsid w:val="BFF979DA"/>
    <w:rsid w:val="BFFDB935"/>
    <w:rsid w:val="BFFE6237"/>
    <w:rsid w:val="C13BE809"/>
    <w:rsid w:val="C1FFE943"/>
    <w:rsid w:val="C6DFA7D0"/>
    <w:rsid w:val="C6F3AA26"/>
    <w:rsid w:val="C7E9EF73"/>
    <w:rsid w:val="C7FD5611"/>
    <w:rsid w:val="C94FD4BC"/>
    <w:rsid w:val="CD6DAA8E"/>
    <w:rsid w:val="CD7D5CB2"/>
    <w:rsid w:val="CDBA13CA"/>
    <w:rsid w:val="CDE62A64"/>
    <w:rsid w:val="CDFF7205"/>
    <w:rsid w:val="CEEF1D82"/>
    <w:rsid w:val="CF1FE446"/>
    <w:rsid w:val="CF2B4F26"/>
    <w:rsid w:val="CF78EDE1"/>
    <w:rsid w:val="CF89C437"/>
    <w:rsid w:val="CF9F14B0"/>
    <w:rsid w:val="CF9F474D"/>
    <w:rsid w:val="CFDD289F"/>
    <w:rsid w:val="CFDD7A6A"/>
    <w:rsid w:val="CFFB0A12"/>
    <w:rsid w:val="CFFDF536"/>
    <w:rsid w:val="D1D7C6B1"/>
    <w:rsid w:val="D27A5A5D"/>
    <w:rsid w:val="D2DE77DB"/>
    <w:rsid w:val="D2FFD405"/>
    <w:rsid w:val="D34FCA10"/>
    <w:rsid w:val="D36F8F55"/>
    <w:rsid w:val="D37734EC"/>
    <w:rsid w:val="D37FCA99"/>
    <w:rsid w:val="D3AFDEEB"/>
    <w:rsid w:val="D4E83532"/>
    <w:rsid w:val="D567E557"/>
    <w:rsid w:val="D5EBC32A"/>
    <w:rsid w:val="D62220FC"/>
    <w:rsid w:val="D6FB9739"/>
    <w:rsid w:val="D6FBE166"/>
    <w:rsid w:val="D73C3007"/>
    <w:rsid w:val="D7677F19"/>
    <w:rsid w:val="D7B6A1D3"/>
    <w:rsid w:val="D7CB3CB2"/>
    <w:rsid w:val="D7E79376"/>
    <w:rsid w:val="D7F63F02"/>
    <w:rsid w:val="D7F78237"/>
    <w:rsid w:val="D7FB8DDF"/>
    <w:rsid w:val="D7FE8FD0"/>
    <w:rsid w:val="D7FEEDDE"/>
    <w:rsid w:val="D8F5B07E"/>
    <w:rsid w:val="D96DA755"/>
    <w:rsid w:val="D97F43E3"/>
    <w:rsid w:val="D9F701BD"/>
    <w:rsid w:val="DA428EA1"/>
    <w:rsid w:val="DAA5ACBF"/>
    <w:rsid w:val="DAFB7E5A"/>
    <w:rsid w:val="DAFF3CC1"/>
    <w:rsid w:val="DB37F9B4"/>
    <w:rsid w:val="DB63CAD1"/>
    <w:rsid w:val="DB7F07A6"/>
    <w:rsid w:val="DB9DC162"/>
    <w:rsid w:val="DBBB2D21"/>
    <w:rsid w:val="DBBFA177"/>
    <w:rsid w:val="DBDF2ABE"/>
    <w:rsid w:val="DBEFEE74"/>
    <w:rsid w:val="DBF76F2F"/>
    <w:rsid w:val="DBFB3E00"/>
    <w:rsid w:val="DBFF89C1"/>
    <w:rsid w:val="DC6E37E2"/>
    <w:rsid w:val="DCD18AEA"/>
    <w:rsid w:val="DCEEF070"/>
    <w:rsid w:val="DD6F530B"/>
    <w:rsid w:val="DD755D07"/>
    <w:rsid w:val="DD7D999F"/>
    <w:rsid w:val="DDADABFB"/>
    <w:rsid w:val="DDB008F9"/>
    <w:rsid w:val="DDBFB745"/>
    <w:rsid w:val="DDF705DB"/>
    <w:rsid w:val="DDFF774F"/>
    <w:rsid w:val="DE762CEC"/>
    <w:rsid w:val="DE8F85C3"/>
    <w:rsid w:val="DED7C46F"/>
    <w:rsid w:val="DEDE2AB8"/>
    <w:rsid w:val="DEDFBBF2"/>
    <w:rsid w:val="DEEFBA56"/>
    <w:rsid w:val="DEEFF1B5"/>
    <w:rsid w:val="DEFF6178"/>
    <w:rsid w:val="DF3FCA4C"/>
    <w:rsid w:val="DF4D6C30"/>
    <w:rsid w:val="DF5C0880"/>
    <w:rsid w:val="DF5DF019"/>
    <w:rsid w:val="DF678691"/>
    <w:rsid w:val="DF7BAC84"/>
    <w:rsid w:val="DF7F7637"/>
    <w:rsid w:val="DF9954E0"/>
    <w:rsid w:val="DF9C8D7B"/>
    <w:rsid w:val="DF9FF974"/>
    <w:rsid w:val="DFA2316B"/>
    <w:rsid w:val="DFA53DF3"/>
    <w:rsid w:val="DFB62DD7"/>
    <w:rsid w:val="DFB73342"/>
    <w:rsid w:val="DFBD7CB8"/>
    <w:rsid w:val="DFD753CE"/>
    <w:rsid w:val="DFDE895B"/>
    <w:rsid w:val="DFDF2A72"/>
    <w:rsid w:val="DFE75DEE"/>
    <w:rsid w:val="DFEA2664"/>
    <w:rsid w:val="DFEBFEF6"/>
    <w:rsid w:val="DFFD66EE"/>
    <w:rsid w:val="DFFE33FE"/>
    <w:rsid w:val="DFFFD206"/>
    <w:rsid w:val="E2BF2140"/>
    <w:rsid w:val="E32131EE"/>
    <w:rsid w:val="E3B6A1E2"/>
    <w:rsid w:val="E4962EBF"/>
    <w:rsid w:val="E4FE17CF"/>
    <w:rsid w:val="E6DD0031"/>
    <w:rsid w:val="E76F5D4C"/>
    <w:rsid w:val="E7BFA0CE"/>
    <w:rsid w:val="E7DCB403"/>
    <w:rsid w:val="E7ED2758"/>
    <w:rsid w:val="E7F377EB"/>
    <w:rsid w:val="E7FA93A7"/>
    <w:rsid w:val="E7FB0B59"/>
    <w:rsid w:val="E7FB207F"/>
    <w:rsid w:val="E7FFB8E9"/>
    <w:rsid w:val="EA7E05FB"/>
    <w:rsid w:val="EAFEEC8F"/>
    <w:rsid w:val="EAFF4CAD"/>
    <w:rsid w:val="EBA9326F"/>
    <w:rsid w:val="EBF1F613"/>
    <w:rsid w:val="EBF739EC"/>
    <w:rsid w:val="EBFE974B"/>
    <w:rsid w:val="EBFEC052"/>
    <w:rsid w:val="EBFFC5B0"/>
    <w:rsid w:val="ECD72DB2"/>
    <w:rsid w:val="ED966B0F"/>
    <w:rsid w:val="EDEDE31C"/>
    <w:rsid w:val="EDFB3A88"/>
    <w:rsid w:val="EDFBEE48"/>
    <w:rsid w:val="EE6D509A"/>
    <w:rsid w:val="EEAEDA7D"/>
    <w:rsid w:val="EEBB333B"/>
    <w:rsid w:val="EEEF3580"/>
    <w:rsid w:val="EEEF8CBD"/>
    <w:rsid w:val="EEF996BD"/>
    <w:rsid w:val="EEFDBAD3"/>
    <w:rsid w:val="EF1E1592"/>
    <w:rsid w:val="EF2F8EB6"/>
    <w:rsid w:val="EF4E0D1C"/>
    <w:rsid w:val="EF5E4039"/>
    <w:rsid w:val="EF7916AC"/>
    <w:rsid w:val="EF7B568E"/>
    <w:rsid w:val="EF9F0694"/>
    <w:rsid w:val="EFA35DD5"/>
    <w:rsid w:val="EFB5CC2D"/>
    <w:rsid w:val="EFC109F3"/>
    <w:rsid w:val="EFE8FA45"/>
    <w:rsid w:val="EFEF1A08"/>
    <w:rsid w:val="EFEFAA12"/>
    <w:rsid w:val="EFEFABA3"/>
    <w:rsid w:val="EFF5D92A"/>
    <w:rsid w:val="EFF65401"/>
    <w:rsid w:val="EFF752B6"/>
    <w:rsid w:val="EFFB9BC5"/>
    <w:rsid w:val="EFFBA10F"/>
    <w:rsid w:val="EFFD26E2"/>
    <w:rsid w:val="F0F58619"/>
    <w:rsid w:val="F14D2F77"/>
    <w:rsid w:val="F1EA50D2"/>
    <w:rsid w:val="F2E6F2FA"/>
    <w:rsid w:val="F32D22DA"/>
    <w:rsid w:val="F36FC329"/>
    <w:rsid w:val="F373F1D9"/>
    <w:rsid w:val="F3D34A94"/>
    <w:rsid w:val="F3DC5586"/>
    <w:rsid w:val="F3EDF8AC"/>
    <w:rsid w:val="F3EF3D03"/>
    <w:rsid w:val="F3F72E9F"/>
    <w:rsid w:val="F3FEACA0"/>
    <w:rsid w:val="F3FF3635"/>
    <w:rsid w:val="F3FF83E4"/>
    <w:rsid w:val="F4DD65F6"/>
    <w:rsid w:val="F55327F6"/>
    <w:rsid w:val="F572A5BD"/>
    <w:rsid w:val="F573514C"/>
    <w:rsid w:val="F5F046DF"/>
    <w:rsid w:val="F5F9EA22"/>
    <w:rsid w:val="F66CF37A"/>
    <w:rsid w:val="F6D6BCF4"/>
    <w:rsid w:val="F6E4E716"/>
    <w:rsid w:val="F6EE283A"/>
    <w:rsid w:val="F6F4A772"/>
    <w:rsid w:val="F6FD8A27"/>
    <w:rsid w:val="F6FF86F8"/>
    <w:rsid w:val="F6FFB919"/>
    <w:rsid w:val="F6FFCF2B"/>
    <w:rsid w:val="F70B4F62"/>
    <w:rsid w:val="F757E306"/>
    <w:rsid w:val="F7753AB2"/>
    <w:rsid w:val="F77DF943"/>
    <w:rsid w:val="F7A85A37"/>
    <w:rsid w:val="F7AB0F71"/>
    <w:rsid w:val="F7BD243B"/>
    <w:rsid w:val="F7BD4175"/>
    <w:rsid w:val="F7BECF1F"/>
    <w:rsid w:val="F7D78629"/>
    <w:rsid w:val="F7D79642"/>
    <w:rsid w:val="F7DE3350"/>
    <w:rsid w:val="F7EC690A"/>
    <w:rsid w:val="F7EFE606"/>
    <w:rsid w:val="F7FE35F6"/>
    <w:rsid w:val="F7FF20CB"/>
    <w:rsid w:val="F7FFD40F"/>
    <w:rsid w:val="F8EA788A"/>
    <w:rsid w:val="F8EFE391"/>
    <w:rsid w:val="F8F944C3"/>
    <w:rsid w:val="F93BACB9"/>
    <w:rsid w:val="F99A14B2"/>
    <w:rsid w:val="F9BE712D"/>
    <w:rsid w:val="F9EF3A88"/>
    <w:rsid w:val="F9FEAF57"/>
    <w:rsid w:val="F9FF0692"/>
    <w:rsid w:val="FA7B829A"/>
    <w:rsid w:val="FAAD894E"/>
    <w:rsid w:val="FABB9680"/>
    <w:rsid w:val="FABFCA85"/>
    <w:rsid w:val="FAD7C75E"/>
    <w:rsid w:val="FAFED6DA"/>
    <w:rsid w:val="FAFF0423"/>
    <w:rsid w:val="FAFF98BE"/>
    <w:rsid w:val="FAFFAB21"/>
    <w:rsid w:val="FAFFB922"/>
    <w:rsid w:val="FAFFEB08"/>
    <w:rsid w:val="FB1E3894"/>
    <w:rsid w:val="FB3D8524"/>
    <w:rsid w:val="FB5BEEC9"/>
    <w:rsid w:val="FB6EDAC9"/>
    <w:rsid w:val="FB6FC872"/>
    <w:rsid w:val="FB798EDF"/>
    <w:rsid w:val="FB7E4C50"/>
    <w:rsid w:val="FB7FEFC6"/>
    <w:rsid w:val="FB97C2F1"/>
    <w:rsid w:val="FBAA512F"/>
    <w:rsid w:val="FBAD7258"/>
    <w:rsid w:val="FBAFEEE4"/>
    <w:rsid w:val="FBBC8CE3"/>
    <w:rsid w:val="FBBEA7C6"/>
    <w:rsid w:val="FBCFE5CD"/>
    <w:rsid w:val="FBDD997F"/>
    <w:rsid w:val="FBF21D81"/>
    <w:rsid w:val="FBFD6D93"/>
    <w:rsid w:val="FBFF6948"/>
    <w:rsid w:val="FBFF7754"/>
    <w:rsid w:val="FBFFB7CD"/>
    <w:rsid w:val="FBFFD7DD"/>
    <w:rsid w:val="FC7BB2D8"/>
    <w:rsid w:val="FC7E6AAA"/>
    <w:rsid w:val="FCB3112F"/>
    <w:rsid w:val="FCB71B76"/>
    <w:rsid w:val="FCFF830F"/>
    <w:rsid w:val="FD0FF00E"/>
    <w:rsid w:val="FD101ECC"/>
    <w:rsid w:val="FD3FD212"/>
    <w:rsid w:val="FD6FFAD8"/>
    <w:rsid w:val="FD7C8BCF"/>
    <w:rsid w:val="FD7DE307"/>
    <w:rsid w:val="FD7F1B47"/>
    <w:rsid w:val="FD93D250"/>
    <w:rsid w:val="FDAB5CE4"/>
    <w:rsid w:val="FDAF8BC1"/>
    <w:rsid w:val="FDBB871B"/>
    <w:rsid w:val="FDBC1B5F"/>
    <w:rsid w:val="FDBD7C44"/>
    <w:rsid w:val="FDBFF5C4"/>
    <w:rsid w:val="FDCBE89B"/>
    <w:rsid w:val="FDCE3517"/>
    <w:rsid w:val="FDD596F2"/>
    <w:rsid w:val="FDD7866A"/>
    <w:rsid w:val="FDD99351"/>
    <w:rsid w:val="FDDB2E36"/>
    <w:rsid w:val="FDDDE377"/>
    <w:rsid w:val="FDDE95BE"/>
    <w:rsid w:val="FDDF3027"/>
    <w:rsid w:val="FDEBAE0C"/>
    <w:rsid w:val="FDEF45EC"/>
    <w:rsid w:val="FDEF78DA"/>
    <w:rsid w:val="FDF31AC4"/>
    <w:rsid w:val="FDF32FEE"/>
    <w:rsid w:val="FDF5EE87"/>
    <w:rsid w:val="FDF87980"/>
    <w:rsid w:val="FDFA5004"/>
    <w:rsid w:val="FDFF87B0"/>
    <w:rsid w:val="FDFFA4F4"/>
    <w:rsid w:val="FDFFC397"/>
    <w:rsid w:val="FE3833CB"/>
    <w:rsid w:val="FE4F1E9A"/>
    <w:rsid w:val="FE567F05"/>
    <w:rsid w:val="FE7BB670"/>
    <w:rsid w:val="FE7BEFBE"/>
    <w:rsid w:val="FEB629AE"/>
    <w:rsid w:val="FECD2386"/>
    <w:rsid w:val="FEDF0DCC"/>
    <w:rsid w:val="FEEE4F75"/>
    <w:rsid w:val="FEEFAA4E"/>
    <w:rsid w:val="FEF65141"/>
    <w:rsid w:val="FEF72CBE"/>
    <w:rsid w:val="FEFF0CC4"/>
    <w:rsid w:val="FEFFBF65"/>
    <w:rsid w:val="FF0C3F9F"/>
    <w:rsid w:val="FF3539E2"/>
    <w:rsid w:val="FF3BB3DD"/>
    <w:rsid w:val="FF49F6D8"/>
    <w:rsid w:val="FF5DADE8"/>
    <w:rsid w:val="FF5F9AFC"/>
    <w:rsid w:val="FF6E64DE"/>
    <w:rsid w:val="FF6EC012"/>
    <w:rsid w:val="FF6FB864"/>
    <w:rsid w:val="FF77B50A"/>
    <w:rsid w:val="FF79E100"/>
    <w:rsid w:val="FF7E55C9"/>
    <w:rsid w:val="FF7F33C3"/>
    <w:rsid w:val="FF7F6327"/>
    <w:rsid w:val="FF8E5A50"/>
    <w:rsid w:val="FF960457"/>
    <w:rsid w:val="FF96C925"/>
    <w:rsid w:val="FF9FA23B"/>
    <w:rsid w:val="FF9FF5B4"/>
    <w:rsid w:val="FFAD8E20"/>
    <w:rsid w:val="FFAFF18D"/>
    <w:rsid w:val="FFB62868"/>
    <w:rsid w:val="FFB78E86"/>
    <w:rsid w:val="FFBF8348"/>
    <w:rsid w:val="FFBFE5B1"/>
    <w:rsid w:val="FFC63EA5"/>
    <w:rsid w:val="FFCC40C3"/>
    <w:rsid w:val="FFCF80B5"/>
    <w:rsid w:val="FFD21F06"/>
    <w:rsid w:val="FFD572A0"/>
    <w:rsid w:val="FFD69D8E"/>
    <w:rsid w:val="FFD6D4DE"/>
    <w:rsid w:val="FFD7B273"/>
    <w:rsid w:val="FFDBBC31"/>
    <w:rsid w:val="FFDBCD5F"/>
    <w:rsid w:val="FFDD5DDB"/>
    <w:rsid w:val="FFDFC72F"/>
    <w:rsid w:val="FFE52D65"/>
    <w:rsid w:val="FFF57FE2"/>
    <w:rsid w:val="FFF5A69C"/>
    <w:rsid w:val="FFF6E598"/>
    <w:rsid w:val="FFF78A1E"/>
    <w:rsid w:val="FFF9A2CA"/>
    <w:rsid w:val="FFF9C302"/>
    <w:rsid w:val="FFFA8EAF"/>
    <w:rsid w:val="FFFB274C"/>
    <w:rsid w:val="FFFB42D4"/>
    <w:rsid w:val="FFFB5AFF"/>
    <w:rsid w:val="FFFCAACF"/>
    <w:rsid w:val="FFFCC227"/>
    <w:rsid w:val="FFFD178F"/>
    <w:rsid w:val="FFFD5593"/>
    <w:rsid w:val="FFFE81C7"/>
    <w:rsid w:val="FFFEBEE6"/>
    <w:rsid w:val="FFFEBF5B"/>
    <w:rsid w:val="FFFECBDD"/>
    <w:rsid w:val="FFFED3D9"/>
    <w:rsid w:val="FFFF06CE"/>
    <w:rsid w:val="FFFF11D2"/>
    <w:rsid w:val="FFFF7A9C"/>
    <w:rsid w:val="FFFFA87C"/>
    <w:rsid w:val="FFFFB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iPriority="99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640" w:firstLineChars="200"/>
      <w:jc w:val="both"/>
    </w:pPr>
    <w:rPr>
      <w:rFonts w:ascii="FangSong_GB2312" w:hAnsi="FangSong_GB2312" w:eastAsia="FangSong_GB2312" w:cs="Times New Roman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640"/>
      <w:outlineLvl w:val="0"/>
    </w:pPr>
    <w:rPr>
      <w:rFonts w:ascii="宋体" w:hAnsi="宋体" w:eastAsia="黑体"/>
      <w:bCs/>
      <w:kern w:val="44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tabs>
        <w:tab w:val="left" w:pos="576"/>
      </w:tabs>
      <w:ind w:firstLine="640"/>
      <w:outlineLvl w:val="1"/>
    </w:pPr>
    <w:rPr>
      <w:rFonts w:eastAsia="楷体"/>
      <w:b/>
      <w:bCs/>
      <w:szCs w:val="24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ind w:left="720" w:hanging="720"/>
      <w:contextualSpacing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3"/>
      </w:numPr>
      <w:spacing w:before="260" w:after="260" w:line="360" w:lineRule="auto"/>
      <w:outlineLvl w:val="3"/>
    </w:pPr>
    <w:rPr>
      <w:b/>
      <w:bCs/>
      <w:sz w:val="24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3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3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3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3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3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caption"/>
    <w:basedOn w:val="1"/>
    <w:next w:val="1"/>
    <w:qFormat/>
    <w:uiPriority w:val="0"/>
    <w:pPr>
      <w:tabs>
        <w:tab w:val="left" w:pos="7258"/>
      </w:tabs>
      <w:spacing w:before="36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68"/>
    <w:qFormat/>
    <w:uiPriority w:val="0"/>
    <w:rPr>
      <w:rFonts w:ascii="Arial" w:hAnsi="Arial" w:eastAsia="宋体"/>
      <w:sz w:val="20"/>
    </w:rPr>
  </w:style>
  <w:style w:type="paragraph" w:styleId="15">
    <w:name w:val="Body Text"/>
    <w:basedOn w:val="1"/>
    <w:qFormat/>
    <w:uiPriority w:val="0"/>
    <w:pPr>
      <w:jc w:val="left"/>
    </w:pPr>
  </w:style>
  <w:style w:type="paragraph" w:styleId="16">
    <w:name w:val="Body Text Indent"/>
    <w:basedOn w:val="1"/>
    <w:qFormat/>
    <w:uiPriority w:val="0"/>
    <w:pPr>
      <w:ind w:left="354" w:hanging="354"/>
      <w:jc w:val="left"/>
    </w:pPr>
    <w:rPr>
      <w:lang w:val="en-GB"/>
    </w:rPr>
  </w:style>
  <w:style w:type="paragraph" w:styleId="17">
    <w:name w:val="toc 5"/>
    <w:basedOn w:val="1"/>
    <w:next w:val="1"/>
    <w:qFormat/>
    <w:uiPriority w:val="0"/>
    <w:pPr>
      <w:ind w:left="1680" w:leftChars="800"/>
    </w:pPr>
  </w:style>
  <w:style w:type="paragraph" w:styleId="18">
    <w:name w:val="toc 3"/>
    <w:basedOn w:val="1"/>
    <w:next w:val="1"/>
    <w:qFormat/>
    <w:uiPriority w:val="0"/>
    <w:pPr>
      <w:ind w:left="840" w:leftChars="400"/>
    </w:pPr>
  </w:style>
  <w:style w:type="paragraph" w:styleId="19">
    <w:name w:val="Plain Text"/>
    <w:basedOn w:val="1"/>
    <w:qFormat/>
    <w:uiPriority w:val="0"/>
  </w:style>
  <w:style w:type="paragraph" w:styleId="20">
    <w:name w:val="toc 8"/>
    <w:basedOn w:val="1"/>
    <w:next w:val="1"/>
    <w:qFormat/>
    <w:uiPriority w:val="0"/>
    <w:pPr>
      <w:ind w:left="2940" w:leftChars="1400"/>
    </w:pPr>
  </w:style>
  <w:style w:type="paragraph" w:styleId="21">
    <w:name w:val="Body Text Indent 2"/>
    <w:basedOn w:val="1"/>
    <w:qFormat/>
    <w:uiPriority w:val="0"/>
    <w:pPr>
      <w:ind w:left="709" w:hanging="709"/>
      <w:jc w:val="left"/>
    </w:pPr>
  </w:style>
  <w:style w:type="paragraph" w:styleId="22">
    <w:name w:val="Balloon Text"/>
    <w:basedOn w:val="1"/>
    <w:qFormat/>
    <w:uiPriority w:val="0"/>
    <w:rPr>
      <w:sz w:val="18"/>
      <w:szCs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0"/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footnote text"/>
    <w:basedOn w:val="1"/>
    <w:qFormat/>
    <w:uiPriority w:val="0"/>
  </w:style>
  <w:style w:type="paragraph" w:styleId="28">
    <w:name w:val="toc 6"/>
    <w:basedOn w:val="1"/>
    <w:next w:val="1"/>
    <w:qFormat/>
    <w:uiPriority w:val="0"/>
    <w:pPr>
      <w:ind w:left="2100" w:leftChars="1000"/>
    </w:pPr>
  </w:style>
  <w:style w:type="paragraph" w:styleId="29">
    <w:name w:val="Body Text Indent 3"/>
    <w:basedOn w:val="1"/>
    <w:qFormat/>
    <w:uiPriority w:val="0"/>
    <w:pPr>
      <w:widowControl w:val="0"/>
      <w:ind w:left="720"/>
    </w:pPr>
    <w:rPr>
      <w:rFonts w:ascii="Times New Roman" w:hAnsi="Times New Roman"/>
      <w:kern w:val="2"/>
      <w:sz w:val="24"/>
    </w:rPr>
  </w:style>
  <w:style w:type="paragraph" w:styleId="30">
    <w:name w:val="table of figures"/>
    <w:basedOn w:val="1"/>
    <w:next w:val="1"/>
    <w:qFormat/>
    <w:uiPriority w:val="0"/>
    <w:pPr>
      <w:ind w:left="400" w:hanging="400"/>
    </w:pPr>
  </w:style>
  <w:style w:type="paragraph" w:styleId="31">
    <w:name w:val="toc 2"/>
    <w:basedOn w:val="1"/>
    <w:next w:val="1"/>
    <w:qFormat/>
    <w:uiPriority w:val="0"/>
    <w:pPr>
      <w:ind w:left="420" w:leftChars="200"/>
    </w:pPr>
  </w:style>
  <w:style w:type="paragraph" w:styleId="32">
    <w:name w:val="toc 9"/>
    <w:basedOn w:val="1"/>
    <w:next w:val="1"/>
    <w:qFormat/>
    <w:uiPriority w:val="0"/>
    <w:pPr>
      <w:ind w:left="3360" w:leftChars="1600"/>
    </w:pPr>
  </w:style>
  <w:style w:type="paragraph" w:styleId="33">
    <w:name w:val="Body Text 2"/>
    <w:basedOn w:val="1"/>
    <w:qFormat/>
    <w:uiPriority w:val="0"/>
    <w:rPr>
      <w:b/>
      <w:snapToGrid w:val="0"/>
      <w:color w:val="000000"/>
      <w:sz w:val="16"/>
      <w:lang w:eastAsia="de-DE"/>
    </w:rPr>
  </w:style>
  <w:style w:type="paragraph" w:styleId="3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35">
    <w:name w:val="annotation subject"/>
    <w:basedOn w:val="14"/>
    <w:next w:val="14"/>
    <w:link w:val="67"/>
    <w:unhideWhenUsed/>
    <w:qFormat/>
    <w:uiPriority w:val="99"/>
    <w:pPr>
      <w:jc w:val="left"/>
    </w:pPr>
    <w:rPr>
      <w:b/>
      <w:bCs/>
    </w:rPr>
  </w:style>
  <w:style w:type="paragraph" w:styleId="36">
    <w:name w:val="Body Text First Indent"/>
    <w:basedOn w:val="1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/>
      <w:kern w:val="2"/>
      <w:sz w:val="21"/>
      <w:szCs w:val="24"/>
    </w:rPr>
  </w:style>
  <w:style w:type="table" w:styleId="38">
    <w:name w:val="Table Grid"/>
    <w:basedOn w:val="3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0">
    <w:name w:val="Strong"/>
    <w:qFormat/>
    <w:uiPriority w:val="0"/>
    <w:rPr>
      <w:b/>
      <w:bCs/>
    </w:rPr>
  </w:style>
  <w:style w:type="character" w:styleId="41">
    <w:name w:val="endnote reference"/>
    <w:qFormat/>
    <w:uiPriority w:val="0"/>
    <w:rPr>
      <w:vertAlign w:val="superscript"/>
    </w:rPr>
  </w:style>
  <w:style w:type="character" w:styleId="42">
    <w:name w:val="page number"/>
    <w:basedOn w:val="39"/>
    <w:unhideWhenUsed/>
    <w:qFormat/>
    <w:uiPriority w:val="99"/>
  </w:style>
  <w:style w:type="character" w:styleId="43">
    <w:name w:val="Emphasis"/>
    <w:qFormat/>
    <w:uiPriority w:val="0"/>
    <w:rPr>
      <w:rFonts w:ascii="Times New Roman" w:hAnsi="Times New Roman" w:eastAsia="KaiTi_GB2312"/>
      <w:b/>
      <w:sz w:val="24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qFormat/>
    <w:uiPriority w:val="0"/>
    <w:rPr>
      <w:sz w:val="16"/>
    </w:rPr>
  </w:style>
  <w:style w:type="character" w:styleId="46">
    <w:name w:val="footnote reference"/>
    <w:qFormat/>
    <w:uiPriority w:val="0"/>
    <w:rPr>
      <w:vertAlign w:val="superscript"/>
    </w:rPr>
  </w:style>
  <w:style w:type="paragraph" w:customStyle="1" w:styleId="47">
    <w:name w:val="样式 样式 标题 3h33Heading 3 hidden2hh31h32SectionHeading 2.3(Al... + ..."/>
    <w:basedOn w:val="1"/>
    <w:qFormat/>
    <w:uiPriority w:val="0"/>
    <w:pPr>
      <w:keepNext/>
      <w:numPr>
        <w:ilvl w:val="2"/>
        <w:numId w:val="3"/>
      </w:numPr>
      <w:spacing w:before="260" w:after="260" w:line="360" w:lineRule="auto"/>
      <w:outlineLvl w:val="2"/>
    </w:pPr>
    <w:rPr>
      <w:rFonts w:ascii="宋体" w:hAnsi="宋体" w:cs="宋体"/>
      <w:b/>
      <w:sz w:val="24"/>
      <w:szCs w:val="24"/>
    </w:rPr>
  </w:style>
  <w:style w:type="paragraph" w:customStyle="1" w:styleId="48">
    <w:name w:val="表格"/>
    <w:basedOn w:val="1"/>
    <w:qFormat/>
    <w:uiPriority w:val="0"/>
    <w:pPr>
      <w:spacing w:line="288" w:lineRule="auto"/>
    </w:pPr>
    <w:rPr>
      <w:rFonts w:ascii="Times New Roman" w:hAnsi="Times New Roman" w:eastAsia="宋体"/>
      <w:sz w:val="21"/>
    </w:rPr>
  </w:style>
  <w:style w:type="paragraph" w:customStyle="1" w:styleId="49">
    <w:name w:val="列出段落2"/>
    <w:basedOn w:val="1"/>
    <w:qFormat/>
    <w:uiPriority w:val="34"/>
    <w:pPr>
      <w:widowControl w:val="0"/>
      <w:ind w:firstLine="420"/>
    </w:pPr>
    <w:rPr>
      <w:rFonts w:ascii="Calibri" w:hAnsi="Calibri"/>
      <w:kern w:val="2"/>
      <w:sz w:val="21"/>
      <w:szCs w:val="22"/>
    </w:rPr>
  </w:style>
  <w:style w:type="paragraph" w:customStyle="1" w:styleId="50">
    <w:name w:val="列表段落1"/>
    <w:basedOn w:val="1"/>
    <w:qFormat/>
    <w:uiPriority w:val="99"/>
    <w:pPr>
      <w:ind w:firstLine="420"/>
    </w:pPr>
  </w:style>
  <w:style w:type="paragraph" w:customStyle="1" w:styleId="51">
    <w:name w:val="文本块1"/>
    <w:basedOn w:val="1"/>
    <w:qFormat/>
    <w:uiPriority w:val="0"/>
    <w:pPr>
      <w:spacing w:line="300" w:lineRule="atLeast"/>
      <w:ind w:left="709" w:right="709"/>
    </w:pPr>
    <w:rPr>
      <w:sz w:val="24"/>
      <w:lang w:val="en-GB"/>
    </w:rPr>
  </w:style>
  <w:style w:type="paragraph" w:customStyle="1" w:styleId="52">
    <w:name w:val="样式 宋体 小四 行距: 1.5 倍行距"/>
    <w:basedOn w:val="1"/>
    <w:qFormat/>
    <w:uiPriority w:val="0"/>
    <w:pPr>
      <w:widowControl w:val="0"/>
      <w:spacing w:line="360" w:lineRule="auto"/>
      <w:ind w:firstLine="560"/>
    </w:pPr>
    <w:rPr>
      <w:rFonts w:hAnsi="宋体" w:cs="宋体"/>
      <w:kern w:val="2"/>
      <w:sz w:val="28"/>
      <w:szCs w:val="28"/>
    </w:rPr>
  </w:style>
  <w:style w:type="paragraph" w:customStyle="1" w:styleId="53">
    <w:name w:val="样式 标题 2h22Header 2l2Level 2 Headheading 2sect 1.2DO NOT ..."/>
    <w:basedOn w:val="3"/>
    <w:qFormat/>
    <w:uiPriority w:val="0"/>
    <w:pPr>
      <w:keepLines w:val="0"/>
    </w:pPr>
    <w:rPr>
      <w:rFonts w:eastAsia="宋体" w:cs="宋体"/>
      <w:sz w:val="24"/>
      <w:szCs w:val="20"/>
    </w:rPr>
  </w:style>
  <w:style w:type="paragraph" w:customStyle="1" w:styleId="54">
    <w:name w:val="样式 样式 标题 2h22Header 2l2Level 2 Headheading 2sect 1.2DO NOT ... +..."/>
    <w:basedOn w:val="53"/>
    <w:qFormat/>
    <w:uiPriority w:val="0"/>
    <w:pPr>
      <w:tabs>
        <w:tab w:val="clear" w:pos="576"/>
      </w:tabs>
      <w:ind w:left="578" w:hanging="578"/>
    </w:pPr>
    <w:rPr>
      <w:rFonts w:ascii="宋体" w:hAnsi="宋体"/>
      <w:szCs w:val="24"/>
    </w:rPr>
  </w:style>
  <w:style w:type="paragraph" w:customStyle="1" w:styleId="55">
    <w:name w:val="编号列项（三级）"/>
    <w:qFormat/>
    <w:uiPriority w:val="0"/>
    <w:pPr>
      <w:numPr>
        <w:ilvl w:val="0"/>
        <w:numId w:val="4"/>
      </w:numPr>
      <w:tabs>
        <w:tab w:val="clear" w:pos="1140"/>
      </w:tabs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6">
    <w:name w:val="tealhead15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57">
    <w:name w:val="Char Char Char Char"/>
    <w:basedOn w:val="1"/>
    <w:next w:val="1"/>
    <w:qFormat/>
    <w:uiPriority w:val="0"/>
    <w:pPr>
      <w:widowControl w:val="0"/>
    </w:pPr>
    <w:rPr>
      <w:rFonts w:ascii="Times New Roman" w:hAnsi="Times New Roman"/>
      <w:kern w:val="2"/>
      <w:sz w:val="21"/>
      <w:szCs w:val="24"/>
    </w:rPr>
  </w:style>
  <w:style w:type="paragraph" w:customStyle="1" w:styleId="58">
    <w:name w:val="Char Char Char Char1"/>
    <w:basedOn w:val="1"/>
    <w:next w:val="1"/>
    <w:qFormat/>
    <w:uiPriority w:val="0"/>
    <w:pPr>
      <w:widowControl w:val="0"/>
    </w:pPr>
    <w:rPr>
      <w:rFonts w:ascii="Times New Roman" w:hAnsi="Times New Roman"/>
      <w:kern w:val="2"/>
      <w:sz w:val="21"/>
      <w:szCs w:val="24"/>
    </w:rPr>
  </w:style>
  <w:style w:type="paragraph" w:customStyle="1" w:styleId="59">
    <w:name w:val="表头"/>
    <w:basedOn w:val="48"/>
    <w:qFormat/>
    <w:uiPriority w:val="0"/>
    <w:pPr>
      <w:jc w:val="center"/>
    </w:pPr>
    <w:rPr>
      <w:b/>
      <w:sz w:val="24"/>
    </w:rPr>
  </w:style>
  <w:style w:type="paragraph" w:customStyle="1" w:styleId="60">
    <w:name w:val="默认段落字体 Para Char"/>
    <w:basedOn w:val="1"/>
    <w:qFormat/>
    <w:uiPriority w:val="0"/>
    <w:pPr>
      <w:widowControl w:val="0"/>
      <w:adjustRightInd w:val="0"/>
      <w:spacing w:line="360" w:lineRule="auto"/>
    </w:pPr>
    <w:rPr>
      <w:rFonts w:ascii="Times New Roman" w:hAnsi="Times New Roman"/>
      <w:sz w:val="24"/>
    </w:rPr>
  </w:style>
  <w:style w:type="paragraph" w:customStyle="1" w:styleId="61">
    <w:name w:val="4"/>
    <w:basedOn w:val="1"/>
    <w:qFormat/>
    <w:uiPriority w:val="0"/>
    <w:pPr>
      <w:widowControl w:val="0"/>
      <w:spacing w:before="100" w:beforeAutospacing="1" w:after="100" w:afterAutospacing="1" w:line="360" w:lineRule="auto"/>
      <w:ind w:firstLine="480"/>
      <w:jc w:val="left"/>
    </w:pPr>
    <w:rPr>
      <w:sz w:val="21"/>
      <w:szCs w:val="21"/>
      <w:lang w:eastAsia="en-US"/>
    </w:rPr>
  </w:style>
  <w:style w:type="paragraph" w:customStyle="1" w:styleId="62">
    <w:name w:val="样式 宋体 小四 加粗 居中 段前: 6 磅 段后: 6 磅 行距: 1.5 倍行距"/>
    <w:basedOn w:val="1"/>
    <w:qFormat/>
    <w:uiPriority w:val="0"/>
    <w:pPr>
      <w:spacing w:before="120" w:after="120" w:line="360" w:lineRule="auto"/>
      <w:jc w:val="center"/>
    </w:pPr>
    <w:rPr>
      <w:rFonts w:ascii="宋体" w:hAnsi="宋体" w:cs="宋体"/>
      <w:b/>
      <w:bCs/>
      <w:sz w:val="24"/>
    </w:rPr>
  </w:style>
  <w:style w:type="paragraph" w:customStyle="1" w:styleId="63">
    <w:name w:val="列出段落1"/>
    <w:basedOn w:val="1"/>
    <w:qFormat/>
    <w:uiPriority w:val="0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eastAsia="en-US" w:bidi="en-US"/>
    </w:rPr>
  </w:style>
  <w:style w:type="paragraph" w:customStyle="1" w:styleId="64">
    <w:name w:val="样式 标题 1H1Section Headh11st levell1H11H12H13H14H15H16..."/>
    <w:basedOn w:val="2"/>
    <w:qFormat/>
    <w:uiPriority w:val="0"/>
    <w:rPr>
      <w:kern w:val="2"/>
      <w:sz w:val="24"/>
    </w:rPr>
  </w:style>
  <w:style w:type="paragraph" w:customStyle="1" w:styleId="65">
    <w:name w:val="我的正文5号字体"/>
    <w:basedOn w:val="1"/>
    <w:qFormat/>
    <w:uiPriority w:val="0"/>
    <w:pPr>
      <w:widowControl w:val="0"/>
      <w:spacing w:line="400" w:lineRule="exact"/>
    </w:pPr>
    <w:rPr>
      <w:rFonts w:eastAsia="KaiTi_GB2312" w:cs="Arial"/>
      <w:kern w:val="2"/>
      <w:sz w:val="21"/>
      <w:szCs w:val="29"/>
    </w:rPr>
  </w:style>
  <w:style w:type="character" w:customStyle="1" w:styleId="6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7">
    <w:name w:val="批注主题 Char"/>
    <w:basedOn w:val="68"/>
    <w:link w:val="35"/>
    <w:qFormat/>
    <w:uiPriority w:val="0"/>
    <w:rPr>
      <w:rFonts w:ascii="Arial" w:hAnsi="Arial"/>
    </w:rPr>
  </w:style>
  <w:style w:type="character" w:customStyle="1" w:styleId="68">
    <w:name w:val="批注文字 Char"/>
    <w:link w:val="14"/>
    <w:qFormat/>
    <w:uiPriority w:val="0"/>
    <w:rPr>
      <w:rFonts w:ascii="Arial" w:hAnsi="Arial"/>
    </w:rPr>
  </w:style>
  <w:style w:type="character" w:customStyle="1" w:styleId="69">
    <w:name w:val="style1"/>
    <w:basedOn w:val="39"/>
    <w:qFormat/>
    <w:uiPriority w:val="0"/>
  </w:style>
  <w:style w:type="paragraph" w:customStyle="1" w:styleId="70">
    <w:name w:val="正文1"/>
    <w:basedOn w:val="1"/>
    <w:qFormat/>
    <w:uiPriority w:val="0"/>
    <w:pPr>
      <w:ind w:firstLine="600"/>
    </w:pPr>
    <w:rPr>
      <w:rFonts w:ascii="Times New Roman" w:hAnsi="Times New Roman"/>
    </w:rPr>
  </w:style>
  <w:style w:type="paragraph" w:customStyle="1" w:styleId="71">
    <w:name w:val="列出段落3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964</Words>
  <Characters>5498</Characters>
  <Lines>45</Lines>
  <Paragraphs>12</Paragraphs>
  <TotalTime>118</TotalTime>
  <ScaleCrop>false</ScaleCrop>
  <LinksUpToDate>false</LinksUpToDate>
  <CharactersWithSpaces>6450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2019-09-23T22:15:00Z</dcterms:created>
  <dc:creator>houcg</dc:creator>
  <cp:lastModifiedBy>成薇</cp:lastModifiedBy>
  <cp:lastPrinted>2019-12-23T01:21:00Z</cp:lastPrinted>
  <dcterms:modified xsi:type="dcterms:W3CDTF">2024-11-08T14:37:11Z</dcterms:modified>
  <dc:title>附件4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527458E068DA43219F18DB3AD1070811</vt:lpwstr>
  </property>
  <property fmtid="{D5CDD505-2E9C-101B-9397-08002B2CF9AE}" pid="4" name="hmcheck_markmode">
    <vt:i4>0</vt:i4>
  </property>
</Properties>
</file>