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1-1</w:t>
      </w:r>
    </w:p>
    <w:p>
      <w:pPr>
        <w:jc w:val="center"/>
        <w:rPr>
          <w:rFonts w:eastAsia="黑体"/>
          <w:sz w:val="72"/>
        </w:rPr>
      </w:pPr>
    </w:p>
    <w:p>
      <w:pPr>
        <w:jc w:val="center"/>
        <w:rPr>
          <w:rFonts w:eastAsia="黑体"/>
          <w:sz w:val="72"/>
        </w:rPr>
      </w:pPr>
    </w:p>
    <w:p>
      <w:pPr>
        <w:jc w:val="center"/>
        <w:rPr>
          <w:rFonts w:eastAsia="黑体"/>
          <w:sz w:val="7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金融监管总局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保险业监管数据标准化规范（人身保险公司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版）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报送说明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hint="eastAsia" w:ascii="黑体" w:hAnsi="黑体" w:eastAsia="黑体" w:cs="黑体"/>
          <w:bCs w:val="0"/>
          <w:sz w:val="30"/>
          <w:szCs w:val="30"/>
        </w:rPr>
      </w:pPr>
      <w:r>
        <w:rPr>
          <w:rFonts w:hint="eastAsia" w:ascii="黑体" w:hAnsi="黑体" w:eastAsia="黑体" w:cs="黑体"/>
          <w:bCs w:val="0"/>
          <w:sz w:val="30"/>
          <w:szCs w:val="30"/>
        </w:rPr>
        <w:t>202</w:t>
      </w:r>
      <w:r>
        <w:rPr>
          <w:rFonts w:hint="eastAsia" w:ascii="黑体" w:hAnsi="黑体" w:eastAsia="黑体" w:cs="黑体"/>
          <w:bCs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Cs w:val="0"/>
          <w:sz w:val="30"/>
          <w:szCs w:val="30"/>
        </w:rPr>
        <w:t>年</w:t>
      </w:r>
      <w:r>
        <w:rPr>
          <w:rFonts w:hint="default" w:ascii="黑体" w:hAnsi="黑体" w:eastAsia="黑体" w:cs="黑体"/>
          <w:bCs w:val="0"/>
          <w:sz w:val="30"/>
          <w:szCs w:val="30"/>
          <w:lang w:val="en" w:eastAsia="zh-CN"/>
        </w:rPr>
        <w:t>10</w:t>
      </w:r>
      <w:r>
        <w:rPr>
          <w:rFonts w:hint="eastAsia" w:ascii="黑体" w:hAnsi="黑体" w:eastAsia="黑体" w:cs="黑体"/>
          <w:bCs w:val="0"/>
          <w:sz w:val="30"/>
          <w:szCs w:val="30"/>
        </w:rPr>
        <w:t>月</w:t>
      </w:r>
    </w:p>
    <w:p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sz w:val="32"/>
          <w:szCs w:val="32"/>
        </w:rPr>
      </w:pPr>
      <w:bookmarkStart w:id="0" w:name="_Toc3618"/>
      <w:bookmarkStart w:id="1" w:name="_Toc14955"/>
      <w:bookmarkStart w:id="2" w:name="_Toc15861"/>
      <w:r>
        <w:rPr>
          <w:rFonts w:hint="eastAsia"/>
          <w:sz w:val="32"/>
          <w:szCs w:val="32"/>
        </w:rPr>
        <w:t>一、适用机构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在中华人民共和国境内依法设立的人身保险公司，包括普通人身险公司、专业健康险公司、专业养老险公司、相互人寿保险组织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二、数据结构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金融监管总局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保险业监管数据标准化规范（人身保险公司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》（以下简称《规范》）共包括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个监管主题域、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张数据表、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个数据项。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数据表报送范围及数据项在《规范》中均有说明。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三、数据来源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人身保险公司应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规范》要求，从本公司相关信息系统中获取数据，包括但不限于核心业务系统、财务系统、人力资源系统、客户关系管理系统、办公管理系统等。如现有信息系统无法满足数据报送要求，应及时采取措施，完善信息系统建设，并制定具体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方案，以逐步达到数据报送要求。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四、数据采集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人身保险公司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本《规范》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报送数据时，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决策议事会议信息表、总账会计全科目表、财务凭证信息表等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通知定义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，采集具体时间段内的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。其余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数据表采集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规定时间段内，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所有发生业务（包含终结业务及存续业务）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的全量数据在采集截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时点的状态，不追溯采集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规定时间段</w:t>
      </w:r>
      <w:r>
        <w:rPr>
          <w:rFonts w:hint="eastAsia" w:ascii="仿宋_GB2312" w:hAnsi="仿宋_GB2312" w:eastAsia="仿宋_GB2312" w:cs="仿宋_GB2312"/>
          <w:sz w:val="32"/>
          <w:szCs w:val="32"/>
        </w:rPr>
        <w:t>前已结清业务的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。例如，假设集中采集时间段为20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年12月31日，则20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年离职的员工应当报送一条数据，而20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年离职的员工则不在采集范围内。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》中必填数据项作为必填项对待，确实无法对应的数据项应报监管部门备案，并参照以下要求处理：①未开办此类业务，则无须报送；②已开办此类业务，但需要一次性录入索引类数据，应当在实施过程中另行建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维护或对源系统进行技术改造。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、自定义数据项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考虑到不同人身保险公司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业务和信息系统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间的差异</w:t>
      </w:r>
      <w:r>
        <w:rPr>
          <w:rFonts w:hint="eastAsia" w:ascii="仿宋_GB2312" w:hAnsi="仿宋_GB2312" w:eastAsia="仿宋_GB2312" w:cs="仿宋_GB2312"/>
          <w:sz w:val="32"/>
          <w:szCs w:val="32"/>
        </w:rPr>
        <w:t>，《规范》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注明部分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的报送内容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人身保险公司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自定义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。对于此类数据项，各公司应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遵照数据项说明及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定义的取值范围与数据格式要求，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使用中文描述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避免使用英文或代码。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、敏感信息处理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对于隐私数据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均在数据项说明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注解，分为“隐私，暂不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”、“隐私，人身保险公司变形”两种情况。</w:t>
      </w:r>
    </w:p>
    <w:p>
      <w:pPr>
        <w:spacing w:beforeLines="0" w:afterLines="0" w:line="560" w:lineRule="exact"/>
        <w:ind w:firstLine="642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（一）对于“隐私，暂不</w:t>
      </w:r>
      <w:r>
        <w:rPr>
          <w:rFonts w:hint="eastAsia" w:ascii="楷体" w:hAnsi="楷体" w:eastAsia="楷体" w:cs="楷体"/>
          <w:b/>
          <w:bCs/>
          <w:sz w:val="32"/>
          <w:szCs w:val="32"/>
          <w:shd w:val="clear" w:fill="FFFFFF"/>
        </w:rPr>
        <w:t>取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类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数据，报送时按照以下规则处理：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1.个人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详细地址</w:t>
      </w:r>
    </w:p>
    <w:p>
      <w:pPr>
        <w:spacing w:beforeLines="0" w:afterLines="0" w:line="560" w:lineRule="exact"/>
        <w:ind w:firstLine="640" w:firstLineChars="200"/>
        <w:outlineLvl w:val="2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报送默认值“隐私”。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（二）对于“隐私，人身保险公司变形”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类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数据，报送时按照以下规则变形：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1.个人姓名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姓名，做有限暴露方式的脱敏处理，只保留最后一个字或最后一个单词；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（2）自然人股东、实际控制人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员工及销售人员的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姓名不变形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2.个人身份证件号码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个人姓名的第一个汉字（如果姓名是外文，取其UTF-8编码的前3个字节），后接身份证件号码，形成一个字符串（UTF-8编码，以居民身份证号码为例，为21字节）；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（2）取上述字符串的SM3杂凑值，为64字节的字符串（小写形式表示）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SM3是GB/T 32905-2016信息安全技术SM3密码杂凑算法中定义的密码杂凑算法；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（3）取身份证件号码UTF-8编码的前6个字节，后接上述SM3杂凑值，得到70字节的字符串，为脱敏的最终值。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姓名：张三，18位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公民身份证件号码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：33010219801212031X，变形后：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330102d204dec41ce67f4bb643b8a058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fbfdfb</w:t>
      </w:r>
      <w:r>
        <w:rPr>
          <w:rFonts w:hint="eastAsia" w:ascii="仿宋_GB2312" w:hAnsi="仿宋_GB2312" w:eastAsia="仿宋_GB2312" w:cs="仿宋_GB2312"/>
          <w:sz w:val="32"/>
          <w:szCs w:val="32"/>
        </w:rPr>
        <w:t>0fcc962080c0209242a5bb5d436187c3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姓名：李四，15位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公民身份证件号码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：330102801212031，变形后：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330102e1fe0f51290d6a8f1cc2dee8d35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aadeaa</w:t>
      </w:r>
      <w:r>
        <w:rPr>
          <w:rFonts w:hint="eastAsia" w:ascii="仿宋_GB2312" w:hAnsi="仿宋_GB2312" w:eastAsia="仿宋_GB2312" w:cs="仿宋_GB2312"/>
          <w:sz w:val="32"/>
          <w:szCs w:val="32"/>
        </w:rPr>
        <w:t>898e8bab6b6bb1a4416d004fd5c6067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姓名：李四，护照：E12345678，变形后：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E12345737e5c8e7d1d97cb1ecc007a2cb1b09ff42c05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addbb</w:t>
      </w:r>
      <w:r>
        <w:rPr>
          <w:rFonts w:hint="eastAsia" w:ascii="仿宋_GB2312" w:hAnsi="仿宋_GB2312" w:eastAsia="仿宋_GB2312" w:cs="仿宋_GB2312"/>
          <w:sz w:val="32"/>
          <w:szCs w:val="32"/>
        </w:rPr>
        <w:t>0cf8e2cf84c5b40d705cb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3.包含个人身份证件号码的相关编号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若身份证件号码中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英文字母，应先统一转换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大写英文字母，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将身份证件号码部分用身份证件号码全文UTF-8编码的SM3杂凑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值</w:t>
      </w:r>
      <w:r>
        <w:rPr>
          <w:rFonts w:hint="eastAsia" w:ascii="仿宋_GB2312" w:hAnsi="仿宋_GB2312" w:eastAsia="仿宋_GB2312" w:cs="仿宋_GB2312"/>
          <w:sz w:val="32"/>
          <w:szCs w:val="32"/>
        </w:rPr>
        <w:t>替换，其余部分不变。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outlineLvl w:val="2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账户名称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账户名称，做有限暴露方式的脱敏处理，仅保留最后一个字或最后一个单词；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名称不变形。</w:t>
      </w:r>
    </w:p>
    <w:p>
      <w:pPr>
        <w:spacing w:beforeLines="0" w:afterLines="0" w:line="560" w:lineRule="exact"/>
        <w:ind w:firstLine="642" w:firstLineChars="200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5.电话号码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变形输出=SM3(电话号码全文UTF-8编码)（64字符，英文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小写输出）。机构客户、保险公司员工与销售人员的联系电话不做变形。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传真/座机号码：010-66279455，变形后：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0702465666b4df0c2f7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ddefe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86f4be1c69c239765e2e8d3288128b5e1ba0be31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手机号码：12345678912，变形后：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f30dbe8891134b9528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adf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0b6083246d7fa65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eac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0c546723ba79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abeb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595153f94</w:t>
      </w:r>
    </w:p>
    <w:p>
      <w:pPr>
        <w:pStyle w:val="2"/>
        <w:numPr>
          <w:ilvl w:val="-1"/>
          <w:numId w:val="0"/>
        </w:numPr>
        <w:spacing w:before="0" w:beforeLines="0" w:after="0" w:afterLines="0" w:line="560" w:lineRule="exact"/>
        <w:ind w:leftChars="0" w:firstLine="640" w:firstLineChars="200"/>
        <w:outlineLvl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涉密信息处理</w:t>
      </w:r>
    </w:p>
    <w:p>
      <w:pPr>
        <w:spacing w:beforeLines="0" w:afterLines="0" w:line="560" w:lineRule="exact"/>
        <w:ind w:firstLine="640" w:firstLineChars="200"/>
        <w:rPr>
          <w:rStyle w:val="7"/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涉密业务数据不在本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《规范》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报送范围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之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内。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>、数据约束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数据结构中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主键为监管部门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施加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唯一性约束的参考条件，含有多个主键的，表示联合主键的参考，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并不作为主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外键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唯一性约束的条件，可根据数据实际使用情况做出调整。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九</w:t>
      </w:r>
      <w:r>
        <w:rPr>
          <w:rFonts w:hint="eastAsia"/>
          <w:sz w:val="32"/>
          <w:szCs w:val="32"/>
        </w:rPr>
        <w:t>、数据格式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报送数据若为字符串，则字符串中不能包含\n、\r、双引号等控制字符和转义字符，且字符串首尾不能包含空格。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报送数据若为浮点数，则必须为123.789形式，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数值前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0、补+号。报送数据若为整数，则必须为123456形式，数值前不可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0、补+号，数值后不能带小数点。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若报送数据内容为外文的，除外籍人员姓名、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、境外账户名称与境外资产名称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外，应统一转换成中文后报送。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金额类数据项如无特殊说明，均以元为单位填报。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十、数据质量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人身保险公司是数据质量的责任主体。各公司应当采取必要措施保证数据质量。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《规范》同步印发的检核规则，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仅对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基础格式进行校验，目的是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数据正常入库，并不代表所报送数据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十一、数据分层存储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人身保险公司在向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金融监管总局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报送数据的同时，应在本地存储一份备份数据。存至本公司的数据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单独存放、隔离管理，并建立安全可靠的传输通道和保障机制，以支撑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金融监管总局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调阅与应用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。该备份数据，未经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金融监管总局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许可，不得删改。</w:t>
      </w:r>
    </w:p>
    <w:p>
      <w:pPr>
        <w:pStyle w:val="2"/>
        <w:spacing w:before="0" w:beforeLines="0" w:after="0" w:afterLines="0" w:line="560" w:lineRule="exact"/>
        <w:ind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、标准引用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下列标准中的条款通过本规范的引用而成为本规范的条款。凡是注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日期的引用文件，其随后所有的修改单（不包括勘误的内容）或修订版均不适用于本规范，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鼓励各方研究是否可使用这些文件的最新版本。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凡是未注明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日期的引用文件，其最新版本适用于本规范。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保险术语（GB/T 36687-2018）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JR/T 0034-2015 保险业务代码集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ISO/IEC 10646 Information Technology -- Universal Coded Character Set (UCS)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7408-2005 数据元和交换格式 信息交换 日期和时间表示法（ISO 8601:2000，IDT）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18142-2017 信息技术 数据元素值格式记法（ISO /IEC 14957:2010，IDT）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12406 表示货币和资金的代码（ISO 4217:2001，IDT）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3304 中国各民族名称的罗马字母拼写法和代码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2261.1-2003 个人基本信息分类与代码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8561 专业技术职务代码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GA 240.17-2000 刑事犯罪信息管理代码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4754 国民经济行业分类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2659 世界各国和地区名称代码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民政部中华人民共和国县以上行政区划代码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中国保险行业协会与中国医师协会重大疾病代码</w:t>
      </w:r>
      <w:bookmarkEnd w:id="0"/>
      <w:bookmarkEnd w:id="1"/>
      <w:bookmarkEnd w:id="2"/>
    </w:p>
    <w:p>
      <w:bookmarkStart w:id="3" w:name="_GoBack"/>
      <w:bookmarkEnd w:id="3"/>
    </w:p>
    <w:sectPr>
      <w:footerReference r:id="rId5" w:type="default"/>
      <w:pgSz w:w="11906" w:h="16838"/>
      <w:pgMar w:top="1440" w:right="141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28448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.05pt;height:22.4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LmetxfHAQAAiwMAAA4AAAAAAAAAAQAg&#10;AAAANQEAAGRycy9lMm9Eb2MueG1sUEsBAhQAFAAAAAgAh07iQIIKTarQAAAAAw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5C562"/>
    <w:rsid w:val="FB75C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ind w:leftChars="300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Emphasis"/>
    <w:basedOn w:val="5"/>
    <w:qFormat/>
    <w:uiPriority w:val="0"/>
    <w:rPr>
      <w:rFonts w:ascii="Times New Roman" w:hAnsi="Times New Roman" w:eastAsia="KaiTi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2024-11-15T15:17:00Z</dcterms:created>
  <dc:creator>隋建威</dc:creator>
  <cp:lastModifiedBy>隋建威</cp:lastModifiedBy>
  <dcterms:modified xsi:type="dcterms:W3CDTF">2024-11-15T15:18:18Z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A9F2E98E4C37A9F18EF536674DE2BC91</vt:lpwstr>
  </property>
</Properties>
</file>