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58"/>
        </w:tabs>
        <w:ind w:firstLine="0" w:firstLineChars="0"/>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bookmarkStart w:id="301" w:name="_GoBack"/>
      <w:bookmarkEnd w:id="301"/>
    </w:p>
    <w:p>
      <w:pPr>
        <w:ind w:firstLine="0" w:firstLineChars="0"/>
        <w:jc w:val="center"/>
        <w:rPr>
          <w:rFonts w:ascii="方正小标宋简体" w:hAnsi="方正小标宋简体" w:eastAsia="方正小标宋简体" w:cs="方正小标宋简体"/>
          <w:color w:val="000000" w:themeColor="text1"/>
          <w:sz w:val="52"/>
          <w:szCs w:val="40"/>
          <w14:textFill>
            <w14:solidFill>
              <w14:schemeClr w14:val="tx1"/>
            </w14:solidFill>
          </w14:textFill>
        </w:rPr>
      </w:pPr>
    </w:p>
    <w:p>
      <w:pPr>
        <w:ind w:firstLine="0" w:firstLineChars="0"/>
        <w:jc w:val="center"/>
        <w:rPr>
          <w:rFonts w:ascii="方正小标宋简体" w:hAnsi="方正小标宋简体" w:eastAsia="方正小标宋简体" w:cs="方正小标宋简体"/>
          <w:color w:val="000000" w:themeColor="text1"/>
          <w:sz w:val="52"/>
          <w:szCs w:val="40"/>
          <w14:textFill>
            <w14:solidFill>
              <w14:schemeClr w14:val="tx1"/>
            </w14:solidFill>
          </w14:textFill>
        </w:rPr>
      </w:pPr>
    </w:p>
    <w:p>
      <w:pPr>
        <w:ind w:firstLine="0" w:firstLineChars="0"/>
        <w:jc w:val="center"/>
        <w:rPr>
          <w:rFonts w:ascii="华文中宋" w:hAnsi="华文中宋" w:eastAsia="华文中宋" w:cs="黑体"/>
          <w:color w:val="000000" w:themeColor="text1"/>
          <w:sz w:val="52"/>
          <w:szCs w:val="52"/>
          <w14:textFill>
            <w14:solidFill>
              <w14:schemeClr w14:val="tx1"/>
            </w14:solidFill>
          </w14:textFill>
        </w:rPr>
      </w:pPr>
    </w:p>
    <w:p>
      <w:pPr>
        <w:ind w:firstLine="0" w:firstLineChars="0"/>
        <w:jc w:val="center"/>
        <w:rPr>
          <w:rFonts w:ascii="华文中宋" w:hAnsi="华文中宋" w:eastAsia="华文中宋" w:cs="方正小标宋简体"/>
          <w:color w:val="000000" w:themeColor="text1"/>
          <w:sz w:val="52"/>
          <w:szCs w:val="52"/>
          <w14:textFill>
            <w14:solidFill>
              <w14:schemeClr w14:val="tx1"/>
            </w14:solidFill>
          </w14:textFill>
        </w:rPr>
      </w:pPr>
    </w:p>
    <w:p>
      <w:pPr>
        <w:ind w:firstLine="0" w:firstLineChars="0"/>
        <w:jc w:val="center"/>
        <w:rPr>
          <w:rFonts w:ascii="华文中宋" w:hAnsi="华文中宋" w:eastAsia="华文中宋" w:cs="方正小标宋简体"/>
          <w:color w:val="000000" w:themeColor="text1"/>
          <w:sz w:val="52"/>
          <w:szCs w:val="52"/>
          <w14:textFill>
            <w14:solidFill>
              <w14:schemeClr w14:val="tx1"/>
            </w14:solidFill>
          </w14:textFill>
        </w:rPr>
      </w:pPr>
    </w:p>
    <w:p>
      <w:pPr>
        <w:spacing w:line="240" w:lineRule="auto"/>
        <w:ind w:firstLine="0" w:firstLineChars="0"/>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中国银保监会保险业监管数据标准化规范</w:t>
      </w:r>
    </w:p>
    <w:p>
      <w:pPr>
        <w:ind w:firstLine="0" w:firstLineChars="0"/>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sz w:val="44"/>
          <w:szCs w:val="44"/>
        </w:rPr>
        <w:t>〔保险集团（控股）公司版〕</w:t>
      </w:r>
    </w:p>
    <w:p>
      <w:pPr>
        <w:ind w:firstLine="0" w:firstLineChars="0"/>
        <w:jc w:val="center"/>
        <w:rPr>
          <w:rFonts w:ascii="华文中宋" w:hAnsi="华文中宋" w:eastAsia="华文中宋" w:cs="黑体"/>
          <w:color w:val="000000" w:themeColor="text1"/>
          <w:sz w:val="52"/>
          <w:szCs w:val="52"/>
          <w14:textFill>
            <w14:solidFill>
              <w14:schemeClr w14:val="tx1"/>
            </w14:solidFill>
          </w14:textFill>
        </w:rPr>
      </w:pPr>
    </w:p>
    <w:p>
      <w:pPr>
        <w:ind w:firstLine="0" w:firstLineChars="0"/>
        <w:jc w:val="center"/>
        <w:rPr>
          <w:rFonts w:ascii="华文中宋" w:hAnsi="华文中宋" w:eastAsia="华文中宋" w:cs="黑体"/>
          <w:color w:val="000000" w:themeColor="text1"/>
          <w:sz w:val="52"/>
          <w:szCs w:val="52"/>
          <w14:textFill>
            <w14:solidFill>
              <w14:schemeClr w14:val="tx1"/>
            </w14:solidFill>
          </w14:textFill>
        </w:rPr>
      </w:pPr>
    </w:p>
    <w:p>
      <w:pPr>
        <w:ind w:firstLine="0" w:firstLineChars="0"/>
        <w:jc w:val="center"/>
        <w:rPr>
          <w:rFonts w:ascii="华文中宋" w:hAnsi="华文中宋" w:eastAsia="华文中宋" w:cs="黑体"/>
          <w:color w:val="000000" w:themeColor="text1"/>
          <w:sz w:val="52"/>
          <w:szCs w:val="52"/>
          <w14:textFill>
            <w14:solidFill>
              <w14:schemeClr w14:val="tx1"/>
            </w14:solidFill>
          </w14:textFill>
        </w:rPr>
      </w:pPr>
    </w:p>
    <w:p>
      <w:pPr>
        <w:ind w:firstLine="0" w:firstLineChars="0"/>
        <w:jc w:val="center"/>
        <w:rPr>
          <w:rFonts w:ascii="华文中宋" w:hAnsi="华文中宋" w:eastAsia="华文中宋" w:cs="黑体"/>
          <w:color w:val="000000" w:themeColor="text1"/>
          <w:sz w:val="52"/>
          <w:szCs w:val="52"/>
          <w14:textFill>
            <w14:solidFill>
              <w14:schemeClr w14:val="tx1"/>
            </w14:solidFill>
          </w14:textFill>
        </w:rPr>
      </w:pPr>
    </w:p>
    <w:p>
      <w:pPr>
        <w:ind w:firstLine="0" w:firstLineChars="0"/>
        <w:jc w:val="center"/>
        <w:rPr>
          <w:rFonts w:ascii="华文中宋" w:hAnsi="华文中宋" w:eastAsia="华文中宋" w:cs="黑体"/>
          <w:color w:val="000000" w:themeColor="text1"/>
          <w:sz w:val="52"/>
          <w:szCs w:val="52"/>
          <w14:textFill>
            <w14:solidFill>
              <w14:schemeClr w14:val="tx1"/>
            </w14:solidFill>
          </w14:textFill>
        </w:rPr>
      </w:pPr>
    </w:p>
    <w:p>
      <w:pPr>
        <w:ind w:firstLine="0" w:firstLineChars="0"/>
        <w:jc w:val="center"/>
        <w:rPr>
          <w:rFonts w:ascii="华文中宋" w:hAnsi="华文中宋" w:eastAsia="华文中宋" w:cs="黑体"/>
          <w:color w:val="000000" w:themeColor="text1"/>
          <w:sz w:val="52"/>
          <w:szCs w:val="52"/>
          <w14:textFill>
            <w14:solidFill>
              <w14:schemeClr w14:val="tx1"/>
            </w14:solidFill>
          </w14:textFill>
        </w:rPr>
      </w:pPr>
    </w:p>
    <w:p>
      <w:pPr>
        <w:ind w:firstLine="0" w:firstLineChars="0"/>
        <w:jc w:val="center"/>
        <w:rPr>
          <w:rFonts w:ascii="华文中宋" w:hAnsi="华文中宋" w:eastAsia="华文中宋" w:cs="黑体"/>
          <w:color w:val="000000" w:themeColor="text1"/>
          <w:sz w:val="52"/>
          <w:szCs w:val="52"/>
          <w14:textFill>
            <w14:solidFill>
              <w14:schemeClr w14:val="tx1"/>
            </w14:solidFill>
          </w14:textFill>
        </w:rPr>
      </w:pPr>
    </w:p>
    <w:p>
      <w:pPr>
        <w:ind w:firstLine="0" w:firstLineChars="0"/>
        <w:jc w:val="center"/>
        <w:rPr>
          <w:rFonts w:ascii="华文中宋" w:hAnsi="华文中宋" w:eastAsia="华文中宋" w:cs="黑体"/>
          <w:color w:val="000000" w:themeColor="text1"/>
          <w:sz w:val="52"/>
          <w:szCs w:val="52"/>
          <w14:textFill>
            <w14:solidFill>
              <w14:schemeClr w14:val="tx1"/>
            </w14:solidFill>
          </w14:textFill>
        </w:rPr>
      </w:pPr>
    </w:p>
    <w:p>
      <w:pPr>
        <w:ind w:firstLine="0" w:firstLineChars="0"/>
        <w:jc w:val="center"/>
        <w:rPr>
          <w:rFonts w:ascii="黑体" w:hAnsi="黑体" w:eastAsia="黑体" w:cs="黑体"/>
          <w:color w:val="000000" w:themeColor="text1"/>
          <w:sz w:val="36"/>
          <w:szCs w:val="36"/>
          <w14:textFill>
            <w14:solidFill>
              <w14:schemeClr w14:val="tx1"/>
            </w14:solidFill>
          </w14:textFill>
        </w:rPr>
      </w:pPr>
      <w:r>
        <w:rPr>
          <w:rFonts w:hint="eastAsia" w:ascii="黑体" w:hAnsi="黑体" w:eastAsia="黑体" w:cs="黑体"/>
          <w:color w:val="000000" w:themeColor="text1"/>
          <w:sz w:val="36"/>
          <w:szCs w:val="36"/>
          <w14:textFill>
            <w14:solidFill>
              <w14:schemeClr w14:val="tx1"/>
            </w14:solidFill>
          </w14:textFill>
        </w:rPr>
        <w:t>202</w:t>
      </w:r>
      <w:r>
        <w:rPr>
          <w:rFonts w:ascii="黑体" w:hAnsi="黑体" w:eastAsia="黑体" w:cs="黑体"/>
          <w:color w:val="000000" w:themeColor="text1"/>
          <w:sz w:val="36"/>
          <w:szCs w:val="36"/>
          <w14:textFill>
            <w14:solidFill>
              <w14:schemeClr w14:val="tx1"/>
            </w14:solidFill>
          </w14:textFill>
        </w:rPr>
        <w:t>2</w:t>
      </w:r>
      <w:r>
        <w:rPr>
          <w:rFonts w:hint="eastAsia" w:ascii="黑体" w:hAnsi="黑体" w:eastAsia="黑体" w:cs="黑体"/>
          <w:color w:val="000000" w:themeColor="text1"/>
          <w:sz w:val="36"/>
          <w:szCs w:val="36"/>
          <w14:textFill>
            <w14:solidFill>
              <w14:schemeClr w14:val="tx1"/>
            </w14:solidFill>
          </w14:textFill>
        </w:rPr>
        <w:t>年9月</w:t>
      </w:r>
    </w:p>
    <w:p>
      <w:pPr>
        <w:ind w:firstLine="0" w:firstLineChars="0"/>
        <w:jc w:val="center"/>
        <w:rPr>
          <w:rFonts w:ascii="黑体" w:hAnsi="黑体" w:eastAsia="黑体" w:cs="黑体"/>
          <w:color w:val="000000" w:themeColor="text1"/>
          <w:sz w:val="36"/>
          <w:szCs w:val="36"/>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2154" w:right="1474" w:bottom="1984" w:left="1588" w:header="851" w:footer="1021" w:gutter="0"/>
          <w:pgNumType w:fmt="numberInDash" w:start="1"/>
          <w:cols w:space="720" w:num="1"/>
          <w:docGrid w:type="lines" w:linePitch="312" w:charSpace="0"/>
        </w:sectPr>
      </w:pPr>
    </w:p>
    <w:p>
      <w:pPr>
        <w:ind w:firstLine="0" w:firstLineChars="0"/>
        <w:jc w:val="center"/>
        <w:rPr>
          <w:rFonts w:ascii="黑体" w:hAnsi="黑体" w:eastAsia="黑体" w:cs="黑体"/>
          <w:color w:val="000000" w:themeColor="text1"/>
          <w:sz w:val="36"/>
          <w:szCs w:val="36"/>
          <w14:textFill>
            <w14:solidFill>
              <w14:schemeClr w14:val="tx1"/>
            </w14:solidFill>
          </w14:textFill>
        </w:rPr>
      </w:pPr>
      <w:r>
        <w:rPr>
          <w:rFonts w:hint="eastAsia" w:ascii="黑体" w:hAnsi="黑体" w:eastAsia="黑体" w:cs="黑体"/>
          <w:color w:val="000000" w:themeColor="text1"/>
          <w:sz w:val="36"/>
          <w:szCs w:val="36"/>
          <w14:textFill>
            <w14:solidFill>
              <w14:schemeClr w14:val="tx1"/>
            </w14:solidFill>
          </w14:textFill>
        </w:rPr>
        <w:t>目录</w:t>
      </w:r>
    </w:p>
    <w:p>
      <w:pPr>
        <w:pStyle w:val="12"/>
        <w:tabs>
          <w:tab w:val="right" w:leader="dot" w:pos="8306"/>
        </w:tabs>
        <w:spacing w:line="240" w:lineRule="auto"/>
        <w:ind w:left="1200" w:leftChars="400" w:firstLine="0" w:firstLineChars="0"/>
        <w:jc w:val="both"/>
        <w:rPr>
          <w:rFonts w:ascii="Calibri" w:hAnsi="Calibri" w:eastAsia="宋体"/>
          <w:sz w:val="21"/>
          <w:szCs w:val="22"/>
        </w:rPr>
      </w:pPr>
      <w:r>
        <w:rPr>
          <w:rFonts w:hint="eastAsia" w:ascii="Calibri" w:hAnsi="Calibri" w:eastAsia="宋体"/>
          <w:sz w:val="21"/>
          <w:szCs w:val="22"/>
        </w:rPr>
        <w:fldChar w:fldCharType="begin"/>
      </w:r>
      <w:r>
        <w:rPr>
          <w:rFonts w:hint="eastAsia" w:ascii="Calibri" w:hAnsi="Calibri" w:eastAsia="宋体"/>
          <w:sz w:val="21"/>
          <w:szCs w:val="22"/>
        </w:rPr>
        <w:instrText xml:space="preserve">TOC \o "1-2" \h \u </w:instrText>
      </w:r>
      <w:r>
        <w:rPr>
          <w:rFonts w:hint="eastAsia" w:ascii="Calibri" w:hAnsi="Calibri" w:eastAsia="宋体"/>
          <w:sz w:val="21"/>
          <w:szCs w:val="22"/>
        </w:rPr>
        <w:fldChar w:fldCharType="separate"/>
      </w:r>
      <w:r>
        <w:fldChar w:fldCharType="begin"/>
      </w:r>
      <w:r>
        <w:instrText xml:space="preserve"> HYPERLINK \l "_Toc98147808" </w:instrText>
      </w:r>
      <w:r>
        <w:fldChar w:fldCharType="separate"/>
      </w:r>
      <w:r>
        <w:rPr>
          <w:rFonts w:hint="eastAsia" w:ascii="Calibri" w:hAnsi="Calibri" w:eastAsia="宋体"/>
          <w:sz w:val="21"/>
          <w:szCs w:val="22"/>
        </w:rPr>
        <w:t>一、 概述</w:t>
      </w:r>
      <w:r>
        <w:rPr>
          <w:rFonts w:hint="eastAsia" w:ascii="Calibri" w:hAnsi="Calibri" w:eastAsia="宋体"/>
          <w:sz w:val="21"/>
          <w:szCs w:val="22"/>
        </w:rPr>
        <w:tab/>
      </w:r>
      <w:r>
        <w:rPr>
          <w:rFonts w:hint="eastAsia" w:ascii="Calibri" w:hAnsi="Calibri" w:eastAsia="宋体"/>
          <w:sz w:val="21"/>
          <w:szCs w:val="22"/>
        </w:rPr>
        <w:fldChar w:fldCharType="begin"/>
      </w:r>
      <w:r>
        <w:rPr>
          <w:rFonts w:hint="eastAsia" w:ascii="Calibri" w:hAnsi="Calibri" w:eastAsia="宋体"/>
          <w:sz w:val="21"/>
          <w:szCs w:val="22"/>
        </w:rPr>
        <w:instrText xml:space="preserve"> PAGEREF _Toc98147808 \h </w:instrText>
      </w:r>
      <w:r>
        <w:rPr>
          <w:rFonts w:hint="eastAsia" w:ascii="Calibri" w:hAnsi="Calibri" w:eastAsia="宋体"/>
          <w:sz w:val="21"/>
          <w:szCs w:val="22"/>
        </w:rPr>
        <w:fldChar w:fldCharType="separate"/>
      </w:r>
      <w:r>
        <w:rPr>
          <w:rFonts w:hint="eastAsia" w:ascii="Calibri" w:hAnsi="Calibri" w:eastAsia="宋体"/>
          <w:sz w:val="21"/>
          <w:szCs w:val="22"/>
        </w:rPr>
        <w:t>- 1 -</w:t>
      </w:r>
      <w:r>
        <w:rPr>
          <w:rFonts w:hint="eastAsia" w:ascii="Calibri" w:hAnsi="Calibri" w:eastAsia="宋体"/>
          <w:sz w:val="21"/>
          <w:szCs w:val="22"/>
        </w:rPr>
        <w:fldChar w:fldCharType="end"/>
      </w:r>
      <w:r>
        <w:rPr>
          <w:rFonts w:hint="eastAsia" w:ascii="Calibri" w:hAnsi="Calibri" w:eastAsia="宋体"/>
          <w:sz w:val="21"/>
          <w:szCs w:val="22"/>
        </w:rPr>
        <w:fldChar w:fldCharType="end"/>
      </w:r>
    </w:p>
    <w:p>
      <w:pPr>
        <w:pStyle w:val="12"/>
        <w:tabs>
          <w:tab w:val="right" w:leader="dot" w:pos="8306"/>
        </w:tabs>
        <w:spacing w:line="240" w:lineRule="auto"/>
        <w:ind w:left="1200" w:leftChars="400" w:firstLine="0" w:firstLineChars="0"/>
        <w:jc w:val="both"/>
        <w:rPr>
          <w:rFonts w:ascii="Calibri" w:hAnsi="Calibri" w:eastAsia="宋体"/>
          <w:sz w:val="21"/>
          <w:szCs w:val="22"/>
        </w:rPr>
      </w:pPr>
      <w:r>
        <w:fldChar w:fldCharType="begin"/>
      </w:r>
      <w:r>
        <w:instrText xml:space="preserve"> HYPERLINK \l "_Toc98147809" </w:instrText>
      </w:r>
      <w:r>
        <w:fldChar w:fldCharType="separate"/>
      </w:r>
      <w:r>
        <w:rPr>
          <w:rFonts w:hint="eastAsia" w:ascii="Calibri" w:hAnsi="Calibri" w:eastAsia="宋体"/>
          <w:sz w:val="21"/>
          <w:szCs w:val="22"/>
        </w:rPr>
        <w:t>二、 引用标准</w:t>
      </w:r>
      <w:r>
        <w:rPr>
          <w:rFonts w:hint="eastAsia" w:ascii="Calibri" w:hAnsi="Calibri" w:eastAsia="宋体"/>
          <w:sz w:val="21"/>
          <w:szCs w:val="22"/>
        </w:rPr>
        <w:tab/>
      </w:r>
      <w:r>
        <w:rPr>
          <w:rFonts w:hint="eastAsia" w:ascii="Calibri" w:hAnsi="Calibri" w:eastAsia="宋体"/>
          <w:sz w:val="21"/>
          <w:szCs w:val="22"/>
        </w:rPr>
        <w:fldChar w:fldCharType="begin"/>
      </w:r>
      <w:r>
        <w:rPr>
          <w:rFonts w:hint="eastAsia" w:ascii="Calibri" w:hAnsi="Calibri" w:eastAsia="宋体"/>
          <w:sz w:val="21"/>
          <w:szCs w:val="22"/>
        </w:rPr>
        <w:instrText xml:space="preserve"> PAGEREF _Toc98147809 \h </w:instrText>
      </w:r>
      <w:r>
        <w:rPr>
          <w:rFonts w:hint="eastAsia" w:ascii="Calibri" w:hAnsi="Calibri" w:eastAsia="宋体"/>
          <w:sz w:val="21"/>
          <w:szCs w:val="22"/>
        </w:rPr>
        <w:fldChar w:fldCharType="separate"/>
      </w:r>
      <w:r>
        <w:rPr>
          <w:rFonts w:hint="eastAsia" w:ascii="Calibri" w:hAnsi="Calibri" w:eastAsia="宋体"/>
          <w:sz w:val="21"/>
          <w:szCs w:val="22"/>
        </w:rPr>
        <w:t>- 1 -</w:t>
      </w:r>
      <w:r>
        <w:rPr>
          <w:rFonts w:hint="eastAsia" w:ascii="Calibri" w:hAnsi="Calibri" w:eastAsia="宋体"/>
          <w:sz w:val="21"/>
          <w:szCs w:val="22"/>
        </w:rPr>
        <w:fldChar w:fldCharType="end"/>
      </w:r>
      <w:r>
        <w:rPr>
          <w:rFonts w:hint="eastAsia" w:ascii="Calibri" w:hAnsi="Calibri" w:eastAsia="宋体"/>
          <w:sz w:val="21"/>
          <w:szCs w:val="22"/>
        </w:rPr>
        <w:fldChar w:fldCharType="end"/>
      </w:r>
    </w:p>
    <w:p>
      <w:pPr>
        <w:pStyle w:val="12"/>
        <w:tabs>
          <w:tab w:val="right" w:leader="dot" w:pos="8306"/>
        </w:tabs>
        <w:spacing w:line="240" w:lineRule="auto"/>
        <w:ind w:left="1200" w:leftChars="400" w:firstLine="0" w:firstLineChars="0"/>
        <w:jc w:val="both"/>
        <w:rPr>
          <w:rFonts w:ascii="Calibri" w:hAnsi="Calibri" w:eastAsia="宋体"/>
          <w:sz w:val="21"/>
          <w:szCs w:val="22"/>
        </w:rPr>
      </w:pPr>
      <w:r>
        <w:fldChar w:fldCharType="begin"/>
      </w:r>
      <w:r>
        <w:instrText xml:space="preserve"> HYPERLINK \l "_Toc98147810" </w:instrText>
      </w:r>
      <w:r>
        <w:fldChar w:fldCharType="separate"/>
      </w:r>
      <w:r>
        <w:rPr>
          <w:rFonts w:hint="eastAsia" w:ascii="Calibri" w:hAnsi="Calibri" w:eastAsia="宋体"/>
          <w:sz w:val="21"/>
          <w:szCs w:val="22"/>
        </w:rPr>
        <w:t>三、 数据结构</w:t>
      </w:r>
      <w:r>
        <w:rPr>
          <w:rFonts w:hint="eastAsia" w:ascii="Calibri" w:hAnsi="Calibri" w:eastAsia="宋体"/>
          <w:sz w:val="21"/>
          <w:szCs w:val="22"/>
        </w:rPr>
        <w:tab/>
      </w:r>
      <w:r>
        <w:rPr>
          <w:rFonts w:hint="eastAsia" w:ascii="Calibri" w:hAnsi="Calibri" w:eastAsia="宋体"/>
          <w:sz w:val="21"/>
          <w:szCs w:val="22"/>
        </w:rPr>
        <w:fldChar w:fldCharType="begin"/>
      </w:r>
      <w:r>
        <w:rPr>
          <w:rFonts w:hint="eastAsia" w:ascii="Calibri" w:hAnsi="Calibri" w:eastAsia="宋体"/>
          <w:sz w:val="21"/>
          <w:szCs w:val="22"/>
        </w:rPr>
        <w:instrText xml:space="preserve"> PAGEREF _Toc98147810 \h </w:instrText>
      </w:r>
      <w:r>
        <w:rPr>
          <w:rFonts w:hint="eastAsia" w:ascii="Calibri" w:hAnsi="Calibri" w:eastAsia="宋体"/>
          <w:sz w:val="21"/>
          <w:szCs w:val="22"/>
        </w:rPr>
        <w:fldChar w:fldCharType="separate"/>
      </w:r>
      <w:r>
        <w:rPr>
          <w:rFonts w:hint="eastAsia" w:ascii="Calibri" w:hAnsi="Calibri" w:eastAsia="宋体"/>
          <w:sz w:val="21"/>
          <w:szCs w:val="22"/>
        </w:rPr>
        <w:t>- 2 -</w:t>
      </w:r>
      <w:r>
        <w:rPr>
          <w:rFonts w:hint="eastAsia" w:ascii="Calibri" w:hAnsi="Calibri" w:eastAsia="宋体"/>
          <w:sz w:val="21"/>
          <w:szCs w:val="22"/>
        </w:rPr>
        <w:fldChar w:fldCharType="end"/>
      </w:r>
      <w:r>
        <w:rPr>
          <w:rFonts w:hint="eastAsia" w:ascii="Calibri" w:hAnsi="Calibri" w:eastAsia="宋体"/>
          <w:sz w:val="21"/>
          <w:szCs w:val="22"/>
        </w:rPr>
        <w:fldChar w:fldCharType="end"/>
      </w:r>
    </w:p>
    <w:p>
      <w:pPr>
        <w:pStyle w:val="12"/>
        <w:tabs>
          <w:tab w:val="right" w:leader="dot" w:pos="8306"/>
        </w:tabs>
        <w:spacing w:line="240" w:lineRule="auto"/>
        <w:ind w:left="1200" w:leftChars="400" w:firstLine="0" w:firstLineChars="0"/>
        <w:jc w:val="both"/>
        <w:rPr>
          <w:rFonts w:ascii="Calibri" w:hAnsi="Calibri" w:eastAsia="宋体"/>
          <w:sz w:val="21"/>
          <w:szCs w:val="22"/>
        </w:rPr>
      </w:pPr>
      <w:r>
        <w:fldChar w:fldCharType="begin"/>
      </w:r>
      <w:r>
        <w:instrText xml:space="preserve"> HYPERLINK \l "_Toc98147811" </w:instrText>
      </w:r>
      <w:r>
        <w:fldChar w:fldCharType="separate"/>
      </w:r>
      <w:r>
        <w:rPr>
          <w:rFonts w:hint="eastAsia" w:ascii="Calibri" w:hAnsi="Calibri" w:eastAsia="宋体"/>
          <w:sz w:val="21"/>
          <w:szCs w:val="22"/>
        </w:rPr>
        <w:t>（一） 数据结构单元</w:t>
      </w:r>
      <w:r>
        <w:rPr>
          <w:rFonts w:hint="eastAsia" w:ascii="Calibri" w:hAnsi="Calibri" w:eastAsia="宋体"/>
          <w:sz w:val="21"/>
          <w:szCs w:val="22"/>
        </w:rPr>
        <w:tab/>
      </w:r>
      <w:r>
        <w:rPr>
          <w:rFonts w:hint="eastAsia" w:ascii="Calibri" w:hAnsi="Calibri" w:eastAsia="宋体"/>
          <w:sz w:val="21"/>
          <w:szCs w:val="22"/>
        </w:rPr>
        <w:fldChar w:fldCharType="begin"/>
      </w:r>
      <w:r>
        <w:rPr>
          <w:rFonts w:hint="eastAsia" w:ascii="Calibri" w:hAnsi="Calibri" w:eastAsia="宋体"/>
          <w:sz w:val="21"/>
          <w:szCs w:val="22"/>
        </w:rPr>
        <w:instrText xml:space="preserve"> PAGEREF _Toc98147811 \h </w:instrText>
      </w:r>
      <w:r>
        <w:rPr>
          <w:rFonts w:hint="eastAsia" w:ascii="Calibri" w:hAnsi="Calibri" w:eastAsia="宋体"/>
          <w:sz w:val="21"/>
          <w:szCs w:val="22"/>
        </w:rPr>
        <w:fldChar w:fldCharType="separate"/>
      </w:r>
      <w:r>
        <w:rPr>
          <w:rFonts w:hint="eastAsia" w:ascii="Calibri" w:hAnsi="Calibri" w:eastAsia="宋体"/>
          <w:sz w:val="21"/>
          <w:szCs w:val="22"/>
        </w:rPr>
        <w:t>- 2 -</w:t>
      </w:r>
      <w:r>
        <w:rPr>
          <w:rFonts w:hint="eastAsia" w:ascii="Calibri" w:hAnsi="Calibri" w:eastAsia="宋体"/>
          <w:sz w:val="21"/>
          <w:szCs w:val="22"/>
        </w:rPr>
        <w:fldChar w:fldCharType="end"/>
      </w:r>
      <w:r>
        <w:rPr>
          <w:rFonts w:hint="eastAsia" w:ascii="Calibri" w:hAnsi="Calibri" w:eastAsia="宋体"/>
          <w:sz w:val="21"/>
          <w:szCs w:val="22"/>
        </w:rPr>
        <w:fldChar w:fldCharType="end"/>
      </w:r>
    </w:p>
    <w:p>
      <w:pPr>
        <w:pStyle w:val="12"/>
        <w:tabs>
          <w:tab w:val="right" w:leader="dot" w:pos="8306"/>
        </w:tabs>
        <w:spacing w:line="240" w:lineRule="auto"/>
        <w:ind w:left="1200" w:leftChars="400" w:firstLine="0" w:firstLineChars="0"/>
        <w:jc w:val="both"/>
        <w:rPr>
          <w:rFonts w:ascii="Calibri" w:hAnsi="Calibri" w:eastAsia="宋体"/>
          <w:sz w:val="21"/>
          <w:szCs w:val="22"/>
        </w:rPr>
      </w:pPr>
      <w:r>
        <w:fldChar w:fldCharType="begin"/>
      </w:r>
      <w:r>
        <w:instrText xml:space="preserve"> HYPERLINK \l "_Toc98147812" </w:instrText>
      </w:r>
      <w:r>
        <w:fldChar w:fldCharType="separate"/>
      </w:r>
      <w:r>
        <w:rPr>
          <w:rFonts w:hint="eastAsia" w:ascii="Calibri" w:hAnsi="Calibri" w:eastAsia="宋体"/>
          <w:sz w:val="21"/>
          <w:szCs w:val="22"/>
        </w:rPr>
        <w:t>（二） 数据项格式</w:t>
      </w:r>
      <w:r>
        <w:rPr>
          <w:rFonts w:hint="eastAsia" w:ascii="Calibri" w:hAnsi="Calibri" w:eastAsia="宋体"/>
          <w:sz w:val="21"/>
          <w:szCs w:val="22"/>
        </w:rPr>
        <w:tab/>
      </w:r>
      <w:r>
        <w:rPr>
          <w:rFonts w:hint="eastAsia" w:ascii="Calibri" w:hAnsi="Calibri" w:eastAsia="宋体"/>
          <w:sz w:val="21"/>
          <w:szCs w:val="22"/>
        </w:rPr>
        <w:fldChar w:fldCharType="begin"/>
      </w:r>
      <w:r>
        <w:rPr>
          <w:rFonts w:hint="eastAsia" w:ascii="Calibri" w:hAnsi="Calibri" w:eastAsia="宋体"/>
          <w:sz w:val="21"/>
          <w:szCs w:val="22"/>
        </w:rPr>
        <w:instrText xml:space="preserve"> PAGEREF _Toc98147812 \h </w:instrText>
      </w:r>
      <w:r>
        <w:rPr>
          <w:rFonts w:hint="eastAsia" w:ascii="Calibri" w:hAnsi="Calibri" w:eastAsia="宋体"/>
          <w:sz w:val="21"/>
          <w:szCs w:val="22"/>
        </w:rPr>
        <w:fldChar w:fldCharType="separate"/>
      </w:r>
      <w:r>
        <w:rPr>
          <w:rFonts w:hint="eastAsia" w:ascii="Calibri" w:hAnsi="Calibri" w:eastAsia="宋体"/>
          <w:sz w:val="21"/>
          <w:szCs w:val="22"/>
        </w:rPr>
        <w:t>- 2 -</w:t>
      </w:r>
      <w:r>
        <w:rPr>
          <w:rFonts w:hint="eastAsia" w:ascii="Calibri" w:hAnsi="Calibri" w:eastAsia="宋体"/>
          <w:sz w:val="21"/>
          <w:szCs w:val="22"/>
        </w:rPr>
        <w:fldChar w:fldCharType="end"/>
      </w:r>
      <w:r>
        <w:rPr>
          <w:rFonts w:hint="eastAsia" w:ascii="Calibri" w:hAnsi="Calibri" w:eastAsia="宋体"/>
          <w:sz w:val="21"/>
          <w:szCs w:val="22"/>
        </w:rPr>
        <w:fldChar w:fldCharType="end"/>
      </w:r>
    </w:p>
    <w:p>
      <w:pPr>
        <w:pStyle w:val="12"/>
        <w:tabs>
          <w:tab w:val="right" w:leader="dot" w:pos="8306"/>
        </w:tabs>
        <w:spacing w:line="240" w:lineRule="auto"/>
        <w:ind w:left="1200" w:leftChars="400" w:firstLine="0" w:firstLineChars="0"/>
        <w:jc w:val="both"/>
        <w:rPr>
          <w:rFonts w:ascii="Calibri" w:hAnsi="Calibri" w:eastAsia="宋体"/>
          <w:sz w:val="21"/>
          <w:szCs w:val="22"/>
        </w:rPr>
      </w:pPr>
      <w:r>
        <w:fldChar w:fldCharType="begin"/>
      </w:r>
      <w:r>
        <w:instrText xml:space="preserve"> HYPERLINK \l "_Toc98147813" </w:instrText>
      </w:r>
      <w:r>
        <w:fldChar w:fldCharType="separate"/>
      </w:r>
      <w:r>
        <w:rPr>
          <w:rFonts w:hint="eastAsia" w:ascii="Calibri" w:hAnsi="Calibri" w:eastAsia="宋体"/>
          <w:sz w:val="21"/>
          <w:szCs w:val="22"/>
        </w:rPr>
        <w:t>（三） 数据结构目录</w:t>
      </w:r>
      <w:r>
        <w:rPr>
          <w:rFonts w:hint="eastAsia" w:ascii="Calibri" w:hAnsi="Calibri" w:eastAsia="宋体"/>
          <w:sz w:val="21"/>
          <w:szCs w:val="22"/>
        </w:rPr>
        <w:tab/>
      </w:r>
      <w:r>
        <w:rPr>
          <w:rFonts w:hint="eastAsia" w:ascii="Calibri" w:hAnsi="Calibri" w:eastAsia="宋体"/>
          <w:sz w:val="21"/>
          <w:szCs w:val="22"/>
        </w:rPr>
        <w:fldChar w:fldCharType="begin"/>
      </w:r>
      <w:r>
        <w:rPr>
          <w:rFonts w:hint="eastAsia" w:ascii="Calibri" w:hAnsi="Calibri" w:eastAsia="宋体"/>
          <w:sz w:val="21"/>
          <w:szCs w:val="22"/>
        </w:rPr>
        <w:instrText xml:space="preserve"> PAGEREF _Toc98147813 \h </w:instrText>
      </w:r>
      <w:r>
        <w:rPr>
          <w:rFonts w:hint="eastAsia" w:ascii="Calibri" w:hAnsi="Calibri" w:eastAsia="宋体"/>
          <w:sz w:val="21"/>
          <w:szCs w:val="22"/>
        </w:rPr>
        <w:fldChar w:fldCharType="separate"/>
      </w:r>
      <w:r>
        <w:rPr>
          <w:rFonts w:hint="eastAsia" w:ascii="Calibri" w:hAnsi="Calibri" w:eastAsia="宋体"/>
          <w:sz w:val="21"/>
          <w:szCs w:val="22"/>
        </w:rPr>
        <w:t>- 4 -</w:t>
      </w:r>
      <w:r>
        <w:rPr>
          <w:rFonts w:hint="eastAsia" w:ascii="Calibri" w:hAnsi="Calibri" w:eastAsia="宋体"/>
          <w:sz w:val="21"/>
          <w:szCs w:val="22"/>
        </w:rPr>
        <w:fldChar w:fldCharType="end"/>
      </w:r>
      <w:r>
        <w:rPr>
          <w:rFonts w:hint="eastAsia" w:ascii="Calibri" w:hAnsi="Calibri" w:eastAsia="宋体"/>
          <w:sz w:val="21"/>
          <w:szCs w:val="22"/>
        </w:rPr>
        <w:fldChar w:fldCharType="end"/>
      </w:r>
    </w:p>
    <w:p>
      <w:pPr>
        <w:pStyle w:val="12"/>
        <w:tabs>
          <w:tab w:val="right" w:leader="dot" w:pos="8306"/>
        </w:tabs>
        <w:spacing w:line="240" w:lineRule="auto"/>
        <w:ind w:left="1200" w:leftChars="400" w:firstLine="0" w:firstLineChars="0"/>
        <w:jc w:val="both"/>
        <w:rPr>
          <w:rFonts w:ascii="Calibri" w:hAnsi="Calibri" w:eastAsia="宋体"/>
          <w:sz w:val="21"/>
          <w:szCs w:val="22"/>
        </w:rPr>
      </w:pPr>
      <w:r>
        <w:fldChar w:fldCharType="begin"/>
      </w:r>
      <w:r>
        <w:instrText xml:space="preserve"> HYPERLINK \l "_Toc98147814" </w:instrText>
      </w:r>
      <w:r>
        <w:fldChar w:fldCharType="separate"/>
      </w:r>
      <w:r>
        <w:rPr>
          <w:rFonts w:hint="eastAsia" w:ascii="Calibri" w:hAnsi="Calibri" w:eastAsia="宋体"/>
          <w:sz w:val="21"/>
          <w:szCs w:val="22"/>
        </w:rPr>
        <w:t>四、 数据项描述</w:t>
      </w:r>
      <w:r>
        <w:rPr>
          <w:rFonts w:hint="eastAsia" w:ascii="Calibri" w:hAnsi="Calibri" w:eastAsia="宋体"/>
          <w:sz w:val="21"/>
          <w:szCs w:val="22"/>
        </w:rPr>
        <w:tab/>
      </w:r>
      <w:r>
        <w:rPr>
          <w:rFonts w:hint="eastAsia" w:ascii="Calibri" w:hAnsi="Calibri" w:eastAsia="宋体"/>
          <w:sz w:val="21"/>
          <w:szCs w:val="22"/>
        </w:rPr>
        <w:fldChar w:fldCharType="begin"/>
      </w:r>
      <w:r>
        <w:rPr>
          <w:rFonts w:hint="eastAsia" w:ascii="Calibri" w:hAnsi="Calibri" w:eastAsia="宋体"/>
          <w:sz w:val="21"/>
          <w:szCs w:val="22"/>
        </w:rPr>
        <w:instrText xml:space="preserve"> PAGEREF _Toc98147814 \h </w:instrText>
      </w:r>
      <w:r>
        <w:rPr>
          <w:rFonts w:hint="eastAsia" w:ascii="Calibri" w:hAnsi="Calibri" w:eastAsia="宋体"/>
          <w:sz w:val="21"/>
          <w:szCs w:val="22"/>
        </w:rPr>
        <w:fldChar w:fldCharType="separate"/>
      </w:r>
      <w:r>
        <w:rPr>
          <w:rFonts w:hint="eastAsia" w:ascii="Calibri" w:hAnsi="Calibri" w:eastAsia="宋体"/>
          <w:sz w:val="21"/>
          <w:szCs w:val="22"/>
        </w:rPr>
        <w:t>- 12 -</w:t>
      </w:r>
      <w:r>
        <w:rPr>
          <w:rFonts w:hint="eastAsia" w:ascii="Calibri" w:hAnsi="Calibri" w:eastAsia="宋体"/>
          <w:sz w:val="21"/>
          <w:szCs w:val="22"/>
        </w:rPr>
        <w:fldChar w:fldCharType="end"/>
      </w:r>
      <w:r>
        <w:rPr>
          <w:rFonts w:hint="eastAsia" w:ascii="Calibri" w:hAnsi="Calibri" w:eastAsia="宋体"/>
          <w:sz w:val="21"/>
          <w:szCs w:val="22"/>
        </w:rPr>
        <w:fldChar w:fldCharType="end"/>
      </w:r>
    </w:p>
    <w:p>
      <w:pPr>
        <w:pStyle w:val="12"/>
        <w:tabs>
          <w:tab w:val="right" w:leader="dot" w:pos="8306"/>
        </w:tabs>
        <w:spacing w:line="240" w:lineRule="auto"/>
        <w:ind w:left="1200" w:leftChars="400" w:firstLine="0" w:firstLineChars="0"/>
        <w:jc w:val="both"/>
        <w:rPr>
          <w:rFonts w:ascii="Calibri" w:hAnsi="Calibri" w:eastAsia="宋体"/>
          <w:sz w:val="21"/>
          <w:szCs w:val="22"/>
        </w:rPr>
      </w:pPr>
      <w:r>
        <w:fldChar w:fldCharType="begin"/>
      </w:r>
      <w:r>
        <w:instrText xml:space="preserve"> HYPERLINK \l "_Toc98147815" </w:instrText>
      </w:r>
      <w:r>
        <w:fldChar w:fldCharType="separate"/>
      </w:r>
      <w:r>
        <w:rPr>
          <w:rFonts w:hint="eastAsia" w:ascii="Calibri" w:hAnsi="Calibri" w:eastAsia="宋体"/>
          <w:sz w:val="21"/>
          <w:szCs w:val="22"/>
        </w:rPr>
        <w:t>（一） 公司治理</w:t>
      </w:r>
      <w:r>
        <w:rPr>
          <w:rFonts w:hint="eastAsia" w:ascii="Calibri" w:hAnsi="Calibri" w:eastAsia="宋体"/>
          <w:sz w:val="21"/>
          <w:szCs w:val="22"/>
        </w:rPr>
        <w:tab/>
      </w:r>
      <w:r>
        <w:rPr>
          <w:rFonts w:hint="eastAsia" w:ascii="Calibri" w:hAnsi="Calibri" w:eastAsia="宋体"/>
          <w:sz w:val="21"/>
          <w:szCs w:val="22"/>
        </w:rPr>
        <w:fldChar w:fldCharType="begin"/>
      </w:r>
      <w:r>
        <w:rPr>
          <w:rFonts w:hint="eastAsia" w:ascii="Calibri" w:hAnsi="Calibri" w:eastAsia="宋体"/>
          <w:sz w:val="21"/>
          <w:szCs w:val="22"/>
        </w:rPr>
        <w:instrText xml:space="preserve"> PAGEREF _Toc98147815 \h </w:instrText>
      </w:r>
      <w:r>
        <w:rPr>
          <w:rFonts w:hint="eastAsia" w:ascii="Calibri" w:hAnsi="Calibri" w:eastAsia="宋体"/>
          <w:sz w:val="21"/>
          <w:szCs w:val="22"/>
        </w:rPr>
        <w:fldChar w:fldCharType="separate"/>
      </w:r>
      <w:r>
        <w:rPr>
          <w:rFonts w:hint="eastAsia" w:ascii="Calibri" w:hAnsi="Calibri" w:eastAsia="宋体"/>
          <w:sz w:val="21"/>
          <w:szCs w:val="22"/>
        </w:rPr>
        <w:t>- 12 -</w:t>
      </w:r>
      <w:r>
        <w:rPr>
          <w:rFonts w:hint="eastAsia" w:ascii="Calibri" w:hAnsi="Calibri" w:eastAsia="宋体"/>
          <w:sz w:val="21"/>
          <w:szCs w:val="22"/>
        </w:rPr>
        <w:fldChar w:fldCharType="end"/>
      </w:r>
      <w:r>
        <w:rPr>
          <w:rFonts w:hint="eastAsia" w:ascii="Calibri" w:hAnsi="Calibri" w:eastAsia="宋体"/>
          <w:sz w:val="21"/>
          <w:szCs w:val="22"/>
        </w:rPr>
        <w:fldChar w:fldCharType="end"/>
      </w:r>
    </w:p>
    <w:p>
      <w:pPr>
        <w:pStyle w:val="12"/>
        <w:tabs>
          <w:tab w:val="right" w:leader="dot" w:pos="8306"/>
        </w:tabs>
        <w:spacing w:line="240" w:lineRule="auto"/>
        <w:ind w:left="1200" w:leftChars="400" w:firstLine="0" w:firstLineChars="0"/>
        <w:jc w:val="both"/>
        <w:rPr>
          <w:rFonts w:ascii="Calibri" w:hAnsi="Calibri" w:eastAsia="宋体"/>
          <w:sz w:val="21"/>
          <w:szCs w:val="22"/>
        </w:rPr>
      </w:pPr>
      <w:r>
        <w:fldChar w:fldCharType="begin"/>
      </w:r>
      <w:r>
        <w:instrText xml:space="preserve"> HYPERLINK \l "_Toc98147816" </w:instrText>
      </w:r>
      <w:r>
        <w:fldChar w:fldCharType="separate"/>
      </w:r>
      <w:r>
        <w:rPr>
          <w:rFonts w:hint="eastAsia" w:ascii="Calibri" w:hAnsi="Calibri" w:eastAsia="宋体"/>
          <w:sz w:val="21"/>
          <w:szCs w:val="22"/>
        </w:rPr>
        <w:t>（二） 公司财务</w:t>
      </w:r>
      <w:r>
        <w:rPr>
          <w:rFonts w:hint="eastAsia" w:ascii="Calibri" w:hAnsi="Calibri" w:eastAsia="宋体"/>
          <w:sz w:val="21"/>
          <w:szCs w:val="22"/>
        </w:rPr>
        <w:tab/>
      </w:r>
      <w:r>
        <w:rPr>
          <w:rFonts w:hint="eastAsia" w:ascii="Calibri" w:hAnsi="Calibri" w:eastAsia="宋体"/>
          <w:sz w:val="21"/>
          <w:szCs w:val="22"/>
        </w:rPr>
        <w:fldChar w:fldCharType="begin"/>
      </w:r>
      <w:r>
        <w:rPr>
          <w:rFonts w:hint="eastAsia" w:ascii="Calibri" w:hAnsi="Calibri" w:eastAsia="宋体"/>
          <w:sz w:val="21"/>
          <w:szCs w:val="22"/>
        </w:rPr>
        <w:instrText xml:space="preserve"> PAGEREF _Toc98147816 \h </w:instrText>
      </w:r>
      <w:r>
        <w:rPr>
          <w:rFonts w:hint="eastAsia" w:ascii="Calibri" w:hAnsi="Calibri" w:eastAsia="宋体"/>
          <w:sz w:val="21"/>
          <w:szCs w:val="22"/>
        </w:rPr>
        <w:fldChar w:fldCharType="separate"/>
      </w:r>
      <w:r>
        <w:rPr>
          <w:rFonts w:hint="eastAsia" w:ascii="Calibri" w:hAnsi="Calibri" w:eastAsia="宋体"/>
          <w:sz w:val="21"/>
          <w:szCs w:val="22"/>
        </w:rPr>
        <w:t>- 40 -</w:t>
      </w:r>
      <w:r>
        <w:rPr>
          <w:rFonts w:hint="eastAsia" w:ascii="Calibri" w:hAnsi="Calibri" w:eastAsia="宋体"/>
          <w:sz w:val="21"/>
          <w:szCs w:val="22"/>
        </w:rPr>
        <w:fldChar w:fldCharType="end"/>
      </w:r>
      <w:r>
        <w:rPr>
          <w:rFonts w:hint="eastAsia" w:ascii="Calibri" w:hAnsi="Calibri" w:eastAsia="宋体"/>
          <w:sz w:val="21"/>
          <w:szCs w:val="22"/>
        </w:rPr>
        <w:fldChar w:fldCharType="end"/>
      </w:r>
    </w:p>
    <w:p>
      <w:pPr>
        <w:pStyle w:val="12"/>
        <w:tabs>
          <w:tab w:val="right" w:leader="dot" w:pos="8306"/>
        </w:tabs>
        <w:spacing w:line="240" w:lineRule="auto"/>
        <w:ind w:left="1200" w:leftChars="400" w:firstLine="0" w:firstLineChars="0"/>
        <w:jc w:val="both"/>
        <w:rPr>
          <w:rFonts w:ascii="Calibri" w:hAnsi="Calibri" w:eastAsia="宋体"/>
          <w:sz w:val="21"/>
          <w:szCs w:val="22"/>
        </w:rPr>
      </w:pPr>
      <w:r>
        <w:fldChar w:fldCharType="begin"/>
      </w:r>
      <w:r>
        <w:instrText xml:space="preserve"> HYPERLINK \l "_Toc98147817" </w:instrText>
      </w:r>
      <w:r>
        <w:fldChar w:fldCharType="separate"/>
      </w:r>
      <w:r>
        <w:rPr>
          <w:rFonts w:hint="eastAsia" w:ascii="Calibri" w:hAnsi="Calibri" w:eastAsia="宋体"/>
          <w:sz w:val="21"/>
          <w:szCs w:val="22"/>
        </w:rPr>
        <w:t>（三） 保险集团（控股）公司业务</w:t>
      </w:r>
      <w:r>
        <w:rPr>
          <w:rFonts w:hint="eastAsia" w:ascii="Calibri" w:hAnsi="Calibri" w:eastAsia="宋体"/>
          <w:sz w:val="21"/>
          <w:szCs w:val="22"/>
        </w:rPr>
        <w:tab/>
      </w:r>
      <w:r>
        <w:rPr>
          <w:rFonts w:hint="eastAsia" w:ascii="Calibri" w:hAnsi="Calibri" w:eastAsia="宋体"/>
          <w:sz w:val="21"/>
          <w:szCs w:val="22"/>
        </w:rPr>
        <w:fldChar w:fldCharType="begin"/>
      </w:r>
      <w:r>
        <w:rPr>
          <w:rFonts w:hint="eastAsia" w:ascii="Calibri" w:hAnsi="Calibri" w:eastAsia="宋体"/>
          <w:sz w:val="21"/>
          <w:szCs w:val="22"/>
        </w:rPr>
        <w:instrText xml:space="preserve"> PAGEREF _Toc98147817 \h </w:instrText>
      </w:r>
      <w:r>
        <w:rPr>
          <w:rFonts w:hint="eastAsia" w:ascii="Calibri" w:hAnsi="Calibri" w:eastAsia="宋体"/>
          <w:sz w:val="21"/>
          <w:szCs w:val="22"/>
        </w:rPr>
        <w:fldChar w:fldCharType="separate"/>
      </w:r>
      <w:r>
        <w:rPr>
          <w:rFonts w:hint="eastAsia" w:ascii="Calibri" w:hAnsi="Calibri" w:eastAsia="宋体"/>
          <w:sz w:val="21"/>
          <w:szCs w:val="22"/>
        </w:rPr>
        <w:t>- 58 -</w:t>
      </w:r>
      <w:r>
        <w:rPr>
          <w:rFonts w:hint="eastAsia" w:ascii="Calibri" w:hAnsi="Calibri" w:eastAsia="宋体"/>
          <w:sz w:val="21"/>
          <w:szCs w:val="22"/>
        </w:rPr>
        <w:fldChar w:fldCharType="end"/>
      </w:r>
      <w:r>
        <w:rPr>
          <w:rFonts w:hint="eastAsia" w:ascii="Calibri" w:hAnsi="Calibri" w:eastAsia="宋体"/>
          <w:sz w:val="21"/>
          <w:szCs w:val="22"/>
        </w:rPr>
        <w:fldChar w:fldCharType="end"/>
      </w:r>
    </w:p>
    <w:p>
      <w:pPr>
        <w:pStyle w:val="12"/>
        <w:tabs>
          <w:tab w:val="right" w:leader="dot" w:pos="8306"/>
        </w:tabs>
        <w:spacing w:line="240" w:lineRule="auto"/>
        <w:ind w:left="1200" w:leftChars="400" w:firstLine="0" w:firstLineChars="0"/>
        <w:jc w:val="both"/>
        <w:rPr>
          <w:rFonts w:ascii="Calibri" w:hAnsi="Calibri" w:eastAsia="宋体"/>
          <w:sz w:val="21"/>
          <w:szCs w:val="22"/>
        </w:rPr>
      </w:pPr>
      <w:r>
        <w:fldChar w:fldCharType="begin"/>
      </w:r>
      <w:r>
        <w:instrText xml:space="preserve"> HYPERLINK \l "_Toc98147818" </w:instrText>
      </w:r>
      <w:r>
        <w:fldChar w:fldCharType="separate"/>
      </w:r>
      <w:r>
        <w:rPr>
          <w:rFonts w:hint="eastAsia" w:ascii="Calibri" w:hAnsi="Calibri" w:eastAsia="宋体"/>
          <w:sz w:val="21"/>
          <w:szCs w:val="22"/>
        </w:rPr>
        <w:t>（四） 保险集团（控股）公司关联交易</w:t>
      </w:r>
      <w:r>
        <w:rPr>
          <w:rFonts w:hint="eastAsia" w:ascii="Calibri" w:hAnsi="Calibri" w:eastAsia="宋体"/>
          <w:sz w:val="21"/>
          <w:szCs w:val="22"/>
        </w:rPr>
        <w:tab/>
      </w:r>
      <w:r>
        <w:rPr>
          <w:rFonts w:hint="eastAsia" w:ascii="Calibri" w:hAnsi="Calibri" w:eastAsia="宋体"/>
          <w:sz w:val="21"/>
          <w:szCs w:val="22"/>
        </w:rPr>
        <w:fldChar w:fldCharType="begin"/>
      </w:r>
      <w:r>
        <w:rPr>
          <w:rFonts w:hint="eastAsia" w:ascii="Calibri" w:hAnsi="Calibri" w:eastAsia="宋体"/>
          <w:sz w:val="21"/>
          <w:szCs w:val="22"/>
        </w:rPr>
        <w:instrText xml:space="preserve"> PAGEREF _Toc98147818 \h </w:instrText>
      </w:r>
      <w:r>
        <w:rPr>
          <w:rFonts w:hint="eastAsia" w:ascii="Calibri" w:hAnsi="Calibri" w:eastAsia="宋体"/>
          <w:sz w:val="21"/>
          <w:szCs w:val="22"/>
        </w:rPr>
        <w:fldChar w:fldCharType="separate"/>
      </w:r>
      <w:r>
        <w:rPr>
          <w:rFonts w:hint="eastAsia" w:ascii="Calibri" w:hAnsi="Calibri" w:eastAsia="宋体"/>
          <w:sz w:val="21"/>
          <w:szCs w:val="22"/>
        </w:rPr>
        <w:t>- 98 -</w:t>
      </w:r>
      <w:r>
        <w:rPr>
          <w:rFonts w:hint="eastAsia" w:ascii="Calibri" w:hAnsi="Calibri" w:eastAsia="宋体"/>
          <w:sz w:val="21"/>
          <w:szCs w:val="22"/>
        </w:rPr>
        <w:fldChar w:fldCharType="end"/>
      </w:r>
      <w:r>
        <w:rPr>
          <w:rFonts w:hint="eastAsia" w:ascii="Calibri" w:hAnsi="Calibri" w:eastAsia="宋体"/>
          <w:sz w:val="21"/>
          <w:szCs w:val="22"/>
        </w:rPr>
        <w:fldChar w:fldCharType="end"/>
      </w:r>
    </w:p>
    <w:p>
      <w:pPr>
        <w:pStyle w:val="12"/>
        <w:tabs>
          <w:tab w:val="right" w:leader="dot" w:pos="8306"/>
        </w:tabs>
        <w:spacing w:line="240" w:lineRule="auto"/>
        <w:ind w:left="1200" w:leftChars="400" w:firstLine="0" w:firstLineChars="0"/>
        <w:jc w:val="both"/>
        <w:rPr>
          <w:rFonts w:ascii="Calibri" w:hAnsi="Calibri" w:eastAsia="宋体"/>
          <w:sz w:val="21"/>
          <w:szCs w:val="22"/>
        </w:rPr>
      </w:pPr>
      <w:r>
        <w:fldChar w:fldCharType="begin"/>
      </w:r>
      <w:r>
        <w:instrText xml:space="preserve"> HYPERLINK \l "_Toc98147819" </w:instrText>
      </w:r>
      <w:r>
        <w:fldChar w:fldCharType="separate"/>
      </w:r>
      <w:r>
        <w:rPr>
          <w:rFonts w:hint="eastAsia" w:ascii="Calibri" w:hAnsi="Calibri" w:eastAsia="宋体"/>
          <w:sz w:val="21"/>
          <w:szCs w:val="22"/>
        </w:rPr>
        <w:t>（五） 风险管理</w:t>
      </w:r>
      <w:r>
        <w:rPr>
          <w:rFonts w:hint="eastAsia" w:ascii="Calibri" w:hAnsi="Calibri" w:eastAsia="宋体"/>
          <w:sz w:val="21"/>
          <w:szCs w:val="22"/>
        </w:rPr>
        <w:tab/>
      </w:r>
      <w:r>
        <w:rPr>
          <w:rFonts w:hint="eastAsia" w:ascii="Calibri" w:hAnsi="Calibri" w:eastAsia="宋体"/>
          <w:sz w:val="21"/>
          <w:szCs w:val="22"/>
        </w:rPr>
        <w:fldChar w:fldCharType="begin"/>
      </w:r>
      <w:r>
        <w:rPr>
          <w:rFonts w:hint="eastAsia" w:ascii="Calibri" w:hAnsi="Calibri" w:eastAsia="宋体"/>
          <w:sz w:val="21"/>
          <w:szCs w:val="22"/>
        </w:rPr>
        <w:instrText xml:space="preserve"> PAGEREF _Toc98147819 \h </w:instrText>
      </w:r>
      <w:r>
        <w:rPr>
          <w:rFonts w:hint="eastAsia" w:ascii="Calibri" w:hAnsi="Calibri" w:eastAsia="宋体"/>
          <w:sz w:val="21"/>
          <w:szCs w:val="22"/>
        </w:rPr>
        <w:fldChar w:fldCharType="separate"/>
      </w:r>
      <w:r>
        <w:rPr>
          <w:rFonts w:hint="eastAsia" w:ascii="Calibri" w:hAnsi="Calibri" w:eastAsia="宋体"/>
          <w:sz w:val="21"/>
          <w:szCs w:val="22"/>
        </w:rPr>
        <w:t>- 109 -</w:t>
      </w:r>
      <w:r>
        <w:rPr>
          <w:rFonts w:hint="eastAsia" w:ascii="Calibri" w:hAnsi="Calibri" w:eastAsia="宋体"/>
          <w:sz w:val="21"/>
          <w:szCs w:val="22"/>
        </w:rPr>
        <w:fldChar w:fldCharType="end"/>
      </w:r>
      <w:r>
        <w:rPr>
          <w:rFonts w:hint="eastAsia" w:ascii="Calibri" w:hAnsi="Calibri" w:eastAsia="宋体"/>
          <w:sz w:val="21"/>
          <w:szCs w:val="22"/>
        </w:rPr>
        <w:fldChar w:fldCharType="end"/>
      </w:r>
    </w:p>
    <w:p>
      <w:pPr>
        <w:pStyle w:val="12"/>
        <w:tabs>
          <w:tab w:val="right" w:leader="dot" w:pos="8306"/>
        </w:tabs>
        <w:spacing w:line="240" w:lineRule="auto"/>
        <w:ind w:left="1200" w:leftChars="400" w:firstLine="0" w:firstLineChars="0"/>
        <w:jc w:val="both"/>
        <w:rPr>
          <w:rFonts w:ascii="Calibri" w:hAnsi="Calibri" w:eastAsia="宋体"/>
          <w:sz w:val="21"/>
          <w:szCs w:val="22"/>
        </w:rPr>
      </w:pPr>
      <w:r>
        <w:fldChar w:fldCharType="begin"/>
      </w:r>
      <w:r>
        <w:instrText xml:space="preserve"> HYPERLINK \l "_Toc98147820" </w:instrText>
      </w:r>
      <w:r>
        <w:fldChar w:fldCharType="separate"/>
      </w:r>
      <w:r>
        <w:rPr>
          <w:rFonts w:hint="eastAsia" w:ascii="Calibri" w:hAnsi="Calibri" w:eastAsia="宋体"/>
          <w:sz w:val="21"/>
          <w:szCs w:val="22"/>
        </w:rPr>
        <w:t>五、 数据元说明</w:t>
      </w:r>
      <w:r>
        <w:rPr>
          <w:rFonts w:hint="eastAsia" w:ascii="Calibri" w:hAnsi="Calibri" w:eastAsia="宋体"/>
          <w:sz w:val="21"/>
          <w:szCs w:val="22"/>
        </w:rPr>
        <w:tab/>
      </w:r>
      <w:r>
        <w:rPr>
          <w:rFonts w:hint="eastAsia" w:ascii="Calibri" w:hAnsi="Calibri" w:eastAsia="宋体"/>
          <w:sz w:val="21"/>
          <w:szCs w:val="22"/>
        </w:rPr>
        <w:fldChar w:fldCharType="begin"/>
      </w:r>
      <w:r>
        <w:rPr>
          <w:rFonts w:hint="eastAsia" w:ascii="Calibri" w:hAnsi="Calibri" w:eastAsia="宋体"/>
          <w:sz w:val="21"/>
          <w:szCs w:val="22"/>
        </w:rPr>
        <w:instrText xml:space="preserve"> PAGEREF _Toc98147820 \h </w:instrText>
      </w:r>
      <w:r>
        <w:rPr>
          <w:rFonts w:hint="eastAsia" w:ascii="Calibri" w:hAnsi="Calibri" w:eastAsia="宋体"/>
          <w:sz w:val="21"/>
          <w:szCs w:val="22"/>
        </w:rPr>
        <w:fldChar w:fldCharType="separate"/>
      </w:r>
      <w:r>
        <w:rPr>
          <w:rFonts w:hint="eastAsia" w:ascii="Calibri" w:hAnsi="Calibri" w:eastAsia="宋体"/>
          <w:sz w:val="21"/>
          <w:szCs w:val="22"/>
        </w:rPr>
        <w:t>- 111 -</w:t>
      </w:r>
      <w:r>
        <w:rPr>
          <w:rFonts w:hint="eastAsia" w:ascii="Calibri" w:hAnsi="Calibri" w:eastAsia="宋体"/>
          <w:sz w:val="21"/>
          <w:szCs w:val="22"/>
        </w:rPr>
        <w:fldChar w:fldCharType="end"/>
      </w:r>
      <w:r>
        <w:rPr>
          <w:rFonts w:hint="eastAsia" w:ascii="Calibri" w:hAnsi="Calibri" w:eastAsia="宋体"/>
          <w:sz w:val="21"/>
          <w:szCs w:val="22"/>
        </w:rPr>
        <w:fldChar w:fldCharType="end"/>
      </w:r>
    </w:p>
    <w:p>
      <w:pPr>
        <w:pStyle w:val="12"/>
        <w:tabs>
          <w:tab w:val="right" w:leader="dot" w:pos="8306"/>
        </w:tabs>
        <w:spacing w:line="240" w:lineRule="auto"/>
        <w:ind w:left="1200" w:leftChars="400" w:firstLine="0" w:firstLineChars="0"/>
        <w:jc w:val="both"/>
        <w:rPr>
          <w:rFonts w:ascii="Calibri" w:hAnsi="Calibri" w:eastAsia="宋体"/>
          <w:sz w:val="21"/>
          <w:szCs w:val="22"/>
        </w:rPr>
      </w:pPr>
      <w:r>
        <w:fldChar w:fldCharType="begin"/>
      </w:r>
      <w:r>
        <w:instrText xml:space="preserve"> HYPERLINK \l "_Toc98147821" </w:instrText>
      </w:r>
      <w:r>
        <w:fldChar w:fldCharType="separate"/>
      </w:r>
      <w:r>
        <w:rPr>
          <w:rFonts w:hint="eastAsia" w:ascii="Calibri" w:hAnsi="Calibri" w:eastAsia="宋体"/>
          <w:sz w:val="21"/>
          <w:szCs w:val="22"/>
        </w:rPr>
        <w:t>（一） 数据元描述规则</w:t>
      </w:r>
      <w:r>
        <w:rPr>
          <w:rFonts w:hint="eastAsia" w:ascii="Calibri" w:hAnsi="Calibri" w:eastAsia="宋体"/>
          <w:sz w:val="21"/>
          <w:szCs w:val="22"/>
        </w:rPr>
        <w:tab/>
      </w:r>
      <w:r>
        <w:rPr>
          <w:rFonts w:hint="eastAsia" w:ascii="Calibri" w:hAnsi="Calibri" w:eastAsia="宋体"/>
          <w:sz w:val="21"/>
          <w:szCs w:val="22"/>
        </w:rPr>
        <w:fldChar w:fldCharType="begin"/>
      </w:r>
      <w:r>
        <w:rPr>
          <w:rFonts w:hint="eastAsia" w:ascii="Calibri" w:hAnsi="Calibri" w:eastAsia="宋体"/>
          <w:sz w:val="21"/>
          <w:szCs w:val="22"/>
        </w:rPr>
        <w:instrText xml:space="preserve"> PAGEREF _Toc98147821 \h </w:instrText>
      </w:r>
      <w:r>
        <w:rPr>
          <w:rFonts w:hint="eastAsia" w:ascii="Calibri" w:hAnsi="Calibri" w:eastAsia="宋体"/>
          <w:sz w:val="21"/>
          <w:szCs w:val="22"/>
        </w:rPr>
        <w:fldChar w:fldCharType="separate"/>
      </w:r>
      <w:r>
        <w:rPr>
          <w:rFonts w:hint="eastAsia" w:ascii="Calibri" w:hAnsi="Calibri" w:eastAsia="宋体"/>
          <w:sz w:val="21"/>
          <w:szCs w:val="22"/>
        </w:rPr>
        <w:t>- 111 -</w:t>
      </w:r>
      <w:r>
        <w:rPr>
          <w:rFonts w:hint="eastAsia" w:ascii="Calibri" w:hAnsi="Calibri" w:eastAsia="宋体"/>
          <w:sz w:val="21"/>
          <w:szCs w:val="22"/>
        </w:rPr>
        <w:fldChar w:fldCharType="end"/>
      </w:r>
      <w:r>
        <w:rPr>
          <w:rFonts w:hint="eastAsia" w:ascii="Calibri" w:hAnsi="Calibri" w:eastAsia="宋体"/>
          <w:sz w:val="21"/>
          <w:szCs w:val="22"/>
        </w:rPr>
        <w:fldChar w:fldCharType="end"/>
      </w:r>
    </w:p>
    <w:p>
      <w:pPr>
        <w:pStyle w:val="12"/>
        <w:tabs>
          <w:tab w:val="right" w:leader="dot" w:pos="8306"/>
        </w:tabs>
        <w:spacing w:line="240" w:lineRule="auto"/>
        <w:ind w:left="1200" w:leftChars="400" w:firstLine="0" w:firstLineChars="0"/>
        <w:jc w:val="both"/>
        <w:rPr>
          <w:rFonts w:ascii="Calibri" w:hAnsi="Calibri" w:eastAsia="宋体"/>
          <w:sz w:val="21"/>
          <w:szCs w:val="22"/>
        </w:rPr>
      </w:pPr>
      <w:r>
        <w:fldChar w:fldCharType="begin"/>
      </w:r>
      <w:r>
        <w:instrText xml:space="preserve"> HYPERLINK \l "_Toc98147822" </w:instrText>
      </w:r>
      <w:r>
        <w:fldChar w:fldCharType="separate"/>
      </w:r>
      <w:r>
        <w:rPr>
          <w:rFonts w:hint="eastAsia" w:ascii="Calibri" w:hAnsi="Calibri" w:eastAsia="宋体"/>
          <w:sz w:val="21"/>
          <w:szCs w:val="22"/>
        </w:rPr>
        <w:t>（二） 数据元细目</w:t>
      </w:r>
      <w:r>
        <w:rPr>
          <w:rFonts w:hint="eastAsia" w:ascii="Calibri" w:hAnsi="Calibri" w:eastAsia="宋体"/>
          <w:sz w:val="21"/>
          <w:szCs w:val="22"/>
        </w:rPr>
        <w:tab/>
      </w:r>
      <w:r>
        <w:rPr>
          <w:rFonts w:hint="eastAsia" w:ascii="Calibri" w:hAnsi="Calibri" w:eastAsia="宋体"/>
          <w:sz w:val="21"/>
          <w:szCs w:val="22"/>
        </w:rPr>
        <w:fldChar w:fldCharType="begin"/>
      </w:r>
      <w:r>
        <w:rPr>
          <w:rFonts w:hint="eastAsia" w:ascii="Calibri" w:hAnsi="Calibri" w:eastAsia="宋体"/>
          <w:sz w:val="21"/>
          <w:szCs w:val="22"/>
        </w:rPr>
        <w:instrText xml:space="preserve"> PAGEREF _Toc98147822 \h </w:instrText>
      </w:r>
      <w:r>
        <w:rPr>
          <w:rFonts w:hint="eastAsia" w:ascii="Calibri" w:hAnsi="Calibri" w:eastAsia="宋体"/>
          <w:sz w:val="21"/>
          <w:szCs w:val="22"/>
        </w:rPr>
        <w:fldChar w:fldCharType="separate"/>
      </w:r>
      <w:r>
        <w:rPr>
          <w:rFonts w:hint="eastAsia" w:ascii="Calibri" w:hAnsi="Calibri" w:eastAsia="宋体"/>
          <w:sz w:val="21"/>
          <w:szCs w:val="22"/>
        </w:rPr>
        <w:t>- 112 -</w:t>
      </w:r>
      <w:r>
        <w:rPr>
          <w:rFonts w:hint="eastAsia" w:ascii="Calibri" w:hAnsi="Calibri" w:eastAsia="宋体"/>
          <w:sz w:val="21"/>
          <w:szCs w:val="22"/>
        </w:rPr>
        <w:fldChar w:fldCharType="end"/>
      </w:r>
      <w:r>
        <w:rPr>
          <w:rFonts w:hint="eastAsia" w:ascii="Calibri" w:hAnsi="Calibri" w:eastAsia="宋体"/>
          <w:sz w:val="21"/>
          <w:szCs w:val="22"/>
        </w:rPr>
        <w:fldChar w:fldCharType="end"/>
      </w:r>
    </w:p>
    <w:p>
      <w:pPr>
        <w:pStyle w:val="12"/>
        <w:tabs>
          <w:tab w:val="right" w:leader="dot" w:pos="8306"/>
        </w:tabs>
        <w:spacing w:line="240" w:lineRule="auto"/>
        <w:ind w:left="1200" w:leftChars="400" w:firstLine="0" w:firstLineChars="0"/>
        <w:jc w:val="both"/>
      </w:pPr>
      <w:r>
        <w:rPr>
          <w:rFonts w:hint="eastAsia" w:ascii="Calibri" w:hAnsi="Calibri" w:eastAsia="宋体"/>
          <w:sz w:val="21"/>
          <w:szCs w:val="22"/>
        </w:rPr>
        <w:fldChar w:fldCharType="end"/>
      </w:r>
    </w:p>
    <w:p>
      <w:pPr>
        <w:ind w:firstLine="0" w:firstLineChars="0"/>
        <w:jc w:val="center"/>
        <w:rPr>
          <w:rFonts w:ascii="宋体" w:hAnsi="宋体" w:eastAsia="宋体" w:cs="黑体"/>
          <w:color w:val="000000" w:themeColor="text1"/>
          <w:sz w:val="21"/>
          <w:szCs w:val="24"/>
          <w14:textFill>
            <w14:solidFill>
              <w14:schemeClr w14:val="tx1"/>
            </w14:solidFill>
          </w14:textFill>
        </w:rPr>
      </w:pPr>
    </w:p>
    <w:p>
      <w:pPr>
        <w:ind w:firstLine="0" w:firstLineChars="0"/>
        <w:jc w:val="center"/>
        <w:rPr>
          <w:rFonts w:ascii="宋体" w:hAnsi="宋体" w:eastAsia="宋体" w:cs="黑体"/>
          <w:color w:val="000000" w:themeColor="text1"/>
          <w:sz w:val="21"/>
          <w:szCs w:val="24"/>
          <w14:textFill>
            <w14:solidFill>
              <w14:schemeClr w14:val="tx1"/>
            </w14:solidFill>
          </w14:textFill>
        </w:rPr>
        <w:sectPr>
          <w:footerReference r:id="rId11" w:type="default"/>
          <w:pgSz w:w="11906" w:h="16838"/>
          <w:pgMar w:top="2154" w:right="1474" w:bottom="1984" w:left="1588" w:header="851" w:footer="1021" w:gutter="0"/>
          <w:pgNumType w:fmt="numberInDash" w:start="1"/>
          <w:cols w:space="720" w:num="1"/>
          <w:docGrid w:type="lines" w:linePitch="312" w:charSpace="0"/>
        </w:sectPr>
      </w:pPr>
    </w:p>
    <w:p>
      <w:pPr>
        <w:keepNext/>
        <w:keepLines/>
        <w:numPr>
          <w:ilvl w:val="0"/>
          <w:numId w:val="1"/>
        </w:numPr>
        <w:ind w:left="0" w:firstLine="600" w:firstLineChars="0"/>
        <w:outlineLvl w:val="0"/>
        <w:rPr>
          <w:rFonts w:ascii="黑体" w:hAnsi="黑体" w:eastAsia="黑体"/>
          <w:kern w:val="44"/>
          <w:szCs w:val="30"/>
        </w:rPr>
      </w:pPr>
      <w:bookmarkStart w:id="0" w:name="_Toc7430"/>
      <w:bookmarkStart w:id="1" w:name="_Toc21521"/>
      <w:bookmarkStart w:id="2" w:name="_Toc7476"/>
      <w:bookmarkStart w:id="3" w:name="_Toc98147808"/>
      <w:bookmarkStart w:id="4" w:name="_Toc8288"/>
      <w:bookmarkStart w:id="5" w:name="_Toc73958554"/>
      <w:bookmarkStart w:id="6" w:name="_Toc16126"/>
      <w:bookmarkStart w:id="7" w:name="_Toc26827"/>
      <w:bookmarkStart w:id="8" w:name="_Toc14403"/>
      <w:bookmarkStart w:id="9" w:name="_Toc12197"/>
      <w:r>
        <w:rPr>
          <w:rFonts w:hint="eastAsia" w:ascii="黑体" w:hAnsi="黑体" w:eastAsia="黑体"/>
          <w:kern w:val="44"/>
          <w:szCs w:val="30"/>
        </w:rPr>
        <w:t>概述</w:t>
      </w:r>
      <w:bookmarkEnd w:id="0"/>
      <w:bookmarkEnd w:id="1"/>
      <w:bookmarkEnd w:id="2"/>
      <w:bookmarkEnd w:id="3"/>
      <w:bookmarkEnd w:id="4"/>
      <w:bookmarkEnd w:id="5"/>
      <w:bookmarkEnd w:id="6"/>
      <w:bookmarkEnd w:id="7"/>
      <w:bookmarkEnd w:id="8"/>
      <w:bookmarkEnd w:id="9"/>
    </w:p>
    <w:p>
      <w:pPr>
        <w:ind w:firstLine="600"/>
        <w:rPr>
          <w:rFonts w:ascii="仿宋" w:hAnsi="仿宋" w:eastAsia="仿宋" w:cs="仿宋_GB2312"/>
          <w:color w:val="000000" w:themeColor="text1"/>
          <w:szCs w:val="30"/>
          <w14:textFill>
            <w14:solidFill>
              <w14:schemeClr w14:val="tx1"/>
            </w14:solidFill>
          </w14:textFill>
        </w:rPr>
      </w:pPr>
      <w:r>
        <w:rPr>
          <w:rFonts w:hint="eastAsia" w:ascii="仿宋" w:hAnsi="仿宋" w:eastAsia="仿宋" w:cs="仿宋_GB2312"/>
          <w:color w:val="000000" w:themeColor="text1"/>
          <w:szCs w:val="30"/>
          <w14:textFill>
            <w14:solidFill>
              <w14:schemeClr w14:val="tx1"/>
            </w14:solidFill>
          </w14:textFill>
        </w:rPr>
        <w:t>《中国银保监会保险业监管数据标准化规范》〔保险集团（控股）公司版〕（以下简称《规范》）立足于保险集团（控股）公司监管工作需要，遵循监管数据标准化的工作惯例和工作要求，将保险集团（控股）公司数据结构映射成统一的标准化监管数据格式，以便于数据采集、分析、挖掘。《规范》包括</w:t>
      </w:r>
      <w:r>
        <w:rPr>
          <w:rFonts w:hint="eastAsia" w:ascii="仿宋" w:hAnsi="仿宋" w:eastAsia="仿宋" w:cs="仿宋_GB2312"/>
          <w:bCs/>
          <w:szCs w:val="30"/>
        </w:rPr>
        <w:t>公司治理、公司财务、</w:t>
      </w:r>
      <w:r>
        <w:rPr>
          <w:rFonts w:hint="eastAsia" w:ascii="仿宋" w:hAnsi="仿宋" w:eastAsia="仿宋" w:cs="仿宋_GB2312"/>
          <w:color w:val="000000" w:themeColor="text1"/>
          <w:szCs w:val="30"/>
          <w14:textFill>
            <w14:solidFill>
              <w14:schemeClr w14:val="tx1"/>
            </w14:solidFill>
          </w14:textFill>
        </w:rPr>
        <w:t>保险集团（控股）</w:t>
      </w:r>
      <w:r>
        <w:rPr>
          <w:rFonts w:hint="eastAsia" w:ascii="仿宋" w:hAnsi="仿宋" w:eastAsia="仿宋" w:cs="仿宋_GB2312"/>
          <w:bCs/>
          <w:szCs w:val="30"/>
        </w:rPr>
        <w:t>公司业务、</w:t>
      </w:r>
      <w:r>
        <w:rPr>
          <w:rFonts w:hint="eastAsia" w:ascii="仿宋" w:hAnsi="仿宋" w:eastAsia="仿宋" w:cs="仿宋_GB2312"/>
          <w:color w:val="000000" w:themeColor="text1"/>
          <w:szCs w:val="30"/>
          <w14:textFill>
            <w14:solidFill>
              <w14:schemeClr w14:val="tx1"/>
            </w14:solidFill>
          </w14:textFill>
        </w:rPr>
        <w:t>保险集团（控股）</w:t>
      </w:r>
      <w:r>
        <w:rPr>
          <w:rFonts w:hint="eastAsia" w:ascii="仿宋" w:hAnsi="仿宋" w:eastAsia="仿宋" w:cs="仿宋_GB2312"/>
          <w:bCs/>
          <w:szCs w:val="30"/>
        </w:rPr>
        <w:t>公司关联交易、风险管理等五个主题域</w:t>
      </w:r>
      <w:r>
        <w:rPr>
          <w:rFonts w:hint="eastAsia" w:ascii="仿宋" w:hAnsi="仿宋" w:eastAsia="仿宋" w:cs="仿宋_GB2312"/>
          <w:color w:val="000000" w:themeColor="text1"/>
          <w:szCs w:val="30"/>
          <w14:textFill>
            <w14:solidFill>
              <w14:schemeClr w14:val="tx1"/>
            </w14:solidFill>
          </w14:textFill>
        </w:rPr>
        <w:t>，</w:t>
      </w:r>
      <w:r>
        <w:rPr>
          <w:rFonts w:hint="eastAsia" w:ascii="仿宋" w:hAnsi="仿宋" w:eastAsia="仿宋" w:cs="仿宋_GB2312"/>
          <w:bCs/>
          <w:szCs w:val="30"/>
        </w:rPr>
        <w:t>基本覆盖了保险集团（控股）公司有关业务范围，并在架构设计上预留了扩展空间。</w:t>
      </w:r>
    </w:p>
    <w:p>
      <w:pPr>
        <w:ind w:firstLine="600"/>
        <w:rPr>
          <w:rFonts w:ascii="仿宋" w:hAnsi="仿宋" w:eastAsia="仿宋" w:cs="仿宋_GB2312"/>
          <w:bCs/>
          <w:szCs w:val="30"/>
        </w:rPr>
      </w:pPr>
      <w:r>
        <w:rPr>
          <w:rFonts w:hint="eastAsia" w:ascii="仿宋" w:hAnsi="仿宋" w:eastAsia="仿宋" w:cs="仿宋_GB2312"/>
          <w:bCs/>
          <w:szCs w:val="30"/>
        </w:rPr>
        <w:t>本《规范》适用于在中华人民共和国境内依法设立的保险集团（控股）公司。</w:t>
      </w:r>
    </w:p>
    <w:p>
      <w:pPr>
        <w:keepNext/>
        <w:keepLines/>
        <w:numPr>
          <w:ilvl w:val="0"/>
          <w:numId w:val="1"/>
        </w:numPr>
        <w:ind w:left="0" w:firstLine="600" w:firstLineChars="0"/>
        <w:outlineLvl w:val="0"/>
        <w:rPr>
          <w:rFonts w:ascii="黑体" w:hAnsi="黑体" w:eastAsia="黑体"/>
          <w:kern w:val="44"/>
          <w:szCs w:val="30"/>
        </w:rPr>
      </w:pPr>
      <w:bookmarkStart w:id="10" w:name="_Toc98147809"/>
      <w:bookmarkStart w:id="11" w:name="_Toc21950"/>
      <w:bookmarkStart w:id="12" w:name="_Toc73958555"/>
      <w:bookmarkStart w:id="13" w:name="_Toc4305"/>
      <w:bookmarkStart w:id="14" w:name="_Toc5836"/>
      <w:bookmarkStart w:id="15" w:name="_Toc15152"/>
      <w:bookmarkStart w:id="16" w:name="_Toc22528"/>
      <w:bookmarkStart w:id="17" w:name="_Toc28004"/>
      <w:bookmarkStart w:id="18" w:name="_Toc15844"/>
      <w:bookmarkStart w:id="19" w:name="_Toc7696"/>
      <w:r>
        <w:rPr>
          <w:rFonts w:hint="eastAsia" w:ascii="黑体" w:hAnsi="黑体" w:eastAsia="黑体"/>
          <w:kern w:val="44"/>
          <w:szCs w:val="30"/>
        </w:rPr>
        <w:t>引用标准</w:t>
      </w:r>
      <w:bookmarkEnd w:id="10"/>
      <w:bookmarkEnd w:id="11"/>
      <w:bookmarkEnd w:id="12"/>
      <w:bookmarkEnd w:id="13"/>
      <w:bookmarkEnd w:id="14"/>
      <w:bookmarkEnd w:id="15"/>
      <w:bookmarkEnd w:id="16"/>
      <w:bookmarkEnd w:id="17"/>
      <w:bookmarkEnd w:id="18"/>
      <w:bookmarkEnd w:id="19"/>
    </w:p>
    <w:p>
      <w:pPr>
        <w:ind w:firstLine="600"/>
        <w:rPr>
          <w:rFonts w:ascii="仿宋" w:hAnsi="仿宋" w:eastAsia="仿宋" w:cs="仿宋_GB2312"/>
          <w:szCs w:val="30"/>
        </w:rPr>
      </w:pPr>
      <w:r>
        <w:rPr>
          <w:rFonts w:hint="eastAsia" w:ascii="仿宋" w:hAnsi="仿宋" w:eastAsia="仿宋" w:cs="仿宋_GB2312"/>
          <w:szCs w:val="30"/>
        </w:rPr>
        <w:t>下列标准中的条款通过本规范的引用而成为本规范的条款，凡是不注日期的引用文件，其最新版本适用于本规范。</w:t>
      </w:r>
    </w:p>
    <w:p>
      <w:pPr>
        <w:ind w:firstLine="600"/>
        <w:rPr>
          <w:rFonts w:ascii="仿宋" w:hAnsi="仿宋" w:eastAsia="仿宋" w:cs="仿宋_GB2312"/>
          <w:szCs w:val="30"/>
        </w:rPr>
      </w:pPr>
      <w:r>
        <w:rPr>
          <w:rFonts w:ascii="仿宋" w:hAnsi="仿宋" w:eastAsia="仿宋" w:cs="仿宋_GB2312"/>
          <w:szCs w:val="30"/>
        </w:rPr>
        <w:t>ISO/IEC 10646 Information Technology -- Universal Coded Character Set (UCS)</w:t>
      </w:r>
    </w:p>
    <w:p>
      <w:pPr>
        <w:ind w:firstLine="600"/>
        <w:rPr>
          <w:rFonts w:ascii="仿宋" w:hAnsi="仿宋" w:eastAsia="仿宋" w:cs="仿宋_GB2312"/>
          <w:szCs w:val="30"/>
        </w:rPr>
      </w:pPr>
      <w:r>
        <w:rPr>
          <w:rFonts w:ascii="仿宋" w:hAnsi="仿宋" w:eastAsia="仿宋" w:cs="仿宋_GB2312"/>
          <w:szCs w:val="30"/>
        </w:rPr>
        <w:t>GB 32100-2015 法人和其他组织统一社会信用代码编码规则</w:t>
      </w:r>
    </w:p>
    <w:p>
      <w:pPr>
        <w:ind w:firstLine="600"/>
        <w:rPr>
          <w:rFonts w:ascii="仿宋" w:hAnsi="仿宋" w:eastAsia="仿宋" w:cs="仿宋_GB2312"/>
          <w:szCs w:val="30"/>
        </w:rPr>
      </w:pPr>
      <w:r>
        <w:rPr>
          <w:rFonts w:ascii="仿宋" w:hAnsi="仿宋" w:eastAsia="仿宋" w:cs="仿宋_GB2312"/>
          <w:szCs w:val="30"/>
        </w:rPr>
        <w:t>GB 11714-1997 全国组织机构代码编制规则</w:t>
      </w:r>
    </w:p>
    <w:p>
      <w:pPr>
        <w:ind w:firstLine="600"/>
        <w:rPr>
          <w:rFonts w:ascii="仿宋" w:hAnsi="仿宋" w:eastAsia="仿宋" w:cs="仿宋_GB2312"/>
          <w:szCs w:val="30"/>
        </w:rPr>
      </w:pPr>
      <w:r>
        <w:rPr>
          <w:rFonts w:ascii="仿宋" w:hAnsi="仿宋" w:eastAsia="仿宋" w:cs="仿宋_GB2312"/>
          <w:szCs w:val="30"/>
        </w:rPr>
        <w:t>GB 11643-1999 公民身份号码</w:t>
      </w:r>
    </w:p>
    <w:p>
      <w:pPr>
        <w:ind w:firstLine="600"/>
        <w:rPr>
          <w:rFonts w:ascii="仿宋" w:hAnsi="仿宋" w:eastAsia="仿宋" w:cs="仿宋_GB2312"/>
          <w:szCs w:val="30"/>
        </w:rPr>
      </w:pPr>
      <w:r>
        <w:rPr>
          <w:rFonts w:ascii="仿宋" w:hAnsi="仿宋" w:eastAsia="仿宋" w:cs="仿宋_GB2312"/>
          <w:szCs w:val="30"/>
        </w:rPr>
        <w:t>GB/T 4754 国民经济行业分类</w:t>
      </w:r>
    </w:p>
    <w:p>
      <w:pPr>
        <w:ind w:firstLine="600"/>
        <w:rPr>
          <w:rFonts w:ascii="仿宋" w:hAnsi="仿宋" w:eastAsia="仿宋" w:cs="仿宋_GB2312"/>
          <w:szCs w:val="30"/>
        </w:rPr>
      </w:pPr>
      <w:r>
        <w:rPr>
          <w:rFonts w:ascii="仿宋" w:hAnsi="仿宋" w:eastAsia="仿宋" w:cs="仿宋_GB2312"/>
          <w:szCs w:val="30"/>
        </w:rPr>
        <w:t>GB/T 12406-2008 表示货币和资金的代码（ISO 4217:2001，IDT）</w:t>
      </w:r>
    </w:p>
    <w:p>
      <w:pPr>
        <w:ind w:firstLine="600"/>
        <w:rPr>
          <w:rFonts w:ascii="仿宋" w:hAnsi="仿宋" w:eastAsia="仿宋" w:cs="仿宋_GB2312"/>
          <w:szCs w:val="30"/>
        </w:rPr>
      </w:pPr>
      <w:r>
        <w:rPr>
          <w:rFonts w:ascii="仿宋" w:hAnsi="仿宋" w:eastAsia="仿宋" w:cs="仿宋_GB2312"/>
          <w:szCs w:val="30"/>
        </w:rPr>
        <w:t>GB/T 2659-2000 世界各国和地区名称代码</w:t>
      </w:r>
    </w:p>
    <w:p>
      <w:pPr>
        <w:ind w:firstLine="600"/>
        <w:rPr>
          <w:rFonts w:ascii="仿宋" w:hAnsi="仿宋" w:eastAsia="仿宋" w:cs="仿宋_GB2312"/>
          <w:szCs w:val="30"/>
        </w:rPr>
      </w:pPr>
      <w:r>
        <w:rPr>
          <w:rFonts w:ascii="仿宋" w:hAnsi="仿宋" w:eastAsia="仿宋" w:cs="仿宋_GB2312"/>
          <w:szCs w:val="30"/>
        </w:rPr>
        <w:t>GB/T 2260-2017 中华人民共和国行政区划代码</w:t>
      </w:r>
    </w:p>
    <w:p>
      <w:pPr>
        <w:ind w:firstLine="600"/>
        <w:rPr>
          <w:rFonts w:ascii="仿宋" w:hAnsi="仿宋" w:eastAsia="仿宋" w:cs="仿宋_GB2312"/>
          <w:szCs w:val="30"/>
        </w:rPr>
      </w:pPr>
      <w:r>
        <w:rPr>
          <w:rFonts w:ascii="仿宋" w:hAnsi="仿宋" w:eastAsia="仿宋" w:cs="仿宋_GB2312"/>
          <w:szCs w:val="30"/>
        </w:rPr>
        <w:t>GB/T 3304-1991 中国各民族名称的罗马字母拼写法和代码</w:t>
      </w:r>
    </w:p>
    <w:p>
      <w:pPr>
        <w:ind w:firstLine="600"/>
        <w:rPr>
          <w:rFonts w:ascii="仿宋" w:hAnsi="仿宋" w:eastAsia="仿宋" w:cs="仿宋_GB2312"/>
          <w:szCs w:val="30"/>
        </w:rPr>
      </w:pPr>
      <w:bookmarkStart w:id="20" w:name="_Hlk91772638"/>
      <w:r>
        <w:rPr>
          <w:rFonts w:ascii="仿宋" w:hAnsi="仿宋" w:eastAsia="仿宋" w:cs="仿宋_GB2312"/>
          <w:szCs w:val="30"/>
        </w:rPr>
        <w:t>GB/T 4658-2006 学历代码</w:t>
      </w:r>
    </w:p>
    <w:p>
      <w:pPr>
        <w:ind w:firstLine="600"/>
        <w:rPr>
          <w:rFonts w:ascii="仿宋" w:hAnsi="仿宋" w:eastAsia="仿宋" w:cs="仿宋_GB2312"/>
          <w:szCs w:val="30"/>
        </w:rPr>
      </w:pPr>
      <w:r>
        <w:rPr>
          <w:rFonts w:ascii="仿宋" w:hAnsi="仿宋" w:eastAsia="仿宋" w:cs="仿宋_GB2312"/>
          <w:szCs w:val="30"/>
        </w:rPr>
        <w:t xml:space="preserve">GB/T 4762-1984 </w:t>
      </w:r>
      <w:r>
        <w:rPr>
          <w:rFonts w:hint="eastAsia" w:ascii="仿宋" w:hAnsi="仿宋" w:eastAsia="仿宋" w:cs="仿宋_GB2312"/>
          <w:szCs w:val="30"/>
        </w:rPr>
        <w:t>政治面貌代码</w:t>
      </w:r>
    </w:p>
    <w:bookmarkEnd w:id="20"/>
    <w:p>
      <w:pPr>
        <w:ind w:firstLine="640"/>
        <w:rPr>
          <w:rFonts w:ascii="仿宋" w:hAnsi="仿宋" w:eastAsia="仿宋" w:cs="仿宋_GB2312"/>
          <w:sz w:val="32"/>
          <w:szCs w:val="32"/>
        </w:rPr>
      </w:pPr>
    </w:p>
    <w:p>
      <w:pPr>
        <w:keepNext/>
        <w:keepLines/>
        <w:numPr>
          <w:ilvl w:val="0"/>
          <w:numId w:val="1"/>
        </w:numPr>
        <w:ind w:left="0" w:firstLine="600" w:firstLineChars="0"/>
        <w:outlineLvl w:val="0"/>
        <w:rPr>
          <w:rFonts w:ascii="黑体" w:hAnsi="黑体" w:eastAsia="黑体"/>
          <w:kern w:val="44"/>
          <w:szCs w:val="30"/>
        </w:rPr>
      </w:pPr>
      <w:bookmarkStart w:id="21" w:name="_Toc73958556"/>
      <w:bookmarkStart w:id="22" w:name="_Toc1167"/>
      <w:bookmarkStart w:id="23" w:name="_Toc26217"/>
      <w:bookmarkStart w:id="24" w:name="_Toc98147810"/>
      <w:bookmarkStart w:id="25" w:name="_Toc29570"/>
      <w:bookmarkStart w:id="26" w:name="_Toc14671"/>
      <w:bookmarkStart w:id="27" w:name="_Toc31360"/>
      <w:bookmarkStart w:id="28" w:name="_Toc18845"/>
      <w:bookmarkStart w:id="29" w:name="_Toc817"/>
      <w:bookmarkStart w:id="30" w:name="_Toc32761"/>
      <w:r>
        <w:rPr>
          <w:rFonts w:hint="eastAsia" w:ascii="黑体" w:hAnsi="黑体" w:eastAsia="黑体"/>
          <w:kern w:val="44"/>
          <w:szCs w:val="30"/>
        </w:rPr>
        <w:t>数据结构</w:t>
      </w:r>
      <w:bookmarkEnd w:id="21"/>
      <w:bookmarkEnd w:id="22"/>
      <w:bookmarkEnd w:id="23"/>
      <w:bookmarkEnd w:id="24"/>
      <w:bookmarkEnd w:id="25"/>
      <w:bookmarkEnd w:id="26"/>
      <w:bookmarkEnd w:id="27"/>
      <w:bookmarkEnd w:id="28"/>
      <w:bookmarkEnd w:id="29"/>
      <w:bookmarkEnd w:id="30"/>
    </w:p>
    <w:p>
      <w:pPr>
        <w:keepNext/>
        <w:keepLines/>
        <w:numPr>
          <w:ilvl w:val="0"/>
          <w:numId w:val="5"/>
        </w:numPr>
        <w:ind w:left="0" w:firstLine="602" w:firstLineChars="0"/>
        <w:outlineLvl w:val="1"/>
        <w:rPr>
          <w:rFonts w:ascii="Arial" w:hAnsi="Arial" w:eastAsia="楷体"/>
          <w:b/>
          <w:szCs w:val="30"/>
        </w:rPr>
      </w:pPr>
      <w:bookmarkStart w:id="31" w:name="_Toc9427"/>
      <w:bookmarkStart w:id="32" w:name="_Toc73958557"/>
      <w:bookmarkStart w:id="33" w:name="_Toc14876"/>
      <w:bookmarkStart w:id="34" w:name="_Toc23384"/>
      <w:bookmarkStart w:id="35" w:name="_Toc4741"/>
      <w:bookmarkStart w:id="36" w:name="_Toc31468"/>
      <w:bookmarkStart w:id="37" w:name="_Toc98147811"/>
      <w:bookmarkStart w:id="38" w:name="_Toc31559"/>
      <w:bookmarkStart w:id="39" w:name="_Toc13047"/>
      <w:bookmarkStart w:id="40" w:name="_Toc13467"/>
      <w:r>
        <w:rPr>
          <w:rFonts w:hint="eastAsia" w:ascii="Arial" w:hAnsi="Arial" w:eastAsia="楷体"/>
          <w:b/>
          <w:szCs w:val="30"/>
        </w:rPr>
        <w:t>数据结构单元</w:t>
      </w:r>
      <w:bookmarkEnd w:id="31"/>
      <w:bookmarkEnd w:id="32"/>
      <w:bookmarkEnd w:id="33"/>
      <w:bookmarkEnd w:id="34"/>
      <w:bookmarkEnd w:id="35"/>
      <w:bookmarkEnd w:id="36"/>
      <w:bookmarkEnd w:id="37"/>
      <w:bookmarkEnd w:id="38"/>
      <w:bookmarkEnd w:id="39"/>
      <w:bookmarkEnd w:id="40"/>
    </w:p>
    <w:p>
      <w:pPr>
        <w:ind w:firstLine="600"/>
        <w:rPr>
          <w:rFonts w:ascii="仿宋" w:hAnsi="仿宋" w:eastAsia="仿宋"/>
          <w:szCs w:val="30"/>
        </w:rPr>
      </w:pPr>
      <w:r>
        <w:rPr>
          <w:rFonts w:hint="eastAsia" w:ascii="仿宋" w:hAnsi="仿宋" w:eastAsia="仿宋"/>
          <w:szCs w:val="30"/>
        </w:rPr>
        <w:t>规范内容的结构单元如下表所示：</w:t>
      </w:r>
    </w:p>
    <w:tbl>
      <w:tblPr>
        <w:tblStyle w:val="25"/>
        <w:tblW w:w="8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809" w:type="dxa"/>
            <w:shd w:val="clear" w:color="auto" w:fill="D8D8D8" w:themeFill="background1" w:themeFillShade="D9"/>
            <w:vAlign w:val="center"/>
          </w:tcPr>
          <w:p>
            <w:pPr>
              <w:spacing w:line="288" w:lineRule="auto"/>
              <w:ind w:firstLine="0" w:firstLineChars="0"/>
              <w:jc w:val="center"/>
              <w:rPr>
                <w:rFonts w:ascii="宋体" w:hAnsi="宋体" w:eastAsia="宋体" w:cstheme="minorEastAsia"/>
                <w:b/>
                <w:bCs/>
                <w:color w:val="000000" w:themeColor="text1"/>
                <w:sz w:val="21"/>
                <w:szCs w:val="21"/>
                <w14:textFill>
                  <w14:solidFill>
                    <w14:schemeClr w14:val="tx1"/>
                  </w14:solidFill>
                </w14:textFill>
              </w:rPr>
            </w:pPr>
            <w:r>
              <w:rPr>
                <w:rFonts w:hint="eastAsia" w:ascii="宋体" w:hAnsi="宋体" w:eastAsia="宋体" w:cstheme="minorEastAsia"/>
                <w:b/>
                <w:bCs/>
                <w:color w:val="000000" w:themeColor="text1"/>
                <w:sz w:val="21"/>
                <w:szCs w:val="21"/>
                <w14:textFill>
                  <w14:solidFill>
                    <w14:schemeClr w14:val="tx1"/>
                  </w14:solidFill>
                </w14:textFill>
              </w:rPr>
              <w:t>结构单元</w:t>
            </w:r>
          </w:p>
        </w:tc>
        <w:tc>
          <w:tcPr>
            <w:tcW w:w="6816" w:type="dxa"/>
            <w:shd w:val="clear" w:color="auto" w:fill="D8D8D8" w:themeFill="background1" w:themeFillShade="D9"/>
            <w:vAlign w:val="center"/>
          </w:tcPr>
          <w:p>
            <w:pPr>
              <w:spacing w:line="288" w:lineRule="auto"/>
              <w:ind w:firstLine="0" w:firstLineChars="0"/>
              <w:jc w:val="center"/>
              <w:rPr>
                <w:rFonts w:ascii="宋体" w:hAnsi="宋体" w:eastAsia="宋体" w:cstheme="minorEastAsia"/>
                <w:b/>
                <w:bCs/>
                <w:color w:val="000000" w:themeColor="text1"/>
                <w:sz w:val="21"/>
                <w:szCs w:val="21"/>
                <w14:textFill>
                  <w14:solidFill>
                    <w14:schemeClr w14:val="tx1"/>
                  </w14:solidFill>
                </w14:textFill>
              </w:rPr>
            </w:pPr>
            <w:r>
              <w:rPr>
                <w:rFonts w:hint="eastAsia" w:ascii="宋体" w:hAnsi="宋体" w:eastAsia="宋体" w:cstheme="minorEastAsia"/>
                <w:b/>
                <w:bCs/>
                <w:color w:val="000000" w:themeColor="text1"/>
                <w:sz w:val="21"/>
                <w:szCs w:val="21"/>
                <w14:textFill>
                  <w14:solidFill>
                    <w14:schemeClr w14:val="tx1"/>
                  </w14:solidFill>
                </w14:textFill>
              </w:rPr>
              <w:t>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288" w:lineRule="auto"/>
              <w:ind w:firstLine="0" w:firstLineChars="0"/>
              <w:jc w:val="left"/>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主题域</w:t>
            </w:r>
          </w:p>
        </w:tc>
        <w:tc>
          <w:tcPr>
            <w:tcW w:w="6816" w:type="dxa"/>
            <w:vAlign w:val="center"/>
          </w:tcPr>
          <w:p>
            <w:pPr>
              <w:spacing w:line="288" w:lineRule="auto"/>
              <w:ind w:firstLine="0" w:firstLineChars="0"/>
              <w:jc w:val="left"/>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用于划分监管关注领域大类。分公司治理、公司财务、保险集团（控股）公司业务、保险集团（控股）公司关联交易、风险管理5个主题域。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288" w:lineRule="auto"/>
              <w:ind w:firstLine="0" w:firstLineChars="0"/>
              <w:jc w:val="left"/>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表</w:t>
            </w:r>
          </w:p>
        </w:tc>
        <w:tc>
          <w:tcPr>
            <w:tcW w:w="6816" w:type="dxa"/>
            <w:vAlign w:val="center"/>
          </w:tcPr>
          <w:p>
            <w:pPr>
              <w:spacing w:line="288" w:lineRule="auto"/>
              <w:ind w:firstLine="0" w:firstLineChars="0"/>
              <w:jc w:val="left"/>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即关系型数据表格，承载具体业务数据，一个主题域有多个表。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288" w:lineRule="auto"/>
              <w:ind w:firstLine="0" w:firstLineChars="0"/>
              <w:jc w:val="left"/>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数据项（列）</w:t>
            </w:r>
          </w:p>
        </w:tc>
        <w:tc>
          <w:tcPr>
            <w:tcW w:w="6816" w:type="dxa"/>
            <w:vAlign w:val="center"/>
          </w:tcPr>
          <w:p>
            <w:pPr>
              <w:spacing w:line="288" w:lineRule="auto"/>
              <w:ind w:firstLine="0" w:firstLineChars="0"/>
              <w:jc w:val="left"/>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表内有一个或多个数据项（列），即数据的基本单位。每个数据项的释义见“</w:t>
            </w:r>
            <w:r>
              <w:rPr>
                <w:rFonts w:ascii="宋体" w:hAnsi="宋体" w:eastAsia="宋体" w:cstheme="minorEastAsia"/>
                <w:color w:val="000000" w:themeColor="text1"/>
                <w:sz w:val="21"/>
                <w:szCs w:val="21"/>
                <w14:textFill>
                  <w14:solidFill>
                    <w14:schemeClr w14:val="tx1"/>
                  </w14:solidFill>
                </w14:textFill>
              </w:rPr>
              <w:t>数据项说明</w:t>
            </w:r>
            <w:r>
              <w:rPr>
                <w:rFonts w:hint="eastAsia" w:ascii="宋体" w:hAnsi="宋体" w:eastAsia="宋体" w:cstheme="minor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line="288" w:lineRule="auto"/>
              <w:ind w:firstLine="0" w:firstLineChars="0"/>
              <w:jc w:val="left"/>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sz w:val="21"/>
                <w:szCs w:val="21"/>
              </w:rPr>
              <w:t>数据实例（行）</w:t>
            </w:r>
          </w:p>
        </w:tc>
        <w:tc>
          <w:tcPr>
            <w:tcW w:w="6816" w:type="dxa"/>
          </w:tcPr>
          <w:p>
            <w:pPr>
              <w:spacing w:line="288" w:lineRule="auto"/>
              <w:ind w:firstLine="0" w:firstLineChars="0"/>
              <w:jc w:val="left"/>
              <w:rPr>
                <w:rFonts w:ascii="宋体" w:hAnsi="宋体" w:eastAsia="宋体" w:cstheme="minorEastAsia"/>
                <w:color w:val="000000" w:themeColor="text1"/>
                <w:sz w:val="21"/>
                <w:szCs w:val="21"/>
                <w14:textFill>
                  <w14:solidFill>
                    <w14:schemeClr w14:val="tx1"/>
                  </w14:solidFill>
                </w14:textFill>
              </w:rPr>
            </w:pPr>
            <w:r>
              <w:rPr>
                <w:rFonts w:ascii="宋体" w:hAnsi="宋体" w:eastAsia="宋体"/>
                <w:sz w:val="21"/>
                <w:szCs w:val="21"/>
              </w:rPr>
              <w:t>每一个数据实例包含且仅包含一行所有数据项（列）定义的数据，是数据存储和报送的基本单位。数据实例遵循关系型数据库第二范式，即数据实例在同一表中不重复。</w:t>
            </w:r>
          </w:p>
        </w:tc>
      </w:tr>
    </w:tbl>
    <w:p>
      <w:pPr>
        <w:keepNext/>
        <w:keepLines/>
        <w:numPr>
          <w:ilvl w:val="0"/>
          <w:numId w:val="5"/>
        </w:numPr>
        <w:ind w:left="0" w:firstLine="602" w:firstLineChars="0"/>
        <w:outlineLvl w:val="1"/>
        <w:rPr>
          <w:rFonts w:ascii="Arial" w:hAnsi="Arial" w:eastAsia="楷体"/>
          <w:b/>
          <w:szCs w:val="30"/>
        </w:rPr>
      </w:pPr>
      <w:bookmarkStart w:id="41" w:name="_Toc14621"/>
      <w:bookmarkStart w:id="42" w:name="_Toc20905"/>
      <w:bookmarkStart w:id="43" w:name="_Toc7171"/>
      <w:bookmarkStart w:id="44" w:name="_Toc24054"/>
      <w:bookmarkStart w:id="45" w:name="_Toc23888"/>
      <w:bookmarkStart w:id="46" w:name="_Toc10927"/>
      <w:bookmarkStart w:id="47" w:name="_Toc10043"/>
      <w:bookmarkStart w:id="48" w:name="_Toc98147812"/>
      <w:bookmarkStart w:id="49" w:name="_Toc21707"/>
      <w:bookmarkStart w:id="50" w:name="_Toc73958558"/>
      <w:r>
        <w:rPr>
          <w:rFonts w:hint="eastAsia" w:ascii="Arial" w:hAnsi="Arial" w:eastAsia="楷体"/>
          <w:b/>
          <w:szCs w:val="30"/>
        </w:rPr>
        <w:t>数据项格式</w:t>
      </w:r>
      <w:bookmarkEnd w:id="41"/>
      <w:bookmarkEnd w:id="42"/>
      <w:bookmarkEnd w:id="43"/>
      <w:bookmarkEnd w:id="44"/>
      <w:bookmarkEnd w:id="45"/>
      <w:bookmarkEnd w:id="46"/>
      <w:bookmarkEnd w:id="47"/>
      <w:bookmarkEnd w:id="48"/>
      <w:bookmarkEnd w:id="49"/>
      <w:bookmarkEnd w:id="50"/>
    </w:p>
    <w:p>
      <w:pPr>
        <w:ind w:firstLine="600"/>
        <w:rPr>
          <w:rFonts w:ascii="仿宋" w:hAnsi="仿宋" w:eastAsia="仿宋"/>
          <w:szCs w:val="30"/>
        </w:rPr>
      </w:pPr>
      <w:r>
        <w:rPr>
          <w:rFonts w:hint="eastAsia" w:ascii="仿宋" w:hAnsi="仿宋" w:eastAsia="仿宋"/>
          <w:szCs w:val="30"/>
        </w:rPr>
        <w:t>数据项格式是数据标准项在精度、长度、形态上的规范，包括所允许的最大和/或最小字符长度、数据的表示格式等。数据格式及详细描述如下表所示：</w:t>
      </w:r>
    </w:p>
    <w:tbl>
      <w:tblPr>
        <w:tblStyle w:val="25"/>
        <w:tblW w:w="8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1"/>
        <w:gridCol w:w="6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821" w:type="dxa"/>
            <w:shd w:val="clear" w:color="auto" w:fill="D7D7D7" w:themeFill="background1" w:themeFillShade="D8"/>
            <w:vAlign w:val="center"/>
          </w:tcPr>
          <w:p>
            <w:pPr>
              <w:spacing w:line="288" w:lineRule="auto"/>
              <w:ind w:firstLine="0" w:firstLineChars="0"/>
              <w:jc w:val="center"/>
              <w:rPr>
                <w:rFonts w:ascii="宋体" w:hAnsi="宋体" w:eastAsia="宋体" w:cstheme="majorEastAsia"/>
                <w:b/>
                <w:color w:val="000000" w:themeColor="text1"/>
                <w:sz w:val="21"/>
                <w:szCs w:val="21"/>
                <w14:textFill>
                  <w14:solidFill>
                    <w14:schemeClr w14:val="tx1"/>
                  </w14:solidFill>
                </w14:textFill>
              </w:rPr>
            </w:pPr>
            <w:r>
              <w:rPr>
                <w:rFonts w:hint="eastAsia" w:ascii="宋体" w:hAnsi="宋体" w:eastAsia="宋体" w:cstheme="majorEastAsia"/>
                <w:b/>
                <w:color w:val="000000" w:themeColor="text1"/>
                <w:sz w:val="21"/>
                <w:szCs w:val="21"/>
                <w14:textFill>
                  <w14:solidFill>
                    <w14:schemeClr w14:val="tx1"/>
                  </w14:solidFill>
                </w14:textFill>
              </w:rPr>
              <w:t>数据格式</w:t>
            </w:r>
          </w:p>
        </w:tc>
        <w:tc>
          <w:tcPr>
            <w:tcW w:w="6833" w:type="dxa"/>
            <w:shd w:val="clear" w:color="auto" w:fill="D7D7D7" w:themeFill="background1" w:themeFillShade="D8"/>
            <w:vAlign w:val="center"/>
          </w:tcPr>
          <w:p>
            <w:pPr>
              <w:spacing w:line="288" w:lineRule="auto"/>
              <w:ind w:firstLine="0" w:firstLineChars="0"/>
              <w:jc w:val="center"/>
              <w:rPr>
                <w:rFonts w:ascii="宋体" w:hAnsi="宋体" w:eastAsia="宋体" w:cstheme="majorEastAsia"/>
                <w:b/>
                <w:color w:val="000000" w:themeColor="text1"/>
                <w:sz w:val="21"/>
                <w:szCs w:val="21"/>
                <w14:textFill>
                  <w14:solidFill>
                    <w14:schemeClr w14:val="tx1"/>
                  </w14:solidFill>
                </w14:textFill>
              </w:rPr>
            </w:pPr>
            <w:r>
              <w:rPr>
                <w:rFonts w:hint="eastAsia" w:ascii="宋体" w:hAnsi="宋体" w:eastAsia="宋体" w:cstheme="majorEastAsia"/>
                <w:b/>
                <w:color w:val="000000" w:themeColor="text1"/>
                <w:sz w:val="21"/>
                <w:szCs w:val="21"/>
                <w14:textFill>
                  <w14:solidFill>
                    <w14:schemeClr w14:val="tx1"/>
                  </w14:solidFill>
                </w14:textFill>
              </w:rPr>
              <w:t>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21"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a</w:t>
            </w:r>
          </w:p>
        </w:tc>
        <w:tc>
          <w:tcPr>
            <w:tcW w:w="6833"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字母字符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21"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n</w:t>
            </w:r>
          </w:p>
        </w:tc>
        <w:tc>
          <w:tcPr>
            <w:tcW w:w="6833"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数字字符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21"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an</w:t>
            </w:r>
          </w:p>
        </w:tc>
        <w:tc>
          <w:tcPr>
            <w:tcW w:w="6833"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字母数字字符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21"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anc</w:t>
            </w:r>
          </w:p>
        </w:tc>
        <w:tc>
          <w:tcPr>
            <w:tcW w:w="6833"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字母数字汉字字符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21"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M、N</w:t>
            </w:r>
          </w:p>
        </w:tc>
        <w:tc>
          <w:tcPr>
            <w:tcW w:w="6833"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自然数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21"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M!a</w:t>
            </w:r>
          </w:p>
        </w:tc>
        <w:tc>
          <w:tcPr>
            <w:tcW w:w="6833"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M位字母字符，定长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21"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 xml:space="preserve">M!n </w:t>
            </w:r>
          </w:p>
        </w:tc>
        <w:tc>
          <w:tcPr>
            <w:tcW w:w="6833"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M位数字字符，定长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21"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M!an</w:t>
            </w:r>
          </w:p>
        </w:tc>
        <w:tc>
          <w:tcPr>
            <w:tcW w:w="6833"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M位字母数字字符，定长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21"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 xml:space="preserve">M!anc  </w:t>
            </w:r>
          </w:p>
        </w:tc>
        <w:tc>
          <w:tcPr>
            <w:tcW w:w="6833"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M位字母数字汉字字符，定长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21"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a..M</w:t>
            </w:r>
          </w:p>
        </w:tc>
        <w:tc>
          <w:tcPr>
            <w:tcW w:w="6833"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最多为M位字母字符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21"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n..M</w:t>
            </w:r>
          </w:p>
        </w:tc>
        <w:tc>
          <w:tcPr>
            <w:tcW w:w="6833"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最多为M位数字字符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21"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an..M</w:t>
            </w:r>
          </w:p>
        </w:tc>
        <w:tc>
          <w:tcPr>
            <w:tcW w:w="6833"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最多为M位字母数字字符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21"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anc..M</w:t>
            </w:r>
          </w:p>
        </w:tc>
        <w:tc>
          <w:tcPr>
            <w:tcW w:w="6833"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最多为M位字母数字汉字字符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21"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aM..</w:t>
            </w:r>
          </w:p>
        </w:tc>
        <w:tc>
          <w:tcPr>
            <w:tcW w:w="6833"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最少为M位字母字符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21"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nM..</w:t>
            </w:r>
          </w:p>
        </w:tc>
        <w:tc>
          <w:tcPr>
            <w:tcW w:w="6833"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最少为M位数字字符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21"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anM..</w:t>
            </w:r>
          </w:p>
        </w:tc>
        <w:tc>
          <w:tcPr>
            <w:tcW w:w="6833"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最少为M位字母数字字符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21"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ancM..</w:t>
            </w:r>
          </w:p>
        </w:tc>
        <w:tc>
          <w:tcPr>
            <w:tcW w:w="6833"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最少为M位字母数字汉字字符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21"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aM..N</w:t>
            </w:r>
          </w:p>
        </w:tc>
        <w:tc>
          <w:tcPr>
            <w:tcW w:w="6833"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最少为M位最多为N位字母字符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21"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nM..N</w:t>
            </w:r>
          </w:p>
        </w:tc>
        <w:tc>
          <w:tcPr>
            <w:tcW w:w="6833"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最少为M位最多为N位数字字符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21"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anM..N</w:t>
            </w:r>
          </w:p>
        </w:tc>
        <w:tc>
          <w:tcPr>
            <w:tcW w:w="6833"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最少为M位最多为N位字母数字字符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21"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ancM..N</w:t>
            </w:r>
          </w:p>
        </w:tc>
        <w:tc>
          <w:tcPr>
            <w:tcW w:w="6833"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最少为M位最多为N位字母数字汉字字符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821"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 xml:space="preserve">M(N) </w:t>
            </w:r>
          </w:p>
        </w:tc>
        <w:tc>
          <w:tcPr>
            <w:tcW w:w="6833"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M位数字字符，其中包括小数点和N个小数位（M&gt;N+1）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821"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YYYY-MM-DD</w:t>
            </w:r>
          </w:p>
        </w:tc>
        <w:tc>
          <w:tcPr>
            <w:tcW w:w="6833"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日期格式，表示年月日。Y表示时间元素“年”所使用的数字，M表示时间元素“月”所使用的数字，D表示时间元素“日”所使用的数字。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821"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HH:MM:SS</w:t>
            </w:r>
          </w:p>
        </w:tc>
        <w:tc>
          <w:tcPr>
            <w:tcW w:w="6833"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时间格式（24小时制），表示时分秒。H表示时间元素“小时”所使用的数字，M表示时间元素“分钟”所使用的数字，S表示时间元素“秒”所使用的数字。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821"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YYYY-MM-DDTHH:MM:SS</w:t>
            </w:r>
          </w:p>
        </w:tc>
        <w:tc>
          <w:tcPr>
            <w:tcW w:w="6833" w:type="dxa"/>
            <w:vAlign w:val="center"/>
          </w:tcPr>
          <w:p>
            <w:pPr>
              <w:spacing w:line="288" w:lineRule="auto"/>
              <w:ind w:firstLine="0" w:firstLineChars="0"/>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stheme="minorEastAsia"/>
                <w:color w:val="000000" w:themeColor="text1"/>
                <w:sz w:val="21"/>
                <w:szCs w:val="21"/>
                <w14:textFill>
                  <w14:solidFill>
                    <w14:schemeClr w14:val="tx1"/>
                  </w14:solidFill>
                </w14:textFill>
              </w:rPr>
              <w:t>日期时间格式，表示某年某月某日某时某分某秒。T为时间标识符，在日期和时间组合表达式中，用以标识该日的时间表示法的开始。</w:t>
            </w:r>
          </w:p>
        </w:tc>
      </w:tr>
    </w:tbl>
    <w:p>
      <w:pPr>
        <w:ind w:firstLine="600"/>
        <w:rPr>
          <w:rFonts w:ascii="仿宋" w:hAnsi="仿宋" w:eastAsia="仿宋"/>
          <w:szCs w:val="30"/>
        </w:rPr>
      </w:pPr>
      <w:r>
        <w:rPr>
          <w:rFonts w:hint="eastAsia" w:ascii="仿宋" w:hAnsi="仿宋" w:eastAsia="仿宋"/>
          <w:szCs w:val="30"/>
        </w:rPr>
        <w:t>示例:</w:t>
      </w:r>
    </w:p>
    <w:p>
      <w:pPr>
        <w:ind w:firstLine="600"/>
        <w:rPr>
          <w:rFonts w:ascii="仿宋" w:hAnsi="仿宋" w:eastAsia="仿宋"/>
          <w:szCs w:val="30"/>
        </w:rPr>
      </w:pPr>
      <w:r>
        <w:rPr>
          <w:rFonts w:hint="eastAsia" w:ascii="仿宋" w:hAnsi="仿宋" w:eastAsia="仿宋"/>
          <w:szCs w:val="30"/>
        </w:rPr>
        <w:t>7!an 表示定长7位字母数字字符。</w:t>
      </w:r>
    </w:p>
    <w:p>
      <w:pPr>
        <w:ind w:firstLine="600"/>
        <w:rPr>
          <w:rFonts w:ascii="仿宋" w:hAnsi="仿宋" w:eastAsia="仿宋"/>
          <w:szCs w:val="30"/>
        </w:rPr>
      </w:pPr>
      <w:r>
        <w:rPr>
          <w:rFonts w:hint="eastAsia" w:ascii="仿宋" w:hAnsi="仿宋" w:eastAsia="仿宋"/>
          <w:szCs w:val="30"/>
        </w:rPr>
        <w:t>anc3..8 表示最小长度为３，最大长度为８的不定长字母数字汉字字符。</w:t>
      </w:r>
    </w:p>
    <w:p>
      <w:pPr>
        <w:ind w:firstLine="600"/>
        <w:rPr>
          <w:rFonts w:ascii="仿宋" w:hAnsi="仿宋" w:eastAsia="仿宋"/>
          <w:szCs w:val="30"/>
        </w:rPr>
      </w:pPr>
      <w:r>
        <w:rPr>
          <w:rFonts w:hint="eastAsia" w:ascii="仿宋" w:hAnsi="仿宋" w:eastAsia="仿宋"/>
          <w:szCs w:val="30"/>
        </w:rPr>
        <w:t>12n(2) 表示12位数字字符，其中包括小数点和2个小数位。</w:t>
      </w:r>
    </w:p>
    <w:p>
      <w:pPr>
        <w:keepNext/>
        <w:keepLines/>
        <w:numPr>
          <w:ilvl w:val="0"/>
          <w:numId w:val="5"/>
        </w:numPr>
        <w:ind w:left="0" w:firstLine="602" w:firstLineChars="0"/>
        <w:outlineLvl w:val="1"/>
        <w:rPr>
          <w:rFonts w:ascii="Arial" w:hAnsi="Arial" w:eastAsia="楷体"/>
          <w:b/>
          <w:szCs w:val="30"/>
        </w:rPr>
      </w:pPr>
      <w:bookmarkStart w:id="51" w:name="_Toc9919"/>
      <w:bookmarkStart w:id="52" w:name="_Toc98147813"/>
      <w:bookmarkStart w:id="53" w:name="_Toc8089"/>
      <w:bookmarkStart w:id="54" w:name="_Toc17248"/>
      <w:bookmarkStart w:id="55" w:name="_Toc8817"/>
      <w:bookmarkStart w:id="56" w:name="_Toc31440"/>
      <w:bookmarkStart w:id="57" w:name="_Toc3525"/>
      <w:bookmarkStart w:id="58" w:name="_Toc25305"/>
      <w:bookmarkStart w:id="59" w:name="_Toc73958559"/>
      <w:bookmarkStart w:id="60" w:name="_Toc29319"/>
      <w:r>
        <w:rPr>
          <w:rFonts w:hint="eastAsia" w:ascii="Arial" w:hAnsi="Arial" w:eastAsia="楷体"/>
          <w:b/>
          <w:szCs w:val="30"/>
        </w:rPr>
        <w:t>数据结构目录</w:t>
      </w:r>
      <w:bookmarkEnd w:id="51"/>
      <w:bookmarkEnd w:id="52"/>
      <w:bookmarkEnd w:id="53"/>
      <w:bookmarkEnd w:id="54"/>
      <w:bookmarkEnd w:id="55"/>
      <w:bookmarkEnd w:id="56"/>
      <w:bookmarkEnd w:id="57"/>
      <w:bookmarkEnd w:id="58"/>
      <w:bookmarkEnd w:id="59"/>
      <w:bookmarkEnd w:id="60"/>
    </w:p>
    <w:p>
      <w:pPr>
        <w:ind w:firstLine="600"/>
        <w:rPr>
          <w:rFonts w:ascii="仿宋" w:hAnsi="仿宋" w:eastAsia="仿宋" w:cs="仿宋_GB2312"/>
          <w:bCs/>
          <w:szCs w:val="30"/>
        </w:rPr>
      </w:pPr>
      <w:r>
        <w:rPr>
          <w:rFonts w:hint="eastAsia" w:ascii="仿宋" w:hAnsi="仿宋" w:eastAsia="仿宋"/>
          <w:szCs w:val="30"/>
        </w:rPr>
        <w:t>数据结构目录是按照监管关注及业务维度对具体数据表的分类，分为</w:t>
      </w:r>
      <w:r>
        <w:rPr>
          <w:rFonts w:hint="eastAsia" w:ascii="仿宋" w:hAnsi="仿宋" w:eastAsia="仿宋" w:cs="仿宋_GB2312"/>
          <w:bCs/>
          <w:szCs w:val="30"/>
        </w:rPr>
        <w:t>公司治理、公司财务、</w:t>
      </w:r>
      <w:r>
        <w:rPr>
          <w:rFonts w:hint="eastAsia" w:ascii="仿宋" w:hAnsi="仿宋" w:eastAsia="仿宋" w:cs="仿宋_GB2312"/>
          <w:color w:val="000000" w:themeColor="text1"/>
          <w:szCs w:val="30"/>
          <w14:textFill>
            <w14:solidFill>
              <w14:schemeClr w14:val="tx1"/>
            </w14:solidFill>
          </w14:textFill>
        </w:rPr>
        <w:t>保险集团（控股）</w:t>
      </w:r>
      <w:r>
        <w:rPr>
          <w:rFonts w:hint="eastAsia" w:ascii="仿宋" w:hAnsi="仿宋" w:eastAsia="仿宋" w:cs="仿宋_GB2312"/>
          <w:bCs/>
          <w:szCs w:val="30"/>
        </w:rPr>
        <w:t>公司业务、</w:t>
      </w:r>
      <w:r>
        <w:rPr>
          <w:rFonts w:hint="eastAsia" w:ascii="仿宋" w:hAnsi="仿宋" w:eastAsia="仿宋" w:cs="仿宋_GB2312"/>
          <w:color w:val="000000" w:themeColor="text1"/>
          <w:szCs w:val="30"/>
          <w14:textFill>
            <w14:solidFill>
              <w14:schemeClr w14:val="tx1"/>
            </w14:solidFill>
          </w14:textFill>
        </w:rPr>
        <w:t>保险集团（控股）</w:t>
      </w:r>
      <w:r>
        <w:rPr>
          <w:rFonts w:hint="eastAsia" w:ascii="仿宋" w:hAnsi="仿宋" w:eastAsia="仿宋" w:cs="仿宋_GB2312"/>
          <w:bCs/>
          <w:szCs w:val="30"/>
        </w:rPr>
        <w:t>公司关联交易、风险管理五个主题域，及相关二级子域，具体如下：</w:t>
      </w:r>
    </w:p>
    <w:tbl>
      <w:tblPr>
        <w:tblStyle w:val="26"/>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34"/>
        <w:gridCol w:w="851"/>
        <w:gridCol w:w="1276"/>
        <w:gridCol w:w="850"/>
        <w:gridCol w:w="3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vAlign w:val="center"/>
          </w:tcPr>
          <w:p>
            <w:pPr>
              <w:ind w:firstLine="0" w:firstLineChars="0"/>
              <w:jc w:val="center"/>
              <w:rPr>
                <w:rFonts w:ascii="宋体" w:hAnsi="宋体" w:eastAsia="宋体" w:cs="仿宋_GB2312"/>
                <w:b/>
                <w:bCs/>
                <w:sz w:val="21"/>
                <w:szCs w:val="21"/>
              </w:rPr>
            </w:pPr>
            <w:r>
              <w:rPr>
                <w:rFonts w:hint="eastAsia" w:ascii="宋体" w:hAnsi="宋体" w:eastAsia="宋体" w:cs="仿宋_GB2312"/>
                <w:b/>
                <w:bCs/>
                <w:sz w:val="21"/>
                <w:szCs w:val="21"/>
              </w:rPr>
              <w:t>主题域</w:t>
            </w:r>
          </w:p>
        </w:tc>
        <w:tc>
          <w:tcPr>
            <w:tcW w:w="1134" w:type="dxa"/>
            <w:vAlign w:val="center"/>
          </w:tcPr>
          <w:p>
            <w:pPr>
              <w:ind w:firstLine="0" w:firstLineChars="0"/>
              <w:jc w:val="center"/>
              <w:rPr>
                <w:rFonts w:ascii="宋体" w:hAnsi="宋体" w:eastAsia="宋体" w:cs="仿宋_GB2312"/>
                <w:b/>
                <w:bCs/>
                <w:sz w:val="21"/>
                <w:szCs w:val="21"/>
              </w:rPr>
            </w:pPr>
            <w:r>
              <w:rPr>
                <w:rFonts w:hint="eastAsia" w:ascii="宋体" w:hAnsi="宋体" w:eastAsia="宋体" w:cs="仿宋_GB2312"/>
                <w:b/>
                <w:bCs/>
                <w:sz w:val="21"/>
                <w:szCs w:val="21"/>
              </w:rPr>
              <w:t>子域</w:t>
            </w:r>
          </w:p>
        </w:tc>
        <w:tc>
          <w:tcPr>
            <w:tcW w:w="851" w:type="dxa"/>
            <w:vAlign w:val="center"/>
          </w:tcPr>
          <w:p>
            <w:pPr>
              <w:ind w:firstLine="0" w:firstLineChars="0"/>
              <w:jc w:val="center"/>
              <w:rPr>
                <w:rFonts w:ascii="宋体" w:hAnsi="宋体" w:eastAsia="宋体" w:cs="仿宋_GB2312"/>
                <w:b/>
                <w:bCs/>
                <w:sz w:val="21"/>
                <w:szCs w:val="21"/>
              </w:rPr>
            </w:pPr>
            <w:r>
              <w:rPr>
                <w:rFonts w:hint="eastAsia" w:ascii="宋体" w:hAnsi="宋体" w:eastAsia="宋体" w:cs="仿宋_GB2312"/>
                <w:b/>
                <w:bCs/>
                <w:sz w:val="21"/>
                <w:szCs w:val="21"/>
              </w:rPr>
              <w:t>表名</w:t>
            </w:r>
          </w:p>
        </w:tc>
        <w:tc>
          <w:tcPr>
            <w:tcW w:w="1276" w:type="dxa"/>
            <w:vAlign w:val="center"/>
          </w:tcPr>
          <w:p>
            <w:pPr>
              <w:ind w:firstLine="0" w:firstLineChars="0"/>
              <w:jc w:val="center"/>
              <w:rPr>
                <w:rFonts w:ascii="宋体" w:hAnsi="宋体" w:eastAsia="宋体" w:cs="仿宋_GB2312"/>
                <w:b/>
                <w:bCs/>
                <w:sz w:val="21"/>
                <w:szCs w:val="21"/>
              </w:rPr>
            </w:pPr>
            <w:r>
              <w:rPr>
                <w:rFonts w:hint="eastAsia" w:ascii="宋体" w:hAnsi="宋体" w:eastAsia="宋体" w:cs="仿宋_GB2312"/>
                <w:b/>
                <w:bCs/>
                <w:sz w:val="21"/>
                <w:szCs w:val="21"/>
              </w:rPr>
              <w:t>表中文名</w:t>
            </w:r>
          </w:p>
        </w:tc>
        <w:tc>
          <w:tcPr>
            <w:tcW w:w="850" w:type="dxa"/>
            <w:vAlign w:val="center"/>
          </w:tcPr>
          <w:p>
            <w:pPr>
              <w:ind w:firstLine="0" w:firstLineChars="0"/>
              <w:jc w:val="center"/>
              <w:rPr>
                <w:rFonts w:ascii="宋体" w:hAnsi="宋体" w:eastAsia="宋体" w:cs="仿宋_GB2312"/>
                <w:b/>
                <w:bCs/>
                <w:sz w:val="21"/>
                <w:szCs w:val="21"/>
              </w:rPr>
            </w:pPr>
            <w:r>
              <w:rPr>
                <w:rFonts w:hint="eastAsia" w:ascii="宋体" w:hAnsi="宋体" w:eastAsia="宋体" w:cs="仿宋_GB2312"/>
                <w:b/>
                <w:bCs/>
                <w:sz w:val="21"/>
                <w:szCs w:val="21"/>
              </w:rPr>
              <w:t>表编号</w:t>
            </w:r>
          </w:p>
        </w:tc>
        <w:tc>
          <w:tcPr>
            <w:tcW w:w="3594" w:type="dxa"/>
            <w:vAlign w:val="center"/>
          </w:tcPr>
          <w:p>
            <w:pPr>
              <w:ind w:firstLine="0" w:firstLineChars="0"/>
              <w:jc w:val="center"/>
              <w:rPr>
                <w:rFonts w:ascii="宋体" w:hAnsi="宋体" w:eastAsia="宋体" w:cs="仿宋_GB2312"/>
                <w:b/>
                <w:bCs/>
                <w:sz w:val="21"/>
                <w:szCs w:val="21"/>
              </w:rPr>
            </w:pPr>
            <w:r>
              <w:rPr>
                <w:rFonts w:hint="eastAsia" w:ascii="宋体" w:hAnsi="宋体" w:eastAsia="宋体" w:cs="仿宋_GB2312"/>
                <w:b/>
                <w:bCs/>
                <w:sz w:val="21"/>
                <w:szCs w:val="21"/>
              </w:rPr>
              <w:t>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vMerge w:val="restart"/>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公司治理</w:t>
            </w:r>
          </w:p>
        </w:tc>
        <w:tc>
          <w:tcPr>
            <w:tcW w:w="1134"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集团架构</w:t>
            </w:r>
          </w:p>
        </w:tc>
        <w:tc>
          <w:tcPr>
            <w:tcW w:w="851"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JTCYGSGXTP</w:t>
            </w:r>
          </w:p>
        </w:tc>
        <w:tc>
          <w:tcPr>
            <w:tcW w:w="1276"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集团成员公司关系图谱</w:t>
            </w:r>
          </w:p>
        </w:tc>
        <w:tc>
          <w:tcPr>
            <w:tcW w:w="850"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A0</w:t>
            </w:r>
            <w:r>
              <w:rPr>
                <w:rFonts w:ascii="宋体" w:hAnsi="宋体" w:eastAsia="宋体" w:cs="仿宋_GB2312"/>
                <w:bCs/>
                <w:sz w:val="21"/>
                <w:szCs w:val="21"/>
              </w:rPr>
              <w:t>1</w:t>
            </w:r>
            <w:r>
              <w:rPr>
                <w:rFonts w:hint="eastAsia" w:ascii="宋体" w:hAnsi="宋体" w:eastAsia="宋体" w:cs="仿宋_GB2312"/>
                <w:bCs/>
                <w:sz w:val="21"/>
                <w:szCs w:val="21"/>
              </w:rPr>
              <w:t>01</w:t>
            </w:r>
          </w:p>
        </w:tc>
        <w:tc>
          <w:tcPr>
            <w:tcW w:w="3594" w:type="dxa"/>
            <w:vAlign w:val="center"/>
          </w:tcPr>
          <w:p>
            <w:pPr>
              <w:ind w:firstLine="0" w:firstLineChars="0"/>
              <w:rPr>
                <w:rFonts w:ascii="宋体" w:hAnsi="宋体" w:eastAsia="宋体" w:cs="仿宋_GB2312"/>
                <w:bCs/>
                <w:sz w:val="21"/>
                <w:szCs w:val="21"/>
              </w:rPr>
            </w:pPr>
            <w:r>
              <w:rPr>
                <w:rFonts w:hint="eastAsia" w:ascii="宋体" w:hAnsi="宋体" w:eastAsia="宋体"/>
                <w:color w:val="000000"/>
                <w:sz w:val="21"/>
                <w:szCs w:val="21"/>
              </w:rPr>
              <w:t>本表报送保险集团成员公司关系（含非法人机构），数据报送以保险集团（控股）公司为第一层逐步向后扩展；两个成员公司之间同时相互持股时，应分别填报。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vMerge w:val="continue"/>
            <w:vAlign w:val="center"/>
          </w:tcPr>
          <w:p>
            <w:pPr>
              <w:ind w:firstLine="0" w:firstLineChars="0"/>
              <w:rPr>
                <w:rFonts w:ascii="宋体" w:hAnsi="宋体" w:eastAsia="宋体" w:cs="仿宋_GB2312"/>
                <w:bCs/>
                <w:sz w:val="21"/>
                <w:szCs w:val="21"/>
              </w:rPr>
            </w:pPr>
          </w:p>
        </w:tc>
        <w:tc>
          <w:tcPr>
            <w:tcW w:w="1134" w:type="dxa"/>
            <w:vMerge w:val="restart"/>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保险集团（控股）公司</w:t>
            </w:r>
          </w:p>
        </w:tc>
        <w:tc>
          <w:tcPr>
            <w:tcW w:w="851"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JGXXB</w:t>
            </w:r>
          </w:p>
        </w:tc>
        <w:tc>
          <w:tcPr>
            <w:tcW w:w="1276"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机构信息表</w:t>
            </w:r>
          </w:p>
        </w:tc>
        <w:tc>
          <w:tcPr>
            <w:tcW w:w="850"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A0</w:t>
            </w:r>
            <w:r>
              <w:rPr>
                <w:rFonts w:ascii="宋体" w:hAnsi="宋体" w:eastAsia="宋体" w:cs="仿宋_GB2312"/>
                <w:bCs/>
                <w:sz w:val="21"/>
                <w:szCs w:val="21"/>
              </w:rPr>
              <w:t>2</w:t>
            </w:r>
            <w:r>
              <w:rPr>
                <w:rFonts w:hint="eastAsia" w:ascii="宋体" w:hAnsi="宋体" w:eastAsia="宋体" w:cs="仿宋_GB2312"/>
                <w:bCs/>
                <w:sz w:val="21"/>
                <w:szCs w:val="21"/>
              </w:rPr>
              <w:t>01</w:t>
            </w:r>
          </w:p>
        </w:tc>
        <w:tc>
          <w:tcPr>
            <w:tcW w:w="3594" w:type="dxa"/>
            <w:vAlign w:val="center"/>
          </w:tcPr>
          <w:p>
            <w:pPr>
              <w:ind w:firstLine="0" w:firstLineChars="0"/>
              <w:rPr>
                <w:rFonts w:ascii="宋体" w:hAnsi="宋体" w:eastAsia="宋体" w:cs="仿宋_GB2312"/>
                <w:bCs/>
                <w:sz w:val="21"/>
                <w:szCs w:val="21"/>
              </w:rPr>
            </w:pPr>
            <w:r>
              <w:rPr>
                <w:rFonts w:hint="eastAsia" w:ascii="宋体" w:hAnsi="宋体" w:eastAsia="宋体"/>
                <w:color w:val="000000"/>
                <w:sz w:val="21"/>
                <w:szCs w:val="21"/>
              </w:rPr>
              <w:t>本表报送保险集团（控股）公司注册信息。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29" w:type="dxa"/>
            <w:vMerge w:val="continue"/>
            <w:vAlign w:val="center"/>
          </w:tcPr>
          <w:p>
            <w:pPr>
              <w:ind w:firstLine="0" w:firstLineChars="0"/>
              <w:rPr>
                <w:rFonts w:ascii="宋体" w:hAnsi="宋体" w:eastAsia="宋体" w:cs="仿宋_GB2312"/>
                <w:bCs/>
                <w:sz w:val="21"/>
                <w:szCs w:val="21"/>
              </w:rPr>
            </w:pPr>
          </w:p>
        </w:tc>
        <w:tc>
          <w:tcPr>
            <w:tcW w:w="1134" w:type="dxa"/>
            <w:vMerge w:val="continue"/>
            <w:vAlign w:val="center"/>
          </w:tcPr>
          <w:p>
            <w:pPr>
              <w:ind w:firstLine="0" w:firstLineChars="0"/>
              <w:rPr>
                <w:rFonts w:ascii="宋体" w:hAnsi="宋体" w:eastAsia="宋体" w:cs="仿宋_GB2312"/>
                <w:bCs/>
                <w:sz w:val="21"/>
                <w:szCs w:val="21"/>
              </w:rPr>
            </w:pPr>
          </w:p>
        </w:tc>
        <w:tc>
          <w:tcPr>
            <w:tcW w:w="851"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GQXXB</w:t>
            </w:r>
          </w:p>
        </w:tc>
        <w:tc>
          <w:tcPr>
            <w:tcW w:w="1276"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股权信息表</w:t>
            </w:r>
          </w:p>
        </w:tc>
        <w:tc>
          <w:tcPr>
            <w:tcW w:w="850"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A0</w:t>
            </w:r>
            <w:r>
              <w:rPr>
                <w:rFonts w:ascii="宋体" w:hAnsi="宋体" w:eastAsia="宋体" w:cs="仿宋_GB2312"/>
                <w:bCs/>
                <w:sz w:val="21"/>
                <w:szCs w:val="21"/>
              </w:rPr>
              <w:t>2</w:t>
            </w:r>
            <w:r>
              <w:rPr>
                <w:rFonts w:hint="eastAsia" w:ascii="宋体" w:hAnsi="宋体" w:eastAsia="宋体" w:cs="仿宋_GB2312"/>
                <w:bCs/>
                <w:sz w:val="21"/>
                <w:szCs w:val="21"/>
              </w:rPr>
              <w:t>02</w:t>
            </w:r>
          </w:p>
        </w:tc>
        <w:tc>
          <w:tcPr>
            <w:tcW w:w="3594" w:type="dxa"/>
            <w:vAlign w:val="center"/>
          </w:tcPr>
          <w:p>
            <w:pPr>
              <w:ind w:firstLine="0" w:firstLineChars="0"/>
              <w:rPr>
                <w:rFonts w:ascii="宋体" w:hAnsi="宋体" w:eastAsia="宋体" w:cs="仿宋_GB2312"/>
                <w:bCs/>
                <w:sz w:val="21"/>
                <w:szCs w:val="21"/>
              </w:rPr>
            </w:pPr>
            <w:r>
              <w:rPr>
                <w:rFonts w:hint="eastAsia" w:ascii="宋体" w:hAnsi="宋体" w:eastAsia="宋体"/>
                <w:color w:val="000000"/>
                <w:sz w:val="21"/>
                <w:szCs w:val="21"/>
              </w:rPr>
              <w:t>本表报送保险集团（控股）公司股权组成信息，对于上市公司仅报送持股5%及以上的机构及个人股东信息。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vMerge w:val="continue"/>
            <w:vAlign w:val="center"/>
          </w:tcPr>
          <w:p>
            <w:pPr>
              <w:ind w:firstLine="0" w:firstLineChars="0"/>
              <w:rPr>
                <w:rFonts w:ascii="宋体" w:hAnsi="宋体" w:eastAsia="宋体" w:cs="仿宋_GB2312"/>
                <w:bCs/>
                <w:sz w:val="21"/>
                <w:szCs w:val="21"/>
              </w:rPr>
            </w:pPr>
          </w:p>
        </w:tc>
        <w:tc>
          <w:tcPr>
            <w:tcW w:w="1134" w:type="dxa"/>
            <w:vMerge w:val="continue"/>
            <w:vAlign w:val="center"/>
          </w:tcPr>
          <w:p>
            <w:pPr>
              <w:ind w:firstLine="0" w:firstLineChars="0"/>
              <w:rPr>
                <w:rFonts w:ascii="宋体" w:hAnsi="宋体" w:eastAsia="宋体" w:cs="仿宋_GB2312"/>
                <w:bCs/>
                <w:sz w:val="21"/>
                <w:szCs w:val="21"/>
              </w:rPr>
            </w:pPr>
          </w:p>
        </w:tc>
        <w:tc>
          <w:tcPr>
            <w:tcW w:w="851"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JGCFXXB</w:t>
            </w:r>
          </w:p>
        </w:tc>
        <w:tc>
          <w:tcPr>
            <w:tcW w:w="1276"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机构处罚信息表</w:t>
            </w:r>
          </w:p>
        </w:tc>
        <w:tc>
          <w:tcPr>
            <w:tcW w:w="850"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A0</w:t>
            </w:r>
            <w:r>
              <w:rPr>
                <w:rFonts w:ascii="宋体" w:hAnsi="宋体" w:eastAsia="宋体" w:cs="仿宋_GB2312"/>
                <w:bCs/>
                <w:sz w:val="21"/>
                <w:szCs w:val="21"/>
              </w:rPr>
              <w:t>2</w:t>
            </w:r>
            <w:r>
              <w:rPr>
                <w:rFonts w:hint="eastAsia" w:ascii="宋体" w:hAnsi="宋体" w:eastAsia="宋体" w:cs="仿宋_GB2312"/>
                <w:bCs/>
                <w:sz w:val="21"/>
                <w:szCs w:val="21"/>
              </w:rPr>
              <w:t>0</w:t>
            </w:r>
            <w:r>
              <w:rPr>
                <w:rFonts w:ascii="宋体" w:hAnsi="宋体" w:eastAsia="宋体" w:cs="仿宋_GB2312"/>
                <w:bCs/>
                <w:sz w:val="21"/>
                <w:szCs w:val="21"/>
              </w:rPr>
              <w:t>3</w:t>
            </w:r>
          </w:p>
        </w:tc>
        <w:tc>
          <w:tcPr>
            <w:tcW w:w="3594" w:type="dxa"/>
            <w:vAlign w:val="center"/>
          </w:tcPr>
          <w:p>
            <w:pPr>
              <w:ind w:firstLine="0" w:firstLineChars="0"/>
              <w:rPr>
                <w:rFonts w:ascii="宋体" w:hAnsi="宋体" w:eastAsia="宋体" w:cs="仿宋_GB2312"/>
                <w:bCs/>
                <w:sz w:val="21"/>
                <w:szCs w:val="21"/>
              </w:rPr>
            </w:pPr>
            <w:r>
              <w:rPr>
                <w:rFonts w:hint="eastAsia" w:ascii="宋体" w:hAnsi="宋体" w:eastAsia="宋体"/>
                <w:color w:val="000000"/>
                <w:sz w:val="21"/>
                <w:szCs w:val="21"/>
              </w:rPr>
              <w:t>本表报送保险集团（控股）公司的处罚信息。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29" w:type="dxa"/>
            <w:vMerge w:val="continue"/>
            <w:vAlign w:val="center"/>
          </w:tcPr>
          <w:p>
            <w:pPr>
              <w:ind w:firstLine="0" w:firstLineChars="0"/>
              <w:rPr>
                <w:rFonts w:ascii="宋体" w:hAnsi="宋体" w:eastAsia="宋体" w:cs="仿宋_GB2312"/>
                <w:bCs/>
                <w:sz w:val="21"/>
                <w:szCs w:val="21"/>
              </w:rPr>
            </w:pPr>
          </w:p>
        </w:tc>
        <w:tc>
          <w:tcPr>
            <w:tcW w:w="1134" w:type="dxa"/>
            <w:vMerge w:val="continue"/>
            <w:vAlign w:val="center"/>
          </w:tcPr>
          <w:p>
            <w:pPr>
              <w:ind w:firstLine="0" w:firstLineChars="0"/>
              <w:rPr>
                <w:rFonts w:ascii="宋体" w:hAnsi="宋体" w:eastAsia="宋体" w:cs="仿宋_GB2312"/>
                <w:bCs/>
                <w:sz w:val="21"/>
                <w:szCs w:val="21"/>
              </w:rPr>
            </w:pPr>
          </w:p>
        </w:tc>
        <w:tc>
          <w:tcPr>
            <w:tcW w:w="851"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YGXXB</w:t>
            </w:r>
          </w:p>
        </w:tc>
        <w:tc>
          <w:tcPr>
            <w:tcW w:w="1276"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员工信息表</w:t>
            </w:r>
          </w:p>
        </w:tc>
        <w:tc>
          <w:tcPr>
            <w:tcW w:w="850"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A0</w:t>
            </w:r>
            <w:r>
              <w:rPr>
                <w:rFonts w:ascii="宋体" w:hAnsi="宋体" w:eastAsia="宋体" w:cs="仿宋_GB2312"/>
                <w:bCs/>
                <w:sz w:val="21"/>
                <w:szCs w:val="21"/>
              </w:rPr>
              <w:t>2</w:t>
            </w:r>
            <w:r>
              <w:rPr>
                <w:rFonts w:hint="eastAsia" w:ascii="宋体" w:hAnsi="宋体" w:eastAsia="宋体" w:cs="仿宋_GB2312"/>
                <w:bCs/>
                <w:sz w:val="21"/>
                <w:szCs w:val="21"/>
              </w:rPr>
              <w:t>0</w:t>
            </w:r>
            <w:r>
              <w:rPr>
                <w:rFonts w:ascii="宋体" w:hAnsi="宋体" w:eastAsia="宋体" w:cs="仿宋_GB2312"/>
                <w:bCs/>
                <w:sz w:val="21"/>
                <w:szCs w:val="21"/>
              </w:rPr>
              <w:t>4</w:t>
            </w:r>
          </w:p>
        </w:tc>
        <w:tc>
          <w:tcPr>
            <w:tcW w:w="3594" w:type="dxa"/>
            <w:vAlign w:val="center"/>
          </w:tcPr>
          <w:p>
            <w:pPr>
              <w:ind w:firstLine="0" w:firstLineChars="0"/>
              <w:rPr>
                <w:rFonts w:ascii="宋体" w:hAnsi="宋体" w:eastAsia="宋体" w:cs="仿宋_GB2312"/>
                <w:bCs/>
                <w:sz w:val="21"/>
                <w:szCs w:val="21"/>
              </w:rPr>
            </w:pPr>
            <w:r>
              <w:rPr>
                <w:rFonts w:hint="eastAsia" w:ascii="宋体" w:hAnsi="宋体" w:eastAsia="宋体"/>
                <w:color w:val="000000"/>
                <w:sz w:val="21"/>
                <w:szCs w:val="21"/>
              </w:rPr>
              <w:t>本表报送保险集团（控股）公司所有与公司签订劳动合同的员工信息，包括在岗和离职员工。董事、监事、高管等人员信息应包含在内。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129" w:type="dxa"/>
            <w:vMerge w:val="continue"/>
            <w:vAlign w:val="center"/>
          </w:tcPr>
          <w:p>
            <w:pPr>
              <w:ind w:firstLine="0" w:firstLineChars="0"/>
              <w:rPr>
                <w:rFonts w:ascii="宋体" w:hAnsi="宋体" w:eastAsia="宋体" w:cs="仿宋_GB2312"/>
                <w:bCs/>
                <w:sz w:val="21"/>
                <w:szCs w:val="21"/>
              </w:rPr>
            </w:pPr>
          </w:p>
        </w:tc>
        <w:tc>
          <w:tcPr>
            <w:tcW w:w="1134" w:type="dxa"/>
            <w:vMerge w:val="continue"/>
            <w:vAlign w:val="center"/>
          </w:tcPr>
          <w:p>
            <w:pPr>
              <w:ind w:firstLine="0" w:firstLineChars="0"/>
              <w:rPr>
                <w:rFonts w:ascii="宋体" w:hAnsi="宋体" w:eastAsia="宋体" w:cs="仿宋_GB2312"/>
                <w:bCs/>
                <w:sz w:val="21"/>
                <w:szCs w:val="21"/>
              </w:rPr>
            </w:pPr>
          </w:p>
        </w:tc>
        <w:tc>
          <w:tcPr>
            <w:tcW w:w="851"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YGWZXXB</w:t>
            </w:r>
          </w:p>
        </w:tc>
        <w:tc>
          <w:tcPr>
            <w:tcW w:w="1276"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员工问责信息表</w:t>
            </w:r>
          </w:p>
        </w:tc>
        <w:tc>
          <w:tcPr>
            <w:tcW w:w="850"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A0</w:t>
            </w:r>
            <w:r>
              <w:rPr>
                <w:rFonts w:ascii="宋体" w:hAnsi="宋体" w:eastAsia="宋体" w:cs="仿宋_GB2312"/>
                <w:bCs/>
                <w:sz w:val="21"/>
                <w:szCs w:val="21"/>
              </w:rPr>
              <w:t>2</w:t>
            </w:r>
            <w:r>
              <w:rPr>
                <w:rFonts w:hint="eastAsia" w:ascii="宋体" w:hAnsi="宋体" w:eastAsia="宋体" w:cs="仿宋_GB2312"/>
                <w:bCs/>
                <w:sz w:val="21"/>
                <w:szCs w:val="21"/>
              </w:rPr>
              <w:t>0</w:t>
            </w:r>
            <w:r>
              <w:rPr>
                <w:rFonts w:ascii="宋体" w:hAnsi="宋体" w:eastAsia="宋体" w:cs="仿宋_GB2312"/>
                <w:bCs/>
                <w:sz w:val="21"/>
                <w:szCs w:val="21"/>
              </w:rPr>
              <w:t>5</w:t>
            </w:r>
          </w:p>
        </w:tc>
        <w:tc>
          <w:tcPr>
            <w:tcW w:w="3594" w:type="dxa"/>
            <w:vAlign w:val="center"/>
          </w:tcPr>
          <w:p>
            <w:pPr>
              <w:ind w:firstLine="0" w:firstLineChars="0"/>
              <w:rPr>
                <w:rFonts w:ascii="宋体" w:hAnsi="宋体" w:eastAsia="宋体" w:cs="仿宋_GB2312"/>
                <w:bCs/>
                <w:sz w:val="21"/>
                <w:szCs w:val="21"/>
              </w:rPr>
            </w:pPr>
            <w:r>
              <w:rPr>
                <w:rFonts w:hint="eastAsia" w:ascii="宋体" w:hAnsi="宋体" w:eastAsia="宋体"/>
                <w:color w:val="000000"/>
                <w:sz w:val="21"/>
                <w:szCs w:val="21"/>
              </w:rPr>
              <w:t>本表报送保险集团（控股）公司所有与公司签订劳动合同的员工，因违法、违反党纪等被本机构公开问责的情况。人员包括董事、监事、高管及其他员工，同一人受到多次问责的应分别填报。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29" w:type="dxa"/>
            <w:vMerge w:val="continue"/>
            <w:vAlign w:val="center"/>
          </w:tcPr>
          <w:p>
            <w:pPr>
              <w:ind w:firstLine="0" w:firstLineChars="0"/>
              <w:rPr>
                <w:rFonts w:ascii="宋体" w:hAnsi="宋体" w:eastAsia="宋体" w:cs="仿宋_GB2312"/>
                <w:bCs/>
                <w:sz w:val="21"/>
                <w:szCs w:val="21"/>
              </w:rPr>
            </w:pPr>
          </w:p>
        </w:tc>
        <w:tc>
          <w:tcPr>
            <w:tcW w:w="1134" w:type="dxa"/>
            <w:vMerge w:val="continue"/>
            <w:vAlign w:val="center"/>
          </w:tcPr>
          <w:p>
            <w:pPr>
              <w:ind w:firstLine="0" w:firstLineChars="0"/>
              <w:rPr>
                <w:rFonts w:ascii="宋体" w:hAnsi="宋体" w:eastAsia="宋体" w:cs="仿宋_GB2312"/>
                <w:bCs/>
                <w:sz w:val="21"/>
                <w:szCs w:val="21"/>
              </w:rPr>
            </w:pPr>
          </w:p>
        </w:tc>
        <w:tc>
          <w:tcPr>
            <w:tcW w:w="851"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DJGLZXXB</w:t>
            </w:r>
          </w:p>
        </w:tc>
        <w:tc>
          <w:tcPr>
            <w:tcW w:w="1276"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董监高履职信息表</w:t>
            </w:r>
          </w:p>
        </w:tc>
        <w:tc>
          <w:tcPr>
            <w:tcW w:w="850"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A0</w:t>
            </w:r>
            <w:r>
              <w:rPr>
                <w:rFonts w:ascii="宋体" w:hAnsi="宋体" w:eastAsia="宋体" w:cs="仿宋_GB2312"/>
                <w:bCs/>
                <w:sz w:val="21"/>
                <w:szCs w:val="21"/>
              </w:rPr>
              <w:t>2</w:t>
            </w:r>
            <w:r>
              <w:rPr>
                <w:rFonts w:hint="eastAsia" w:ascii="宋体" w:hAnsi="宋体" w:eastAsia="宋体" w:cs="仿宋_GB2312"/>
                <w:bCs/>
                <w:sz w:val="21"/>
                <w:szCs w:val="21"/>
              </w:rPr>
              <w:t>0</w:t>
            </w:r>
            <w:r>
              <w:rPr>
                <w:rFonts w:ascii="宋体" w:hAnsi="宋体" w:eastAsia="宋体" w:cs="仿宋_GB2312"/>
                <w:bCs/>
                <w:sz w:val="21"/>
                <w:szCs w:val="21"/>
              </w:rPr>
              <w:t>6</w:t>
            </w:r>
          </w:p>
        </w:tc>
        <w:tc>
          <w:tcPr>
            <w:tcW w:w="3594" w:type="dxa"/>
            <w:vAlign w:val="center"/>
          </w:tcPr>
          <w:p>
            <w:pPr>
              <w:ind w:firstLine="0" w:firstLineChars="0"/>
              <w:rPr>
                <w:rFonts w:ascii="宋体" w:hAnsi="宋体" w:eastAsia="宋体" w:cs="仿宋_GB2312"/>
                <w:bCs/>
                <w:sz w:val="21"/>
                <w:szCs w:val="21"/>
              </w:rPr>
            </w:pPr>
            <w:r>
              <w:rPr>
                <w:rFonts w:hint="eastAsia" w:ascii="宋体" w:hAnsi="宋体" w:eastAsia="宋体"/>
                <w:color w:val="000000"/>
                <w:sz w:val="21"/>
                <w:szCs w:val="21"/>
              </w:rPr>
              <w:t>本表报送保险集团（控股）公司董事、监事、高管范围人员的履职情况信息，如董事、监事、高管兼任多个职务，需要分开报送。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29" w:type="dxa"/>
            <w:vMerge w:val="continue"/>
            <w:vAlign w:val="center"/>
          </w:tcPr>
          <w:p>
            <w:pPr>
              <w:ind w:firstLine="0" w:firstLineChars="0"/>
              <w:rPr>
                <w:rFonts w:ascii="宋体" w:hAnsi="宋体" w:eastAsia="宋体" w:cs="仿宋_GB2312"/>
                <w:bCs/>
                <w:sz w:val="21"/>
                <w:szCs w:val="21"/>
              </w:rPr>
            </w:pPr>
          </w:p>
        </w:tc>
        <w:tc>
          <w:tcPr>
            <w:tcW w:w="1134" w:type="dxa"/>
            <w:vMerge w:val="continue"/>
            <w:vAlign w:val="center"/>
          </w:tcPr>
          <w:p>
            <w:pPr>
              <w:ind w:firstLine="0" w:firstLineChars="0"/>
              <w:rPr>
                <w:rFonts w:ascii="宋体" w:hAnsi="宋体" w:eastAsia="宋体" w:cs="仿宋_GB2312"/>
                <w:bCs/>
                <w:sz w:val="21"/>
                <w:szCs w:val="21"/>
              </w:rPr>
            </w:pPr>
          </w:p>
        </w:tc>
        <w:tc>
          <w:tcPr>
            <w:tcW w:w="851"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DJGCFXXB</w:t>
            </w:r>
          </w:p>
        </w:tc>
        <w:tc>
          <w:tcPr>
            <w:tcW w:w="1276"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董监高处罚信息表</w:t>
            </w:r>
          </w:p>
        </w:tc>
        <w:tc>
          <w:tcPr>
            <w:tcW w:w="850"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A0</w:t>
            </w:r>
            <w:r>
              <w:rPr>
                <w:rFonts w:ascii="宋体" w:hAnsi="宋体" w:eastAsia="宋体" w:cs="仿宋_GB2312"/>
                <w:bCs/>
                <w:sz w:val="21"/>
                <w:szCs w:val="21"/>
              </w:rPr>
              <w:t>2</w:t>
            </w:r>
            <w:r>
              <w:rPr>
                <w:rFonts w:hint="eastAsia" w:ascii="宋体" w:hAnsi="宋体" w:eastAsia="宋体" w:cs="仿宋_GB2312"/>
                <w:bCs/>
                <w:sz w:val="21"/>
                <w:szCs w:val="21"/>
              </w:rPr>
              <w:t>0</w:t>
            </w:r>
            <w:r>
              <w:rPr>
                <w:rFonts w:ascii="宋体" w:hAnsi="宋体" w:eastAsia="宋体" w:cs="仿宋_GB2312"/>
                <w:bCs/>
                <w:sz w:val="21"/>
                <w:szCs w:val="21"/>
              </w:rPr>
              <w:t>7</w:t>
            </w:r>
          </w:p>
        </w:tc>
        <w:tc>
          <w:tcPr>
            <w:tcW w:w="3594" w:type="dxa"/>
            <w:vAlign w:val="center"/>
          </w:tcPr>
          <w:p>
            <w:pPr>
              <w:ind w:firstLine="0" w:firstLineChars="0"/>
              <w:rPr>
                <w:rFonts w:ascii="宋体" w:hAnsi="宋体" w:eastAsia="宋体" w:cs="仿宋_GB2312"/>
                <w:bCs/>
                <w:sz w:val="21"/>
                <w:szCs w:val="21"/>
              </w:rPr>
            </w:pPr>
            <w:r>
              <w:rPr>
                <w:rFonts w:hint="eastAsia" w:ascii="宋体" w:hAnsi="宋体" w:eastAsia="宋体"/>
                <w:color w:val="000000"/>
                <w:sz w:val="21"/>
                <w:szCs w:val="21"/>
              </w:rPr>
              <w:t>本表报送保险集团（控股）公司所有董事、监事、高管范围的处罚信息，如董事、监事、高管兼任多个职务或受到多个处罚，需要分开报送。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vMerge w:val="continue"/>
            <w:vAlign w:val="center"/>
          </w:tcPr>
          <w:p>
            <w:pPr>
              <w:ind w:firstLine="0" w:firstLineChars="0"/>
              <w:rPr>
                <w:rFonts w:ascii="宋体" w:hAnsi="宋体" w:eastAsia="宋体" w:cs="仿宋_GB2312"/>
                <w:bCs/>
                <w:sz w:val="21"/>
                <w:szCs w:val="21"/>
              </w:rPr>
            </w:pPr>
          </w:p>
        </w:tc>
        <w:tc>
          <w:tcPr>
            <w:tcW w:w="1134" w:type="dxa"/>
            <w:vMerge w:val="restart"/>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成员公司（不含保险集团（控股）公司）</w:t>
            </w:r>
          </w:p>
        </w:tc>
        <w:tc>
          <w:tcPr>
            <w:tcW w:w="851"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CYGSJGXXB</w:t>
            </w:r>
          </w:p>
        </w:tc>
        <w:tc>
          <w:tcPr>
            <w:tcW w:w="1276"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成员公司机构信息表</w:t>
            </w:r>
          </w:p>
        </w:tc>
        <w:tc>
          <w:tcPr>
            <w:tcW w:w="850"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A0301</w:t>
            </w:r>
          </w:p>
        </w:tc>
        <w:tc>
          <w:tcPr>
            <w:tcW w:w="3594" w:type="dxa"/>
            <w:vAlign w:val="center"/>
          </w:tcPr>
          <w:p>
            <w:pPr>
              <w:ind w:firstLine="0" w:firstLineChars="0"/>
              <w:rPr>
                <w:rFonts w:ascii="宋体" w:hAnsi="宋体" w:eastAsia="宋体" w:cs="仿宋_GB2312"/>
                <w:bCs/>
                <w:sz w:val="21"/>
                <w:szCs w:val="21"/>
              </w:rPr>
            </w:pPr>
            <w:r>
              <w:rPr>
                <w:rFonts w:hint="eastAsia" w:ascii="宋体" w:hAnsi="宋体" w:eastAsia="宋体"/>
                <w:color w:val="000000"/>
                <w:sz w:val="21"/>
                <w:szCs w:val="21"/>
              </w:rPr>
              <w:t>本表报送成员公司（不含保险集团（控股）公司）注册信息。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29" w:type="dxa"/>
            <w:vMerge w:val="continue"/>
            <w:vAlign w:val="center"/>
          </w:tcPr>
          <w:p>
            <w:pPr>
              <w:ind w:firstLine="0" w:firstLineChars="0"/>
              <w:rPr>
                <w:rFonts w:ascii="宋体" w:hAnsi="宋体" w:eastAsia="宋体" w:cs="仿宋_GB2312"/>
                <w:bCs/>
                <w:sz w:val="21"/>
                <w:szCs w:val="21"/>
              </w:rPr>
            </w:pPr>
          </w:p>
        </w:tc>
        <w:tc>
          <w:tcPr>
            <w:tcW w:w="1134" w:type="dxa"/>
            <w:vMerge w:val="continue"/>
            <w:vAlign w:val="center"/>
          </w:tcPr>
          <w:p>
            <w:pPr>
              <w:ind w:firstLine="0" w:firstLineChars="0"/>
              <w:rPr>
                <w:rFonts w:ascii="宋体" w:hAnsi="宋体" w:eastAsia="宋体" w:cs="仿宋_GB2312"/>
                <w:bCs/>
                <w:sz w:val="21"/>
                <w:szCs w:val="21"/>
              </w:rPr>
            </w:pPr>
          </w:p>
        </w:tc>
        <w:tc>
          <w:tcPr>
            <w:tcW w:w="851"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CYGSGQXXB</w:t>
            </w:r>
          </w:p>
        </w:tc>
        <w:tc>
          <w:tcPr>
            <w:tcW w:w="1276"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成员公司股权信息表</w:t>
            </w:r>
          </w:p>
        </w:tc>
        <w:tc>
          <w:tcPr>
            <w:tcW w:w="850"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A0302</w:t>
            </w:r>
          </w:p>
        </w:tc>
        <w:tc>
          <w:tcPr>
            <w:tcW w:w="3594" w:type="dxa"/>
            <w:vAlign w:val="center"/>
          </w:tcPr>
          <w:p>
            <w:pPr>
              <w:ind w:firstLine="0" w:firstLineChars="0"/>
              <w:rPr>
                <w:rFonts w:ascii="宋体" w:hAnsi="宋体" w:eastAsia="宋体" w:cs="仿宋_GB2312"/>
                <w:bCs/>
                <w:sz w:val="21"/>
                <w:szCs w:val="21"/>
              </w:rPr>
            </w:pPr>
            <w:r>
              <w:rPr>
                <w:rFonts w:hint="eastAsia" w:ascii="宋体" w:hAnsi="宋体" w:eastAsia="宋体"/>
                <w:color w:val="000000"/>
                <w:sz w:val="21"/>
                <w:szCs w:val="21"/>
              </w:rPr>
              <w:t>本表报送成员公司（不含保险集团（控股）公司）所有股权组成信息，对于上市公司仅报送持股</w:t>
            </w:r>
            <w:r>
              <w:rPr>
                <w:rFonts w:ascii="宋体" w:hAnsi="宋体" w:eastAsia="宋体"/>
                <w:color w:val="000000"/>
                <w:sz w:val="21"/>
                <w:szCs w:val="21"/>
              </w:rPr>
              <w:t>5%及以上的机构及个人股东信息，对于未上市公司报送持股1%及以上的机构及个人股东信息。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vMerge w:val="continue"/>
            <w:vAlign w:val="center"/>
          </w:tcPr>
          <w:p>
            <w:pPr>
              <w:ind w:firstLine="0" w:firstLineChars="0"/>
              <w:rPr>
                <w:rFonts w:ascii="宋体" w:hAnsi="宋体" w:eastAsia="宋体" w:cs="仿宋_GB2312"/>
                <w:bCs/>
                <w:sz w:val="21"/>
                <w:szCs w:val="21"/>
              </w:rPr>
            </w:pPr>
          </w:p>
        </w:tc>
        <w:tc>
          <w:tcPr>
            <w:tcW w:w="1134" w:type="dxa"/>
            <w:vMerge w:val="continue"/>
            <w:vAlign w:val="center"/>
          </w:tcPr>
          <w:p>
            <w:pPr>
              <w:ind w:firstLine="0" w:firstLineChars="0"/>
              <w:rPr>
                <w:rFonts w:ascii="宋体" w:hAnsi="宋体" w:eastAsia="宋体" w:cs="仿宋_GB2312"/>
                <w:bCs/>
                <w:sz w:val="21"/>
                <w:szCs w:val="21"/>
              </w:rPr>
            </w:pPr>
          </w:p>
        </w:tc>
        <w:tc>
          <w:tcPr>
            <w:tcW w:w="851"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CYGSJGCFXXB</w:t>
            </w:r>
          </w:p>
        </w:tc>
        <w:tc>
          <w:tcPr>
            <w:tcW w:w="1276"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成员公司机构处罚信息表</w:t>
            </w:r>
          </w:p>
        </w:tc>
        <w:tc>
          <w:tcPr>
            <w:tcW w:w="850"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A030</w:t>
            </w:r>
            <w:r>
              <w:rPr>
                <w:rFonts w:ascii="宋体" w:hAnsi="宋体" w:eastAsia="宋体" w:cs="仿宋_GB2312"/>
                <w:bCs/>
                <w:sz w:val="21"/>
                <w:szCs w:val="21"/>
              </w:rPr>
              <w:t>3</w:t>
            </w:r>
          </w:p>
        </w:tc>
        <w:tc>
          <w:tcPr>
            <w:tcW w:w="3594" w:type="dxa"/>
            <w:vAlign w:val="center"/>
          </w:tcPr>
          <w:p>
            <w:pPr>
              <w:ind w:firstLine="0" w:firstLineChars="0"/>
              <w:rPr>
                <w:rFonts w:ascii="宋体" w:hAnsi="宋体" w:eastAsia="宋体" w:cs="仿宋_GB2312"/>
                <w:bCs/>
                <w:sz w:val="21"/>
                <w:szCs w:val="21"/>
              </w:rPr>
            </w:pPr>
            <w:r>
              <w:rPr>
                <w:rFonts w:hint="eastAsia" w:ascii="宋体" w:hAnsi="宋体" w:eastAsia="宋体"/>
                <w:color w:val="000000"/>
                <w:sz w:val="21"/>
                <w:szCs w:val="21"/>
              </w:rPr>
              <w:t>本表报送成员公司（不含保险集团（控股）公司）的处罚信息，含下级分支机构。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29" w:type="dxa"/>
            <w:vMerge w:val="continue"/>
            <w:vAlign w:val="center"/>
          </w:tcPr>
          <w:p>
            <w:pPr>
              <w:ind w:firstLine="0" w:firstLineChars="0"/>
              <w:rPr>
                <w:rFonts w:ascii="宋体" w:hAnsi="宋体" w:eastAsia="宋体" w:cs="仿宋_GB2312"/>
                <w:bCs/>
                <w:sz w:val="21"/>
                <w:szCs w:val="21"/>
              </w:rPr>
            </w:pPr>
          </w:p>
        </w:tc>
        <w:tc>
          <w:tcPr>
            <w:tcW w:w="1134" w:type="dxa"/>
            <w:vMerge w:val="continue"/>
            <w:vAlign w:val="center"/>
          </w:tcPr>
          <w:p>
            <w:pPr>
              <w:ind w:firstLine="0" w:firstLineChars="0"/>
              <w:rPr>
                <w:rFonts w:ascii="宋体" w:hAnsi="宋体" w:eastAsia="宋体" w:cs="仿宋_GB2312"/>
                <w:bCs/>
                <w:sz w:val="21"/>
                <w:szCs w:val="21"/>
              </w:rPr>
            </w:pPr>
          </w:p>
        </w:tc>
        <w:tc>
          <w:tcPr>
            <w:tcW w:w="851"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CYGSDJGLZXXB</w:t>
            </w:r>
          </w:p>
        </w:tc>
        <w:tc>
          <w:tcPr>
            <w:tcW w:w="1276"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成员公司董监高履职信息表</w:t>
            </w:r>
          </w:p>
        </w:tc>
        <w:tc>
          <w:tcPr>
            <w:tcW w:w="850"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A030</w:t>
            </w:r>
            <w:r>
              <w:rPr>
                <w:rFonts w:ascii="宋体" w:hAnsi="宋体" w:eastAsia="宋体" w:cs="仿宋_GB2312"/>
                <w:bCs/>
                <w:sz w:val="21"/>
                <w:szCs w:val="21"/>
              </w:rPr>
              <w:t>4</w:t>
            </w:r>
          </w:p>
        </w:tc>
        <w:tc>
          <w:tcPr>
            <w:tcW w:w="3594" w:type="dxa"/>
            <w:vAlign w:val="center"/>
          </w:tcPr>
          <w:p>
            <w:pPr>
              <w:ind w:firstLine="0" w:firstLineChars="0"/>
              <w:rPr>
                <w:rFonts w:ascii="宋体" w:hAnsi="宋体" w:eastAsia="宋体" w:cs="仿宋_GB2312"/>
                <w:bCs/>
                <w:sz w:val="21"/>
                <w:szCs w:val="21"/>
              </w:rPr>
            </w:pPr>
            <w:r>
              <w:rPr>
                <w:rFonts w:hint="eastAsia" w:ascii="宋体" w:hAnsi="宋体" w:eastAsia="宋体"/>
                <w:color w:val="000000"/>
                <w:sz w:val="21"/>
                <w:szCs w:val="21"/>
              </w:rPr>
              <w:t>本表报送成员公司（不含保险集团（控股）公司）董事、监事、高管范围人员的履职情况信息，如董事、监事、高管兼任多个职务，需要分开报送。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129" w:type="dxa"/>
            <w:vMerge w:val="continue"/>
            <w:vAlign w:val="center"/>
          </w:tcPr>
          <w:p>
            <w:pPr>
              <w:ind w:firstLine="0" w:firstLineChars="0"/>
              <w:rPr>
                <w:rFonts w:ascii="宋体" w:hAnsi="宋体" w:eastAsia="宋体" w:cs="仿宋_GB2312"/>
                <w:bCs/>
                <w:sz w:val="21"/>
                <w:szCs w:val="21"/>
              </w:rPr>
            </w:pPr>
          </w:p>
        </w:tc>
        <w:tc>
          <w:tcPr>
            <w:tcW w:w="1134" w:type="dxa"/>
            <w:vMerge w:val="continue"/>
            <w:vAlign w:val="center"/>
          </w:tcPr>
          <w:p>
            <w:pPr>
              <w:ind w:firstLine="0" w:firstLineChars="0"/>
              <w:rPr>
                <w:rFonts w:ascii="宋体" w:hAnsi="宋体" w:eastAsia="宋体" w:cs="仿宋_GB2312"/>
                <w:bCs/>
                <w:sz w:val="21"/>
                <w:szCs w:val="21"/>
              </w:rPr>
            </w:pPr>
          </w:p>
        </w:tc>
        <w:tc>
          <w:tcPr>
            <w:tcW w:w="851"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CYGSDJGCFXXB</w:t>
            </w:r>
          </w:p>
        </w:tc>
        <w:tc>
          <w:tcPr>
            <w:tcW w:w="1276"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成员公司董监高处罚信息表</w:t>
            </w:r>
          </w:p>
        </w:tc>
        <w:tc>
          <w:tcPr>
            <w:tcW w:w="850"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A030</w:t>
            </w:r>
            <w:r>
              <w:rPr>
                <w:rFonts w:ascii="宋体" w:hAnsi="宋体" w:eastAsia="宋体" w:cs="仿宋_GB2312"/>
                <w:bCs/>
                <w:sz w:val="21"/>
                <w:szCs w:val="21"/>
              </w:rPr>
              <w:t>5</w:t>
            </w:r>
          </w:p>
        </w:tc>
        <w:tc>
          <w:tcPr>
            <w:tcW w:w="3594" w:type="dxa"/>
            <w:vAlign w:val="center"/>
          </w:tcPr>
          <w:p>
            <w:pPr>
              <w:ind w:firstLine="0" w:firstLineChars="0"/>
              <w:rPr>
                <w:rFonts w:ascii="宋体" w:hAnsi="宋体" w:eastAsia="宋体" w:cs="仿宋_GB2312"/>
                <w:bCs/>
                <w:sz w:val="21"/>
                <w:szCs w:val="21"/>
              </w:rPr>
            </w:pPr>
            <w:r>
              <w:rPr>
                <w:rFonts w:hint="eastAsia" w:ascii="宋体" w:hAnsi="宋体" w:eastAsia="宋体"/>
                <w:color w:val="000000"/>
                <w:sz w:val="21"/>
                <w:szCs w:val="21"/>
              </w:rPr>
              <w:t>本表报送成员公司（不含保险集团（控股）公司）内所有董事、监事、高管范围的处罚信息，如董事、监事、高管兼任多个职务或受到多个处罚，需要分开报送。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29" w:type="dxa"/>
            <w:vMerge w:val="continue"/>
            <w:vAlign w:val="center"/>
          </w:tcPr>
          <w:p>
            <w:pPr>
              <w:ind w:firstLine="0" w:firstLineChars="0"/>
              <w:rPr>
                <w:rFonts w:ascii="宋体" w:hAnsi="宋体" w:eastAsia="宋体" w:cs="仿宋_GB2312"/>
                <w:bCs/>
                <w:sz w:val="21"/>
                <w:szCs w:val="21"/>
              </w:rPr>
            </w:pPr>
          </w:p>
        </w:tc>
        <w:tc>
          <w:tcPr>
            <w:tcW w:w="1134" w:type="dxa"/>
            <w:vMerge w:val="continue"/>
            <w:vAlign w:val="center"/>
          </w:tcPr>
          <w:p>
            <w:pPr>
              <w:ind w:firstLine="0" w:firstLineChars="0"/>
              <w:rPr>
                <w:rFonts w:ascii="宋体" w:hAnsi="宋体" w:eastAsia="宋体" w:cs="仿宋_GB2312"/>
                <w:bCs/>
                <w:sz w:val="21"/>
                <w:szCs w:val="21"/>
              </w:rPr>
            </w:pPr>
          </w:p>
        </w:tc>
        <w:tc>
          <w:tcPr>
            <w:tcW w:w="851"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CYGSGLRYXXB</w:t>
            </w:r>
          </w:p>
        </w:tc>
        <w:tc>
          <w:tcPr>
            <w:tcW w:w="1276"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成员公司管理人员信息表</w:t>
            </w:r>
          </w:p>
        </w:tc>
        <w:tc>
          <w:tcPr>
            <w:tcW w:w="850"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A030</w:t>
            </w:r>
            <w:r>
              <w:rPr>
                <w:rFonts w:ascii="宋体" w:hAnsi="宋体" w:eastAsia="宋体" w:cs="仿宋_GB2312"/>
                <w:bCs/>
                <w:sz w:val="21"/>
                <w:szCs w:val="21"/>
              </w:rPr>
              <w:t>6</w:t>
            </w:r>
          </w:p>
        </w:tc>
        <w:tc>
          <w:tcPr>
            <w:tcW w:w="3594" w:type="dxa"/>
            <w:vAlign w:val="center"/>
          </w:tcPr>
          <w:p>
            <w:pPr>
              <w:ind w:firstLine="0" w:firstLineChars="0"/>
              <w:rPr>
                <w:rFonts w:ascii="宋体" w:hAnsi="宋体" w:eastAsia="宋体" w:cs="仿宋_GB2312"/>
                <w:bCs/>
                <w:sz w:val="21"/>
                <w:szCs w:val="21"/>
              </w:rPr>
            </w:pPr>
            <w:r>
              <w:rPr>
                <w:rFonts w:hint="eastAsia" w:ascii="宋体" w:hAnsi="宋体" w:eastAsia="宋体"/>
                <w:color w:val="000000"/>
                <w:sz w:val="21"/>
                <w:szCs w:val="21"/>
              </w:rPr>
              <w:t>本表报送成员公司（不含保险集团（控股）公司）所有与公司签订劳动合同或聘用合同的管理人员信息，包括董事、监事、高管、自行认定的中层管理人员等人员信息。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29" w:type="dxa"/>
            <w:vMerge w:val="restart"/>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公司财务</w:t>
            </w:r>
          </w:p>
        </w:tc>
        <w:tc>
          <w:tcPr>
            <w:tcW w:w="1134" w:type="dxa"/>
            <w:vMerge w:val="restart"/>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集团合并</w:t>
            </w:r>
          </w:p>
        </w:tc>
        <w:tc>
          <w:tcPr>
            <w:tcW w:w="851"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JTHBBBFWNBHBFXXB</w:t>
            </w:r>
          </w:p>
        </w:tc>
        <w:tc>
          <w:tcPr>
            <w:tcW w:w="1276"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集团合并报表范围内被合并方信息表</w:t>
            </w:r>
          </w:p>
        </w:tc>
        <w:tc>
          <w:tcPr>
            <w:tcW w:w="850"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B0101</w:t>
            </w:r>
          </w:p>
        </w:tc>
        <w:tc>
          <w:tcPr>
            <w:tcW w:w="3594" w:type="dxa"/>
            <w:vAlign w:val="center"/>
          </w:tcPr>
          <w:p>
            <w:pPr>
              <w:ind w:firstLine="0" w:firstLineChars="0"/>
              <w:rPr>
                <w:rFonts w:ascii="宋体" w:hAnsi="宋体" w:eastAsia="宋体" w:cs="仿宋_GB2312"/>
                <w:bCs/>
                <w:sz w:val="21"/>
                <w:szCs w:val="21"/>
              </w:rPr>
            </w:pPr>
            <w:r>
              <w:rPr>
                <w:rFonts w:hint="eastAsia" w:ascii="宋体" w:hAnsi="宋体" w:eastAsia="宋体"/>
                <w:color w:val="000000"/>
                <w:sz w:val="21"/>
                <w:szCs w:val="21"/>
              </w:rPr>
              <w:t>本表报送集团合并财务信息统计表范围内公司或其他主体基本信息。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vMerge w:val="continue"/>
            <w:vAlign w:val="center"/>
          </w:tcPr>
          <w:p>
            <w:pPr>
              <w:ind w:firstLine="0" w:firstLineChars="0"/>
              <w:rPr>
                <w:rFonts w:ascii="宋体" w:hAnsi="宋体" w:eastAsia="宋体" w:cs="仿宋_GB2312"/>
                <w:bCs/>
                <w:sz w:val="21"/>
                <w:szCs w:val="21"/>
              </w:rPr>
            </w:pPr>
          </w:p>
        </w:tc>
        <w:tc>
          <w:tcPr>
            <w:tcW w:w="1134" w:type="dxa"/>
            <w:vMerge w:val="continue"/>
            <w:vAlign w:val="center"/>
          </w:tcPr>
          <w:p>
            <w:pPr>
              <w:ind w:firstLine="0" w:firstLineChars="0"/>
              <w:rPr>
                <w:rFonts w:ascii="宋体" w:hAnsi="宋体" w:eastAsia="宋体" w:cs="仿宋_GB2312"/>
                <w:bCs/>
                <w:sz w:val="21"/>
                <w:szCs w:val="21"/>
              </w:rPr>
            </w:pPr>
          </w:p>
        </w:tc>
        <w:tc>
          <w:tcPr>
            <w:tcW w:w="851"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JTHBCWXXTJB</w:t>
            </w:r>
          </w:p>
        </w:tc>
        <w:tc>
          <w:tcPr>
            <w:tcW w:w="1276"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集团合并财务信息统计表</w:t>
            </w:r>
          </w:p>
        </w:tc>
        <w:tc>
          <w:tcPr>
            <w:tcW w:w="850"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B0102</w:t>
            </w:r>
          </w:p>
        </w:tc>
        <w:tc>
          <w:tcPr>
            <w:tcW w:w="3594" w:type="dxa"/>
            <w:vAlign w:val="center"/>
          </w:tcPr>
          <w:p>
            <w:pPr>
              <w:ind w:firstLine="0" w:firstLineChars="0"/>
              <w:rPr>
                <w:rFonts w:ascii="宋体" w:hAnsi="宋体" w:eastAsia="宋体" w:cs="仿宋_GB2312"/>
                <w:bCs/>
                <w:sz w:val="21"/>
                <w:szCs w:val="21"/>
              </w:rPr>
            </w:pPr>
            <w:r>
              <w:rPr>
                <w:rFonts w:hint="eastAsia" w:ascii="宋体" w:hAnsi="宋体" w:eastAsia="宋体"/>
                <w:color w:val="000000"/>
                <w:sz w:val="21"/>
                <w:szCs w:val="21"/>
              </w:rPr>
              <w:t>本表报送集团合并财务信息统计指标。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129" w:type="dxa"/>
            <w:vMerge w:val="continue"/>
            <w:vAlign w:val="center"/>
          </w:tcPr>
          <w:p>
            <w:pPr>
              <w:ind w:firstLine="0" w:firstLineChars="0"/>
              <w:rPr>
                <w:rFonts w:ascii="宋体" w:hAnsi="宋体" w:eastAsia="宋体" w:cs="仿宋_GB2312"/>
                <w:bCs/>
                <w:sz w:val="21"/>
                <w:szCs w:val="21"/>
              </w:rPr>
            </w:pPr>
          </w:p>
        </w:tc>
        <w:tc>
          <w:tcPr>
            <w:tcW w:w="1134" w:type="dxa"/>
            <w:vMerge w:val="restart"/>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保险集团（控股）公司</w:t>
            </w:r>
          </w:p>
        </w:tc>
        <w:tc>
          <w:tcPr>
            <w:tcW w:w="851"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NBKMDZB</w:t>
            </w:r>
          </w:p>
        </w:tc>
        <w:tc>
          <w:tcPr>
            <w:tcW w:w="1276"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内部科目对照表</w:t>
            </w:r>
          </w:p>
        </w:tc>
        <w:tc>
          <w:tcPr>
            <w:tcW w:w="850"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B0201</w:t>
            </w:r>
          </w:p>
        </w:tc>
        <w:tc>
          <w:tcPr>
            <w:tcW w:w="3594" w:type="dxa"/>
            <w:vAlign w:val="center"/>
          </w:tcPr>
          <w:p>
            <w:pPr>
              <w:ind w:firstLine="0" w:firstLineChars="0"/>
              <w:rPr>
                <w:rFonts w:ascii="宋体" w:hAnsi="宋体" w:eastAsia="宋体" w:cs="仿宋_GB2312"/>
                <w:bCs/>
                <w:sz w:val="21"/>
                <w:szCs w:val="21"/>
              </w:rPr>
            </w:pPr>
            <w:r>
              <w:rPr>
                <w:rFonts w:hint="eastAsia" w:ascii="宋体" w:hAnsi="宋体" w:eastAsia="宋体"/>
                <w:color w:val="000000"/>
                <w:sz w:val="21"/>
                <w:szCs w:val="21"/>
              </w:rPr>
              <w:t>本表报送保险集团（控股）公司总账会计全科目每一级科目由下级科目或明细账生成的关系，需要报送全量一级到最末级的会计科目。上级科目编号必须在该表中存在且具有唯一性。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29" w:type="dxa"/>
            <w:vMerge w:val="continue"/>
            <w:vAlign w:val="center"/>
          </w:tcPr>
          <w:p>
            <w:pPr>
              <w:ind w:firstLine="0" w:firstLineChars="0"/>
              <w:rPr>
                <w:rFonts w:ascii="宋体" w:hAnsi="宋体" w:eastAsia="宋体" w:cs="仿宋_GB2312"/>
                <w:bCs/>
                <w:sz w:val="21"/>
                <w:szCs w:val="21"/>
              </w:rPr>
            </w:pPr>
          </w:p>
        </w:tc>
        <w:tc>
          <w:tcPr>
            <w:tcW w:w="1134" w:type="dxa"/>
            <w:vMerge w:val="continue"/>
            <w:vAlign w:val="center"/>
          </w:tcPr>
          <w:p>
            <w:pPr>
              <w:ind w:firstLine="0" w:firstLineChars="0"/>
              <w:rPr>
                <w:rFonts w:ascii="宋体" w:hAnsi="宋体" w:eastAsia="宋体" w:cs="仿宋_GB2312"/>
                <w:bCs/>
                <w:sz w:val="21"/>
                <w:szCs w:val="21"/>
              </w:rPr>
            </w:pPr>
          </w:p>
        </w:tc>
        <w:tc>
          <w:tcPr>
            <w:tcW w:w="851"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ZZKJQKMB</w:t>
            </w:r>
          </w:p>
        </w:tc>
        <w:tc>
          <w:tcPr>
            <w:tcW w:w="1276"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总账会计全科目表</w:t>
            </w:r>
          </w:p>
        </w:tc>
        <w:tc>
          <w:tcPr>
            <w:tcW w:w="850"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B0202</w:t>
            </w:r>
          </w:p>
        </w:tc>
        <w:tc>
          <w:tcPr>
            <w:tcW w:w="3594" w:type="dxa"/>
            <w:vAlign w:val="center"/>
          </w:tcPr>
          <w:p>
            <w:pPr>
              <w:ind w:firstLine="0" w:firstLineChars="0"/>
              <w:rPr>
                <w:rFonts w:ascii="宋体" w:hAnsi="宋体" w:eastAsia="宋体" w:cs="仿宋_GB2312"/>
                <w:bCs/>
                <w:sz w:val="21"/>
                <w:szCs w:val="21"/>
              </w:rPr>
            </w:pPr>
            <w:r>
              <w:rPr>
                <w:rFonts w:hint="eastAsia" w:ascii="宋体" w:hAnsi="宋体" w:eastAsia="宋体"/>
                <w:color w:val="000000"/>
                <w:sz w:val="21"/>
                <w:szCs w:val="21"/>
              </w:rPr>
              <w:t>本表报送保险集团（控股）公司全科目本年累计数据，币种包括人民币汇总、外币分币种汇总。此表与内部科目对照表关系一致。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vMerge w:val="continue"/>
            <w:vAlign w:val="center"/>
          </w:tcPr>
          <w:p>
            <w:pPr>
              <w:ind w:firstLine="0" w:firstLineChars="0"/>
              <w:rPr>
                <w:rFonts w:ascii="宋体" w:hAnsi="宋体" w:eastAsia="宋体" w:cs="仿宋_GB2312"/>
                <w:bCs/>
                <w:sz w:val="21"/>
                <w:szCs w:val="21"/>
              </w:rPr>
            </w:pPr>
          </w:p>
        </w:tc>
        <w:tc>
          <w:tcPr>
            <w:tcW w:w="1134" w:type="dxa"/>
            <w:vMerge w:val="continue"/>
            <w:vAlign w:val="center"/>
          </w:tcPr>
          <w:p>
            <w:pPr>
              <w:ind w:firstLine="0" w:firstLineChars="0"/>
              <w:rPr>
                <w:rFonts w:ascii="宋体" w:hAnsi="宋体" w:eastAsia="宋体" w:cs="仿宋_GB2312"/>
                <w:bCs/>
                <w:sz w:val="21"/>
                <w:szCs w:val="21"/>
              </w:rPr>
            </w:pPr>
          </w:p>
        </w:tc>
        <w:tc>
          <w:tcPr>
            <w:tcW w:w="851"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KJPZXXB</w:t>
            </w:r>
          </w:p>
        </w:tc>
        <w:tc>
          <w:tcPr>
            <w:tcW w:w="1276"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会计凭证信息表</w:t>
            </w:r>
          </w:p>
        </w:tc>
        <w:tc>
          <w:tcPr>
            <w:tcW w:w="850"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B0203</w:t>
            </w:r>
          </w:p>
        </w:tc>
        <w:tc>
          <w:tcPr>
            <w:tcW w:w="3594" w:type="dxa"/>
            <w:vAlign w:val="center"/>
          </w:tcPr>
          <w:p>
            <w:pPr>
              <w:ind w:firstLine="0" w:firstLineChars="0"/>
              <w:rPr>
                <w:rFonts w:ascii="宋体" w:hAnsi="宋体" w:eastAsia="宋体" w:cs="仿宋_GB2312"/>
                <w:bCs/>
                <w:sz w:val="21"/>
                <w:szCs w:val="21"/>
              </w:rPr>
            </w:pPr>
            <w:r>
              <w:rPr>
                <w:rFonts w:hint="eastAsia" w:ascii="宋体" w:hAnsi="宋体" w:eastAsia="宋体"/>
                <w:color w:val="000000"/>
                <w:sz w:val="21"/>
                <w:szCs w:val="21"/>
              </w:rPr>
              <w:t>本表报送保险集团（控股）公司当期所有会计凭证。填报全科目凭证信息。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vMerge w:val="continue"/>
            <w:vAlign w:val="center"/>
          </w:tcPr>
          <w:p>
            <w:pPr>
              <w:ind w:firstLine="0" w:firstLineChars="0"/>
              <w:rPr>
                <w:rFonts w:ascii="宋体" w:hAnsi="宋体" w:eastAsia="宋体" w:cs="仿宋_GB2312"/>
                <w:bCs/>
                <w:sz w:val="21"/>
                <w:szCs w:val="21"/>
              </w:rPr>
            </w:pPr>
          </w:p>
        </w:tc>
        <w:tc>
          <w:tcPr>
            <w:tcW w:w="1134" w:type="dxa"/>
            <w:vMerge w:val="continue"/>
            <w:vAlign w:val="center"/>
          </w:tcPr>
          <w:p>
            <w:pPr>
              <w:ind w:firstLine="0" w:firstLineChars="0"/>
              <w:rPr>
                <w:rFonts w:ascii="宋体" w:hAnsi="宋体" w:eastAsia="宋体" w:cs="仿宋_GB2312"/>
                <w:bCs/>
                <w:sz w:val="21"/>
                <w:szCs w:val="21"/>
              </w:rPr>
            </w:pPr>
          </w:p>
        </w:tc>
        <w:tc>
          <w:tcPr>
            <w:tcW w:w="851"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YHZHXXB</w:t>
            </w:r>
          </w:p>
        </w:tc>
        <w:tc>
          <w:tcPr>
            <w:tcW w:w="1276"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银行账户信息表</w:t>
            </w:r>
          </w:p>
        </w:tc>
        <w:tc>
          <w:tcPr>
            <w:tcW w:w="850"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B0204</w:t>
            </w:r>
          </w:p>
        </w:tc>
        <w:tc>
          <w:tcPr>
            <w:tcW w:w="3594" w:type="dxa"/>
            <w:vAlign w:val="center"/>
          </w:tcPr>
          <w:p>
            <w:pPr>
              <w:ind w:firstLine="0" w:firstLineChars="0"/>
              <w:rPr>
                <w:rFonts w:ascii="宋体" w:hAnsi="宋体" w:eastAsia="宋体" w:cs="仿宋_GB2312"/>
                <w:bCs/>
                <w:sz w:val="21"/>
                <w:szCs w:val="21"/>
              </w:rPr>
            </w:pPr>
            <w:r>
              <w:rPr>
                <w:rFonts w:hint="eastAsia" w:ascii="宋体" w:hAnsi="宋体" w:eastAsia="宋体"/>
                <w:color w:val="000000"/>
                <w:sz w:val="21"/>
                <w:szCs w:val="21"/>
              </w:rPr>
              <w:t>本表报送保险集团（控股）公司所有银行账户信息。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vMerge w:val="continue"/>
            <w:vAlign w:val="center"/>
          </w:tcPr>
          <w:p>
            <w:pPr>
              <w:ind w:firstLine="0" w:firstLineChars="0"/>
              <w:rPr>
                <w:rFonts w:ascii="宋体" w:hAnsi="宋体" w:eastAsia="宋体" w:cs="仿宋_GB2312"/>
                <w:bCs/>
                <w:sz w:val="21"/>
                <w:szCs w:val="21"/>
              </w:rPr>
            </w:pPr>
          </w:p>
        </w:tc>
        <w:tc>
          <w:tcPr>
            <w:tcW w:w="1134" w:type="dxa"/>
            <w:vMerge w:val="continue"/>
            <w:vAlign w:val="center"/>
          </w:tcPr>
          <w:p>
            <w:pPr>
              <w:ind w:firstLine="0" w:firstLineChars="0"/>
              <w:rPr>
                <w:rFonts w:ascii="宋体" w:hAnsi="宋体" w:eastAsia="宋体" w:cs="仿宋_GB2312"/>
                <w:bCs/>
                <w:sz w:val="21"/>
                <w:szCs w:val="21"/>
              </w:rPr>
            </w:pPr>
          </w:p>
        </w:tc>
        <w:tc>
          <w:tcPr>
            <w:tcW w:w="851"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CWXXTJB</w:t>
            </w:r>
          </w:p>
        </w:tc>
        <w:tc>
          <w:tcPr>
            <w:tcW w:w="1276"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财务信息统计表</w:t>
            </w:r>
          </w:p>
        </w:tc>
        <w:tc>
          <w:tcPr>
            <w:tcW w:w="850"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B0205</w:t>
            </w:r>
          </w:p>
        </w:tc>
        <w:tc>
          <w:tcPr>
            <w:tcW w:w="3594" w:type="dxa"/>
            <w:vAlign w:val="center"/>
          </w:tcPr>
          <w:p>
            <w:pPr>
              <w:ind w:firstLine="0" w:firstLineChars="0"/>
              <w:rPr>
                <w:rFonts w:ascii="宋体" w:hAnsi="宋体" w:eastAsia="宋体" w:cs="仿宋_GB2312"/>
                <w:bCs/>
                <w:sz w:val="21"/>
                <w:szCs w:val="21"/>
              </w:rPr>
            </w:pPr>
            <w:r>
              <w:rPr>
                <w:rFonts w:hint="eastAsia" w:ascii="宋体" w:hAnsi="宋体" w:eastAsia="宋体"/>
                <w:color w:val="000000"/>
                <w:sz w:val="21"/>
                <w:szCs w:val="21"/>
              </w:rPr>
              <w:t>本表报送保险集团（控股）公司当年财务信息统计指标。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129" w:type="dxa"/>
            <w:vMerge w:val="continue"/>
            <w:vAlign w:val="center"/>
          </w:tcPr>
          <w:p>
            <w:pPr>
              <w:ind w:firstLine="0" w:firstLineChars="0"/>
              <w:rPr>
                <w:rFonts w:ascii="宋体" w:hAnsi="宋体" w:eastAsia="宋体" w:cs="仿宋_GB2312"/>
                <w:bCs/>
                <w:sz w:val="21"/>
                <w:szCs w:val="21"/>
              </w:rPr>
            </w:pPr>
          </w:p>
        </w:tc>
        <w:tc>
          <w:tcPr>
            <w:tcW w:w="1134" w:type="dxa"/>
            <w:vMerge w:val="restart"/>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成员公司</w:t>
            </w:r>
            <w:r>
              <w:rPr>
                <w:rFonts w:hint="eastAsia" w:ascii="宋体" w:hAnsi="宋体" w:eastAsia="宋体" w:cs="仿宋_GB2312"/>
                <w:bCs/>
                <w:sz w:val="21"/>
                <w:szCs w:val="21"/>
              </w:rPr>
              <w:br w:type="textWrapping"/>
            </w:r>
            <w:r>
              <w:rPr>
                <w:rFonts w:hint="eastAsia" w:ascii="宋体" w:hAnsi="宋体" w:eastAsia="宋体" w:cs="仿宋_GB2312"/>
                <w:bCs/>
                <w:sz w:val="21"/>
                <w:szCs w:val="21"/>
              </w:rPr>
              <w:t>（不含保险集团（控股）公司）</w:t>
            </w:r>
          </w:p>
        </w:tc>
        <w:tc>
          <w:tcPr>
            <w:tcW w:w="851"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CYGSNBKMDZB</w:t>
            </w:r>
          </w:p>
        </w:tc>
        <w:tc>
          <w:tcPr>
            <w:tcW w:w="1276"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成员公司内部科目对照表</w:t>
            </w:r>
          </w:p>
        </w:tc>
        <w:tc>
          <w:tcPr>
            <w:tcW w:w="850"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B0301</w:t>
            </w:r>
          </w:p>
        </w:tc>
        <w:tc>
          <w:tcPr>
            <w:tcW w:w="3594" w:type="dxa"/>
            <w:vAlign w:val="center"/>
          </w:tcPr>
          <w:p>
            <w:pPr>
              <w:ind w:firstLine="0" w:firstLineChars="0"/>
              <w:rPr>
                <w:rFonts w:ascii="宋体" w:hAnsi="宋体" w:eastAsia="宋体" w:cs="仿宋_GB2312"/>
                <w:bCs/>
                <w:sz w:val="21"/>
                <w:szCs w:val="21"/>
              </w:rPr>
            </w:pPr>
            <w:r>
              <w:rPr>
                <w:rFonts w:hint="eastAsia" w:ascii="宋体" w:hAnsi="宋体" w:eastAsia="宋体"/>
                <w:color w:val="000000"/>
                <w:sz w:val="21"/>
                <w:szCs w:val="21"/>
              </w:rPr>
              <w:t>本表报送集团合并财务信息统计表范围内成员公司（不含保险集团（控股）公司、境外公司），总账会计全科目每一级科目由下级科目或明细账生成的关系，需要报送全量一级到最末级的会计科目。上级科目编号必须在该表中存在且具有唯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29" w:type="dxa"/>
            <w:vMerge w:val="continue"/>
            <w:vAlign w:val="center"/>
          </w:tcPr>
          <w:p>
            <w:pPr>
              <w:ind w:firstLine="0" w:firstLineChars="0"/>
              <w:rPr>
                <w:rFonts w:ascii="宋体" w:hAnsi="宋体" w:eastAsia="宋体" w:cs="仿宋_GB2312"/>
                <w:bCs/>
                <w:sz w:val="21"/>
                <w:szCs w:val="21"/>
              </w:rPr>
            </w:pPr>
          </w:p>
        </w:tc>
        <w:tc>
          <w:tcPr>
            <w:tcW w:w="1134" w:type="dxa"/>
            <w:vMerge w:val="continue"/>
            <w:vAlign w:val="center"/>
          </w:tcPr>
          <w:p>
            <w:pPr>
              <w:ind w:firstLine="0" w:firstLineChars="0"/>
              <w:rPr>
                <w:rFonts w:ascii="宋体" w:hAnsi="宋体" w:eastAsia="宋体" w:cs="仿宋_GB2312"/>
                <w:bCs/>
                <w:sz w:val="21"/>
                <w:szCs w:val="21"/>
              </w:rPr>
            </w:pPr>
          </w:p>
        </w:tc>
        <w:tc>
          <w:tcPr>
            <w:tcW w:w="851"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CYGSZZKJQKMB</w:t>
            </w:r>
          </w:p>
        </w:tc>
        <w:tc>
          <w:tcPr>
            <w:tcW w:w="1276"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成员公司总账会计全科目表</w:t>
            </w:r>
          </w:p>
        </w:tc>
        <w:tc>
          <w:tcPr>
            <w:tcW w:w="850"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B0302</w:t>
            </w:r>
          </w:p>
        </w:tc>
        <w:tc>
          <w:tcPr>
            <w:tcW w:w="3594" w:type="dxa"/>
            <w:vAlign w:val="center"/>
          </w:tcPr>
          <w:p>
            <w:pPr>
              <w:ind w:firstLine="0" w:firstLineChars="0"/>
              <w:rPr>
                <w:rFonts w:ascii="宋体" w:hAnsi="宋体" w:eastAsia="宋体" w:cs="仿宋_GB2312"/>
                <w:bCs/>
                <w:sz w:val="21"/>
                <w:szCs w:val="21"/>
              </w:rPr>
            </w:pPr>
            <w:r>
              <w:rPr>
                <w:rFonts w:hint="eastAsia" w:ascii="宋体" w:hAnsi="宋体" w:eastAsia="宋体"/>
                <w:color w:val="000000"/>
                <w:sz w:val="21"/>
                <w:szCs w:val="21"/>
              </w:rPr>
              <w:t>本表报送集团合并财务信息统计表范围内成员公司（不含保险集团（控股）公司、境外公司）全科目报表数据，币种包括人民币汇总、外币分币种汇总。此表与内部科目对照表关系一致。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vMerge w:val="continue"/>
            <w:vAlign w:val="center"/>
          </w:tcPr>
          <w:p>
            <w:pPr>
              <w:ind w:firstLine="0" w:firstLineChars="0"/>
              <w:rPr>
                <w:rFonts w:ascii="宋体" w:hAnsi="宋体" w:eastAsia="宋体" w:cs="仿宋_GB2312"/>
                <w:bCs/>
                <w:sz w:val="21"/>
                <w:szCs w:val="21"/>
              </w:rPr>
            </w:pPr>
          </w:p>
        </w:tc>
        <w:tc>
          <w:tcPr>
            <w:tcW w:w="1134" w:type="dxa"/>
            <w:vMerge w:val="continue"/>
            <w:vAlign w:val="center"/>
          </w:tcPr>
          <w:p>
            <w:pPr>
              <w:ind w:firstLine="0" w:firstLineChars="0"/>
              <w:rPr>
                <w:rFonts w:ascii="宋体" w:hAnsi="宋体" w:eastAsia="宋体" w:cs="仿宋_GB2312"/>
                <w:bCs/>
                <w:sz w:val="21"/>
                <w:szCs w:val="21"/>
              </w:rPr>
            </w:pPr>
          </w:p>
        </w:tc>
        <w:tc>
          <w:tcPr>
            <w:tcW w:w="851"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CYGSYHZHXXB</w:t>
            </w:r>
          </w:p>
        </w:tc>
        <w:tc>
          <w:tcPr>
            <w:tcW w:w="1276"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成员公司银行账户信息表</w:t>
            </w:r>
          </w:p>
        </w:tc>
        <w:tc>
          <w:tcPr>
            <w:tcW w:w="850"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B0303</w:t>
            </w:r>
          </w:p>
        </w:tc>
        <w:tc>
          <w:tcPr>
            <w:tcW w:w="3594" w:type="dxa"/>
            <w:vAlign w:val="center"/>
          </w:tcPr>
          <w:p>
            <w:pPr>
              <w:ind w:firstLine="0" w:firstLineChars="0"/>
              <w:rPr>
                <w:rFonts w:ascii="宋体" w:hAnsi="宋体" w:eastAsia="宋体" w:cs="仿宋_GB2312"/>
                <w:bCs/>
                <w:sz w:val="21"/>
                <w:szCs w:val="21"/>
              </w:rPr>
            </w:pPr>
            <w:r>
              <w:rPr>
                <w:rFonts w:hint="eastAsia" w:ascii="宋体" w:hAnsi="宋体" w:eastAsia="宋体"/>
                <w:color w:val="000000"/>
                <w:sz w:val="21"/>
                <w:szCs w:val="21"/>
              </w:rPr>
              <w:t>本表报送集团合并财务信息统计表范围内成员公司（不含保险集团（控股）公司、境外公司）所有银行账户信息。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vMerge w:val="continue"/>
            <w:vAlign w:val="center"/>
          </w:tcPr>
          <w:p>
            <w:pPr>
              <w:ind w:firstLine="0" w:firstLineChars="0"/>
              <w:rPr>
                <w:rFonts w:ascii="宋体" w:hAnsi="宋体" w:eastAsia="宋体" w:cs="仿宋_GB2312"/>
                <w:bCs/>
                <w:sz w:val="21"/>
                <w:szCs w:val="21"/>
              </w:rPr>
            </w:pPr>
          </w:p>
        </w:tc>
        <w:tc>
          <w:tcPr>
            <w:tcW w:w="1134" w:type="dxa"/>
            <w:vMerge w:val="continue"/>
            <w:vAlign w:val="center"/>
          </w:tcPr>
          <w:p>
            <w:pPr>
              <w:ind w:firstLine="0" w:firstLineChars="0"/>
              <w:rPr>
                <w:rFonts w:ascii="宋体" w:hAnsi="宋体" w:eastAsia="宋体" w:cs="仿宋_GB2312"/>
                <w:bCs/>
                <w:sz w:val="21"/>
                <w:szCs w:val="21"/>
              </w:rPr>
            </w:pPr>
          </w:p>
        </w:tc>
        <w:tc>
          <w:tcPr>
            <w:tcW w:w="851"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CYGSCWXXTJB</w:t>
            </w:r>
          </w:p>
        </w:tc>
        <w:tc>
          <w:tcPr>
            <w:tcW w:w="1276"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成员公司财务信息统计表</w:t>
            </w:r>
          </w:p>
        </w:tc>
        <w:tc>
          <w:tcPr>
            <w:tcW w:w="850"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B0304</w:t>
            </w:r>
          </w:p>
        </w:tc>
        <w:tc>
          <w:tcPr>
            <w:tcW w:w="3594" w:type="dxa"/>
            <w:vAlign w:val="center"/>
          </w:tcPr>
          <w:p>
            <w:pPr>
              <w:ind w:firstLine="0" w:firstLineChars="0"/>
              <w:rPr>
                <w:rFonts w:ascii="宋体" w:hAnsi="宋体" w:eastAsia="宋体" w:cs="仿宋_GB2312"/>
                <w:bCs/>
                <w:sz w:val="21"/>
                <w:szCs w:val="21"/>
              </w:rPr>
            </w:pPr>
            <w:r>
              <w:rPr>
                <w:rFonts w:hint="eastAsia" w:ascii="宋体" w:hAnsi="宋体" w:eastAsia="宋体"/>
                <w:color w:val="000000"/>
                <w:sz w:val="21"/>
                <w:szCs w:val="21"/>
              </w:rPr>
              <w:t>本表报送集团合并财务信息统计表范围内成员公司（不含保险集团（控股）公司、境外公司）财务信息统计指标。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29" w:type="dxa"/>
            <w:vMerge w:val="restart"/>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保险集团（控股）公司业务</w:t>
            </w:r>
          </w:p>
        </w:tc>
        <w:tc>
          <w:tcPr>
            <w:tcW w:w="1134" w:type="dxa"/>
            <w:vMerge w:val="restart"/>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自主投资</w:t>
            </w:r>
          </w:p>
        </w:tc>
        <w:tc>
          <w:tcPr>
            <w:tcW w:w="851"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ZZTZZHXXB</w:t>
            </w:r>
          </w:p>
        </w:tc>
        <w:tc>
          <w:tcPr>
            <w:tcW w:w="1276"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自主投资账户信息表</w:t>
            </w:r>
          </w:p>
        </w:tc>
        <w:tc>
          <w:tcPr>
            <w:tcW w:w="850"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C0101</w:t>
            </w:r>
          </w:p>
        </w:tc>
        <w:tc>
          <w:tcPr>
            <w:tcW w:w="3594" w:type="dxa"/>
            <w:vAlign w:val="center"/>
          </w:tcPr>
          <w:p>
            <w:pPr>
              <w:ind w:firstLine="0" w:firstLineChars="0"/>
              <w:rPr>
                <w:rFonts w:ascii="宋体" w:hAnsi="宋体" w:eastAsia="宋体" w:cs="仿宋_GB2312"/>
                <w:bCs/>
                <w:sz w:val="21"/>
                <w:szCs w:val="21"/>
              </w:rPr>
            </w:pPr>
            <w:r>
              <w:rPr>
                <w:rFonts w:hint="eastAsia" w:ascii="宋体" w:hAnsi="宋体" w:eastAsia="宋体"/>
                <w:color w:val="000000"/>
                <w:sz w:val="21"/>
                <w:szCs w:val="21"/>
              </w:rPr>
              <w:t>本表报送保险集团（控股）公司自主投资账户信息，包括账户性质、账户基本信息、账户运作信息、账户收入信息、账户费用等信息。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29" w:type="dxa"/>
            <w:vMerge w:val="continue"/>
            <w:vAlign w:val="center"/>
          </w:tcPr>
          <w:p>
            <w:pPr>
              <w:ind w:firstLine="0" w:firstLineChars="0"/>
              <w:rPr>
                <w:rFonts w:ascii="宋体" w:hAnsi="宋体" w:eastAsia="宋体" w:cs="仿宋_GB2312"/>
                <w:bCs/>
                <w:sz w:val="21"/>
                <w:szCs w:val="21"/>
              </w:rPr>
            </w:pPr>
          </w:p>
        </w:tc>
        <w:tc>
          <w:tcPr>
            <w:tcW w:w="1134" w:type="dxa"/>
            <w:vMerge w:val="continue"/>
            <w:vAlign w:val="center"/>
          </w:tcPr>
          <w:p>
            <w:pPr>
              <w:ind w:firstLine="0" w:firstLineChars="0"/>
              <w:rPr>
                <w:rFonts w:ascii="宋体" w:hAnsi="宋体" w:eastAsia="宋体" w:cs="仿宋_GB2312"/>
                <w:bCs/>
                <w:sz w:val="21"/>
                <w:szCs w:val="21"/>
              </w:rPr>
            </w:pPr>
          </w:p>
        </w:tc>
        <w:tc>
          <w:tcPr>
            <w:tcW w:w="851"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ZZTZJYLSB</w:t>
            </w:r>
          </w:p>
        </w:tc>
        <w:tc>
          <w:tcPr>
            <w:tcW w:w="1276"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自主投资交易流水表</w:t>
            </w:r>
          </w:p>
        </w:tc>
        <w:tc>
          <w:tcPr>
            <w:tcW w:w="850"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C0102</w:t>
            </w:r>
          </w:p>
        </w:tc>
        <w:tc>
          <w:tcPr>
            <w:tcW w:w="3594" w:type="dxa"/>
            <w:vAlign w:val="center"/>
          </w:tcPr>
          <w:p>
            <w:pPr>
              <w:ind w:firstLine="0" w:firstLineChars="0"/>
              <w:rPr>
                <w:rFonts w:ascii="宋体" w:hAnsi="宋体" w:eastAsia="宋体" w:cs="仿宋_GB2312"/>
                <w:bCs/>
                <w:sz w:val="21"/>
                <w:szCs w:val="21"/>
              </w:rPr>
            </w:pPr>
            <w:r>
              <w:rPr>
                <w:rFonts w:hint="eastAsia" w:ascii="宋体" w:hAnsi="宋体" w:eastAsia="宋体"/>
                <w:color w:val="000000"/>
                <w:sz w:val="21"/>
                <w:szCs w:val="21"/>
              </w:rPr>
              <w:t>本表报送保险集团（控股）公司当期自主投资交易流水，包括投资资产类型、投资资产名称、交易对手、交易金额等信息。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vMerge w:val="continue"/>
            <w:vAlign w:val="center"/>
          </w:tcPr>
          <w:p>
            <w:pPr>
              <w:ind w:firstLine="0" w:firstLineChars="0"/>
              <w:rPr>
                <w:rFonts w:ascii="宋体" w:hAnsi="宋体" w:eastAsia="宋体" w:cs="仿宋_GB2312"/>
                <w:bCs/>
                <w:sz w:val="21"/>
                <w:szCs w:val="21"/>
              </w:rPr>
            </w:pPr>
          </w:p>
        </w:tc>
        <w:tc>
          <w:tcPr>
            <w:tcW w:w="1134" w:type="dxa"/>
            <w:vMerge w:val="continue"/>
            <w:vAlign w:val="center"/>
          </w:tcPr>
          <w:p>
            <w:pPr>
              <w:ind w:firstLine="0" w:firstLineChars="0"/>
              <w:rPr>
                <w:rFonts w:ascii="宋体" w:hAnsi="宋体" w:eastAsia="宋体" w:cs="仿宋_GB2312"/>
                <w:bCs/>
                <w:sz w:val="21"/>
                <w:szCs w:val="21"/>
              </w:rPr>
            </w:pPr>
          </w:p>
        </w:tc>
        <w:tc>
          <w:tcPr>
            <w:tcW w:w="851"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ZZTZCCB</w:t>
            </w:r>
          </w:p>
        </w:tc>
        <w:tc>
          <w:tcPr>
            <w:tcW w:w="1276"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自主投资持仓表</w:t>
            </w:r>
          </w:p>
        </w:tc>
        <w:tc>
          <w:tcPr>
            <w:tcW w:w="850"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C0103</w:t>
            </w:r>
          </w:p>
        </w:tc>
        <w:tc>
          <w:tcPr>
            <w:tcW w:w="3594" w:type="dxa"/>
            <w:vAlign w:val="center"/>
          </w:tcPr>
          <w:p>
            <w:pPr>
              <w:ind w:firstLine="0" w:firstLineChars="0"/>
              <w:rPr>
                <w:rFonts w:ascii="宋体" w:hAnsi="宋体" w:eastAsia="宋体" w:cs="仿宋_GB2312"/>
                <w:bCs/>
                <w:sz w:val="21"/>
                <w:szCs w:val="21"/>
              </w:rPr>
            </w:pPr>
            <w:r>
              <w:rPr>
                <w:rFonts w:hint="eastAsia" w:ascii="宋体" w:hAnsi="宋体" w:eastAsia="宋体"/>
                <w:color w:val="000000"/>
                <w:sz w:val="21"/>
                <w:szCs w:val="21"/>
              </w:rPr>
              <w:t>本表报送保险集团（控股）公司本年自主投资持仓信息。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vMerge w:val="continue"/>
            <w:vAlign w:val="center"/>
          </w:tcPr>
          <w:p>
            <w:pPr>
              <w:ind w:firstLine="0" w:firstLineChars="0"/>
              <w:rPr>
                <w:rFonts w:ascii="宋体" w:hAnsi="宋体" w:eastAsia="宋体" w:cs="仿宋_GB2312"/>
                <w:bCs/>
                <w:sz w:val="21"/>
                <w:szCs w:val="21"/>
              </w:rPr>
            </w:pPr>
          </w:p>
        </w:tc>
        <w:tc>
          <w:tcPr>
            <w:tcW w:w="1134" w:type="dxa"/>
            <w:vMerge w:val="continue"/>
            <w:vAlign w:val="center"/>
          </w:tcPr>
          <w:p>
            <w:pPr>
              <w:ind w:firstLine="0" w:firstLineChars="0"/>
              <w:rPr>
                <w:rFonts w:ascii="宋体" w:hAnsi="宋体" w:eastAsia="宋体" w:cs="仿宋_GB2312"/>
                <w:bCs/>
                <w:sz w:val="21"/>
                <w:szCs w:val="21"/>
              </w:rPr>
            </w:pPr>
          </w:p>
        </w:tc>
        <w:tc>
          <w:tcPr>
            <w:tcW w:w="851"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XTJHJBXXB</w:t>
            </w:r>
          </w:p>
        </w:tc>
        <w:tc>
          <w:tcPr>
            <w:tcW w:w="1276"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信托计划基本信息表</w:t>
            </w:r>
          </w:p>
        </w:tc>
        <w:tc>
          <w:tcPr>
            <w:tcW w:w="850"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C0104</w:t>
            </w:r>
          </w:p>
        </w:tc>
        <w:tc>
          <w:tcPr>
            <w:tcW w:w="3594" w:type="dxa"/>
            <w:vAlign w:val="center"/>
          </w:tcPr>
          <w:p>
            <w:pPr>
              <w:ind w:firstLine="0" w:firstLineChars="0"/>
              <w:rPr>
                <w:rFonts w:ascii="宋体" w:hAnsi="宋体" w:eastAsia="宋体" w:cs="仿宋_GB2312"/>
                <w:bCs/>
                <w:sz w:val="21"/>
                <w:szCs w:val="21"/>
              </w:rPr>
            </w:pPr>
            <w:r>
              <w:rPr>
                <w:rFonts w:hint="eastAsia" w:ascii="宋体" w:hAnsi="宋体" w:eastAsia="宋体"/>
                <w:color w:val="000000"/>
                <w:sz w:val="21"/>
                <w:szCs w:val="21"/>
              </w:rPr>
              <w:t>本表报送保险集团（控股）公司持有信托计划基本信息。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vMerge w:val="continue"/>
            <w:vAlign w:val="center"/>
          </w:tcPr>
          <w:p>
            <w:pPr>
              <w:ind w:firstLine="0" w:firstLineChars="0"/>
              <w:rPr>
                <w:rFonts w:ascii="宋体" w:hAnsi="宋体" w:eastAsia="宋体" w:cs="仿宋_GB2312"/>
                <w:bCs/>
                <w:sz w:val="21"/>
                <w:szCs w:val="21"/>
              </w:rPr>
            </w:pPr>
          </w:p>
        </w:tc>
        <w:tc>
          <w:tcPr>
            <w:tcW w:w="1134" w:type="dxa"/>
            <w:vMerge w:val="continue"/>
            <w:vAlign w:val="center"/>
          </w:tcPr>
          <w:p>
            <w:pPr>
              <w:ind w:firstLine="0" w:firstLineChars="0"/>
              <w:rPr>
                <w:rFonts w:ascii="宋体" w:hAnsi="宋体" w:eastAsia="宋体" w:cs="仿宋_GB2312"/>
                <w:bCs/>
                <w:sz w:val="21"/>
                <w:szCs w:val="21"/>
              </w:rPr>
            </w:pPr>
          </w:p>
        </w:tc>
        <w:tc>
          <w:tcPr>
            <w:tcW w:w="851"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XTJHRZRXXB</w:t>
            </w:r>
          </w:p>
        </w:tc>
        <w:tc>
          <w:tcPr>
            <w:tcW w:w="1276"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信托计划融资人信息表</w:t>
            </w:r>
          </w:p>
        </w:tc>
        <w:tc>
          <w:tcPr>
            <w:tcW w:w="850"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C0105</w:t>
            </w:r>
          </w:p>
        </w:tc>
        <w:tc>
          <w:tcPr>
            <w:tcW w:w="3594" w:type="dxa"/>
            <w:vAlign w:val="center"/>
          </w:tcPr>
          <w:p>
            <w:pPr>
              <w:ind w:firstLine="0" w:firstLineChars="0"/>
              <w:rPr>
                <w:rFonts w:ascii="宋体" w:hAnsi="宋体" w:eastAsia="宋体" w:cs="仿宋_GB2312"/>
                <w:bCs/>
                <w:sz w:val="21"/>
                <w:szCs w:val="21"/>
              </w:rPr>
            </w:pPr>
            <w:r>
              <w:rPr>
                <w:rFonts w:hint="eastAsia" w:ascii="宋体" w:hAnsi="宋体" w:eastAsia="宋体"/>
                <w:color w:val="000000"/>
                <w:sz w:val="21"/>
                <w:szCs w:val="21"/>
              </w:rPr>
              <w:t>本表报送保险集团（控股）公司持有信托计划融资人相关信息。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29" w:type="dxa"/>
            <w:vMerge w:val="continue"/>
            <w:vAlign w:val="center"/>
          </w:tcPr>
          <w:p>
            <w:pPr>
              <w:ind w:firstLine="0" w:firstLineChars="0"/>
              <w:rPr>
                <w:rFonts w:ascii="宋体" w:hAnsi="宋体" w:eastAsia="宋体" w:cs="仿宋_GB2312"/>
                <w:bCs/>
                <w:sz w:val="21"/>
                <w:szCs w:val="21"/>
              </w:rPr>
            </w:pPr>
          </w:p>
        </w:tc>
        <w:tc>
          <w:tcPr>
            <w:tcW w:w="1134" w:type="dxa"/>
            <w:vMerge w:val="continue"/>
            <w:vAlign w:val="center"/>
          </w:tcPr>
          <w:p>
            <w:pPr>
              <w:ind w:firstLine="0" w:firstLineChars="0"/>
              <w:rPr>
                <w:rFonts w:ascii="宋体" w:hAnsi="宋体" w:eastAsia="宋体" w:cs="仿宋_GB2312"/>
                <w:bCs/>
                <w:sz w:val="21"/>
                <w:szCs w:val="21"/>
              </w:rPr>
            </w:pPr>
          </w:p>
        </w:tc>
        <w:tc>
          <w:tcPr>
            <w:tcW w:w="851"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CKZSSXXB</w:t>
            </w:r>
          </w:p>
        </w:tc>
        <w:tc>
          <w:tcPr>
            <w:tcW w:w="1276"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存款证实书信息表</w:t>
            </w:r>
          </w:p>
        </w:tc>
        <w:tc>
          <w:tcPr>
            <w:tcW w:w="850"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C0106</w:t>
            </w:r>
          </w:p>
        </w:tc>
        <w:tc>
          <w:tcPr>
            <w:tcW w:w="3594" w:type="dxa"/>
            <w:vAlign w:val="center"/>
          </w:tcPr>
          <w:p>
            <w:pPr>
              <w:ind w:firstLine="0" w:firstLineChars="0"/>
              <w:rPr>
                <w:rFonts w:ascii="宋体" w:hAnsi="宋体" w:eastAsia="宋体" w:cs="仿宋_GB2312"/>
                <w:bCs/>
                <w:sz w:val="21"/>
                <w:szCs w:val="21"/>
              </w:rPr>
            </w:pPr>
            <w:r>
              <w:rPr>
                <w:rFonts w:hint="eastAsia" w:ascii="宋体" w:hAnsi="宋体" w:eastAsia="宋体"/>
                <w:color w:val="000000"/>
                <w:sz w:val="21"/>
                <w:szCs w:val="21"/>
              </w:rPr>
              <w:t>本表报送保险集团（控股）公司持有银行存款证实书基本信息、信用风险、交易规模以及质押相关信息。不包含活期存款。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vMerge w:val="continue"/>
            <w:vAlign w:val="center"/>
          </w:tcPr>
          <w:p>
            <w:pPr>
              <w:ind w:firstLine="0" w:firstLineChars="0"/>
              <w:rPr>
                <w:rFonts w:ascii="宋体" w:hAnsi="宋体" w:eastAsia="宋体" w:cs="仿宋_GB2312"/>
                <w:bCs/>
                <w:sz w:val="21"/>
                <w:szCs w:val="21"/>
              </w:rPr>
            </w:pPr>
          </w:p>
        </w:tc>
        <w:tc>
          <w:tcPr>
            <w:tcW w:w="1134" w:type="dxa"/>
            <w:vMerge w:val="continue"/>
            <w:vAlign w:val="center"/>
          </w:tcPr>
          <w:p>
            <w:pPr>
              <w:ind w:firstLine="0" w:firstLineChars="0"/>
              <w:rPr>
                <w:rFonts w:ascii="宋体" w:hAnsi="宋体" w:eastAsia="宋体" w:cs="仿宋_GB2312"/>
                <w:bCs/>
                <w:sz w:val="21"/>
                <w:szCs w:val="21"/>
              </w:rPr>
            </w:pPr>
          </w:p>
        </w:tc>
        <w:tc>
          <w:tcPr>
            <w:tcW w:w="851"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LCCPXXB</w:t>
            </w:r>
          </w:p>
        </w:tc>
        <w:tc>
          <w:tcPr>
            <w:tcW w:w="1276"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理财产品信息表</w:t>
            </w:r>
          </w:p>
        </w:tc>
        <w:tc>
          <w:tcPr>
            <w:tcW w:w="850"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C0107</w:t>
            </w:r>
          </w:p>
        </w:tc>
        <w:tc>
          <w:tcPr>
            <w:tcW w:w="3594" w:type="dxa"/>
            <w:vAlign w:val="center"/>
          </w:tcPr>
          <w:p>
            <w:pPr>
              <w:ind w:firstLine="0" w:firstLineChars="0"/>
              <w:rPr>
                <w:rFonts w:ascii="宋体" w:hAnsi="宋体" w:eastAsia="宋体" w:cs="仿宋_GB2312"/>
                <w:bCs/>
                <w:sz w:val="21"/>
                <w:szCs w:val="21"/>
              </w:rPr>
            </w:pPr>
            <w:r>
              <w:rPr>
                <w:rFonts w:hint="eastAsia" w:ascii="宋体" w:hAnsi="宋体" w:eastAsia="宋体"/>
                <w:color w:val="000000"/>
                <w:sz w:val="21"/>
                <w:szCs w:val="21"/>
              </w:rPr>
              <w:t>本表报送保险集团（控股）公司持有的银行及银行理财子公司理财产品信息。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vMerge w:val="continue"/>
            <w:vAlign w:val="center"/>
          </w:tcPr>
          <w:p>
            <w:pPr>
              <w:ind w:firstLine="0" w:firstLineChars="0"/>
              <w:rPr>
                <w:rFonts w:ascii="宋体" w:hAnsi="宋体" w:eastAsia="宋体" w:cs="仿宋_GB2312"/>
                <w:bCs/>
                <w:sz w:val="21"/>
                <w:szCs w:val="21"/>
              </w:rPr>
            </w:pPr>
          </w:p>
        </w:tc>
        <w:tc>
          <w:tcPr>
            <w:tcW w:w="1134" w:type="dxa"/>
            <w:vMerge w:val="continue"/>
            <w:vAlign w:val="center"/>
          </w:tcPr>
          <w:p>
            <w:pPr>
              <w:ind w:firstLine="0" w:firstLineChars="0"/>
              <w:rPr>
                <w:rFonts w:ascii="宋体" w:hAnsi="宋体" w:eastAsia="宋体" w:cs="仿宋_GB2312"/>
                <w:bCs/>
                <w:sz w:val="21"/>
                <w:szCs w:val="21"/>
              </w:rPr>
            </w:pPr>
          </w:p>
        </w:tc>
        <w:tc>
          <w:tcPr>
            <w:tcW w:w="851"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ZQGSZXZGJHXXB</w:t>
            </w:r>
          </w:p>
        </w:tc>
        <w:tc>
          <w:tcPr>
            <w:tcW w:w="1276"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证券公司专项资管计划信息表</w:t>
            </w:r>
          </w:p>
        </w:tc>
        <w:tc>
          <w:tcPr>
            <w:tcW w:w="850"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C0108</w:t>
            </w:r>
          </w:p>
        </w:tc>
        <w:tc>
          <w:tcPr>
            <w:tcW w:w="3594" w:type="dxa"/>
            <w:vAlign w:val="center"/>
          </w:tcPr>
          <w:p>
            <w:pPr>
              <w:ind w:firstLine="0" w:firstLineChars="0"/>
              <w:rPr>
                <w:rFonts w:ascii="宋体" w:hAnsi="宋体" w:eastAsia="宋体" w:cs="仿宋_GB2312"/>
                <w:bCs/>
                <w:sz w:val="21"/>
                <w:szCs w:val="21"/>
              </w:rPr>
            </w:pPr>
            <w:r>
              <w:rPr>
                <w:rFonts w:hint="eastAsia" w:ascii="宋体" w:hAnsi="宋体" w:eastAsia="宋体"/>
                <w:color w:val="000000"/>
                <w:sz w:val="21"/>
                <w:szCs w:val="21"/>
              </w:rPr>
              <w:t>本表报送保险集团（控股）公司持有证券公司专项资管计划信息。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vMerge w:val="continue"/>
            <w:vAlign w:val="center"/>
          </w:tcPr>
          <w:p>
            <w:pPr>
              <w:ind w:firstLine="0" w:firstLineChars="0"/>
              <w:rPr>
                <w:rFonts w:ascii="宋体" w:hAnsi="宋体" w:eastAsia="宋体" w:cs="仿宋_GB2312"/>
                <w:bCs/>
                <w:sz w:val="21"/>
                <w:szCs w:val="21"/>
              </w:rPr>
            </w:pPr>
          </w:p>
        </w:tc>
        <w:tc>
          <w:tcPr>
            <w:tcW w:w="1134" w:type="dxa"/>
            <w:vMerge w:val="continue"/>
            <w:vAlign w:val="center"/>
          </w:tcPr>
          <w:p>
            <w:pPr>
              <w:ind w:firstLine="0" w:firstLineChars="0"/>
              <w:rPr>
                <w:rFonts w:ascii="宋体" w:hAnsi="宋体" w:eastAsia="宋体" w:cs="仿宋_GB2312"/>
                <w:bCs/>
                <w:sz w:val="21"/>
                <w:szCs w:val="21"/>
              </w:rPr>
            </w:pPr>
          </w:p>
        </w:tc>
        <w:tc>
          <w:tcPr>
            <w:tcW w:w="851"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XDZCZCZQXXB</w:t>
            </w:r>
          </w:p>
        </w:tc>
        <w:tc>
          <w:tcPr>
            <w:tcW w:w="1276"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信贷资产支持证券信息表</w:t>
            </w:r>
          </w:p>
        </w:tc>
        <w:tc>
          <w:tcPr>
            <w:tcW w:w="850"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C0109</w:t>
            </w:r>
          </w:p>
        </w:tc>
        <w:tc>
          <w:tcPr>
            <w:tcW w:w="3594" w:type="dxa"/>
            <w:vAlign w:val="center"/>
          </w:tcPr>
          <w:p>
            <w:pPr>
              <w:ind w:firstLine="0" w:firstLineChars="0"/>
              <w:rPr>
                <w:rFonts w:ascii="宋体" w:hAnsi="宋体" w:eastAsia="宋体" w:cs="仿宋_GB2312"/>
                <w:bCs/>
                <w:sz w:val="21"/>
                <w:szCs w:val="21"/>
              </w:rPr>
            </w:pPr>
            <w:r>
              <w:rPr>
                <w:rFonts w:hint="eastAsia" w:ascii="宋体" w:hAnsi="宋体" w:eastAsia="宋体"/>
                <w:color w:val="000000"/>
                <w:sz w:val="21"/>
                <w:szCs w:val="21"/>
              </w:rPr>
              <w:t>本表报送保险集团（控股）公司持有信贷资产支持证券信息。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vMerge w:val="continue"/>
            <w:vAlign w:val="center"/>
          </w:tcPr>
          <w:p>
            <w:pPr>
              <w:ind w:firstLine="0" w:firstLineChars="0"/>
              <w:rPr>
                <w:rFonts w:ascii="宋体" w:hAnsi="宋体" w:eastAsia="宋体" w:cs="仿宋_GB2312"/>
                <w:bCs/>
                <w:sz w:val="21"/>
                <w:szCs w:val="21"/>
              </w:rPr>
            </w:pPr>
          </w:p>
        </w:tc>
        <w:tc>
          <w:tcPr>
            <w:tcW w:w="1134" w:type="dxa"/>
            <w:vMerge w:val="continue"/>
            <w:vAlign w:val="center"/>
          </w:tcPr>
          <w:p>
            <w:pPr>
              <w:ind w:firstLine="0" w:firstLineChars="0"/>
              <w:rPr>
                <w:rFonts w:ascii="宋体" w:hAnsi="宋体" w:eastAsia="宋体" w:cs="仿宋_GB2312"/>
                <w:bCs/>
                <w:sz w:val="21"/>
                <w:szCs w:val="21"/>
              </w:rPr>
            </w:pPr>
          </w:p>
        </w:tc>
        <w:tc>
          <w:tcPr>
            <w:tcW w:w="851"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ZJGQTZXXB</w:t>
            </w:r>
          </w:p>
        </w:tc>
        <w:tc>
          <w:tcPr>
            <w:tcW w:w="1276"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直接股权投资信息表</w:t>
            </w:r>
          </w:p>
        </w:tc>
        <w:tc>
          <w:tcPr>
            <w:tcW w:w="850"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C0110</w:t>
            </w:r>
          </w:p>
        </w:tc>
        <w:tc>
          <w:tcPr>
            <w:tcW w:w="3594" w:type="dxa"/>
            <w:vAlign w:val="center"/>
          </w:tcPr>
          <w:p>
            <w:pPr>
              <w:ind w:firstLine="0" w:firstLineChars="0"/>
              <w:rPr>
                <w:rFonts w:ascii="宋体" w:hAnsi="宋体" w:eastAsia="宋体" w:cs="仿宋_GB2312"/>
                <w:bCs/>
                <w:sz w:val="21"/>
                <w:szCs w:val="21"/>
              </w:rPr>
            </w:pPr>
            <w:r>
              <w:rPr>
                <w:rFonts w:hint="eastAsia" w:ascii="宋体" w:hAnsi="宋体" w:eastAsia="宋体"/>
                <w:color w:val="000000"/>
                <w:sz w:val="21"/>
                <w:szCs w:val="21"/>
              </w:rPr>
              <w:t>本表报送保险集团（控股）公司持有未上市企业的直接股权投资相关信息。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vMerge w:val="continue"/>
            <w:vAlign w:val="center"/>
          </w:tcPr>
          <w:p>
            <w:pPr>
              <w:ind w:firstLine="0" w:firstLineChars="0"/>
              <w:rPr>
                <w:rFonts w:ascii="宋体" w:hAnsi="宋体" w:eastAsia="宋体" w:cs="仿宋_GB2312"/>
                <w:bCs/>
                <w:sz w:val="21"/>
                <w:szCs w:val="21"/>
              </w:rPr>
            </w:pPr>
          </w:p>
        </w:tc>
        <w:tc>
          <w:tcPr>
            <w:tcW w:w="1134" w:type="dxa"/>
            <w:vMerge w:val="continue"/>
            <w:vAlign w:val="center"/>
          </w:tcPr>
          <w:p>
            <w:pPr>
              <w:ind w:firstLine="0" w:firstLineChars="0"/>
              <w:rPr>
                <w:rFonts w:ascii="宋体" w:hAnsi="宋体" w:eastAsia="宋体" w:cs="仿宋_GB2312"/>
                <w:bCs/>
                <w:sz w:val="21"/>
                <w:szCs w:val="21"/>
              </w:rPr>
            </w:pPr>
          </w:p>
        </w:tc>
        <w:tc>
          <w:tcPr>
            <w:tcW w:w="851"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SMTZJJXXB</w:t>
            </w:r>
          </w:p>
        </w:tc>
        <w:tc>
          <w:tcPr>
            <w:tcW w:w="1276"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私募投资基金信息表</w:t>
            </w:r>
          </w:p>
        </w:tc>
        <w:tc>
          <w:tcPr>
            <w:tcW w:w="850"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C0111</w:t>
            </w:r>
          </w:p>
        </w:tc>
        <w:tc>
          <w:tcPr>
            <w:tcW w:w="3594" w:type="dxa"/>
            <w:vAlign w:val="center"/>
          </w:tcPr>
          <w:p>
            <w:pPr>
              <w:ind w:firstLine="0" w:firstLineChars="0"/>
              <w:rPr>
                <w:rFonts w:ascii="宋体" w:hAnsi="宋体" w:eastAsia="宋体" w:cs="仿宋_GB2312"/>
                <w:bCs/>
                <w:sz w:val="21"/>
                <w:szCs w:val="21"/>
              </w:rPr>
            </w:pPr>
            <w:r>
              <w:rPr>
                <w:rFonts w:hint="eastAsia" w:ascii="宋体" w:hAnsi="宋体" w:eastAsia="宋体"/>
                <w:color w:val="000000"/>
                <w:sz w:val="21"/>
                <w:szCs w:val="21"/>
              </w:rPr>
              <w:t>本表报送保险集团（控股）公司持有私募投资基金相关信息。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vMerge w:val="continue"/>
            <w:vAlign w:val="center"/>
          </w:tcPr>
          <w:p>
            <w:pPr>
              <w:ind w:firstLine="0" w:firstLineChars="0"/>
              <w:rPr>
                <w:rFonts w:ascii="宋体" w:hAnsi="宋体" w:eastAsia="宋体" w:cs="仿宋_GB2312"/>
                <w:bCs/>
                <w:sz w:val="21"/>
                <w:szCs w:val="21"/>
              </w:rPr>
            </w:pPr>
          </w:p>
        </w:tc>
        <w:tc>
          <w:tcPr>
            <w:tcW w:w="1134" w:type="dxa"/>
            <w:vMerge w:val="continue"/>
            <w:vAlign w:val="center"/>
          </w:tcPr>
          <w:p>
            <w:pPr>
              <w:ind w:firstLine="0" w:firstLineChars="0"/>
              <w:rPr>
                <w:rFonts w:ascii="宋体" w:hAnsi="宋体" w:eastAsia="宋体" w:cs="仿宋_GB2312"/>
                <w:bCs/>
                <w:sz w:val="21"/>
                <w:szCs w:val="21"/>
              </w:rPr>
            </w:pPr>
          </w:p>
        </w:tc>
        <w:tc>
          <w:tcPr>
            <w:tcW w:w="851"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ZJTZBDCXXB</w:t>
            </w:r>
          </w:p>
        </w:tc>
        <w:tc>
          <w:tcPr>
            <w:tcW w:w="1276"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直接投资不动产信息表</w:t>
            </w:r>
          </w:p>
        </w:tc>
        <w:tc>
          <w:tcPr>
            <w:tcW w:w="850"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C0112</w:t>
            </w:r>
          </w:p>
        </w:tc>
        <w:tc>
          <w:tcPr>
            <w:tcW w:w="3594" w:type="dxa"/>
            <w:vAlign w:val="center"/>
          </w:tcPr>
          <w:p>
            <w:pPr>
              <w:ind w:firstLine="0" w:firstLineChars="0"/>
              <w:rPr>
                <w:rFonts w:ascii="宋体" w:hAnsi="宋体" w:eastAsia="宋体" w:cs="仿宋_GB2312"/>
                <w:bCs/>
                <w:sz w:val="21"/>
                <w:szCs w:val="21"/>
              </w:rPr>
            </w:pPr>
            <w:r>
              <w:rPr>
                <w:rFonts w:hint="eastAsia" w:ascii="宋体" w:hAnsi="宋体" w:eastAsia="宋体"/>
                <w:color w:val="000000"/>
                <w:sz w:val="21"/>
                <w:szCs w:val="21"/>
              </w:rPr>
              <w:t>本表报送保险集团（控股）公司直接投资不动产相关信息。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vMerge w:val="continue"/>
            <w:vAlign w:val="center"/>
          </w:tcPr>
          <w:p>
            <w:pPr>
              <w:ind w:firstLine="0" w:firstLineChars="0"/>
              <w:rPr>
                <w:rFonts w:ascii="宋体" w:hAnsi="宋体" w:eastAsia="宋体" w:cs="仿宋_GB2312"/>
                <w:bCs/>
                <w:sz w:val="21"/>
                <w:szCs w:val="21"/>
              </w:rPr>
            </w:pPr>
          </w:p>
        </w:tc>
        <w:tc>
          <w:tcPr>
            <w:tcW w:w="1134" w:type="dxa"/>
            <w:vMerge w:val="restart"/>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委托投资</w:t>
            </w:r>
          </w:p>
        </w:tc>
        <w:tc>
          <w:tcPr>
            <w:tcW w:w="851"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WTTZXXB</w:t>
            </w:r>
          </w:p>
        </w:tc>
        <w:tc>
          <w:tcPr>
            <w:tcW w:w="1276"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委托投资信息表</w:t>
            </w:r>
          </w:p>
        </w:tc>
        <w:tc>
          <w:tcPr>
            <w:tcW w:w="850"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C0201</w:t>
            </w:r>
          </w:p>
        </w:tc>
        <w:tc>
          <w:tcPr>
            <w:tcW w:w="3594" w:type="dxa"/>
            <w:vAlign w:val="center"/>
          </w:tcPr>
          <w:p>
            <w:pPr>
              <w:ind w:firstLine="0" w:firstLineChars="0"/>
              <w:rPr>
                <w:rFonts w:ascii="宋体" w:hAnsi="宋体" w:eastAsia="宋体" w:cs="仿宋_GB2312"/>
                <w:bCs/>
                <w:sz w:val="21"/>
                <w:szCs w:val="21"/>
              </w:rPr>
            </w:pPr>
            <w:r>
              <w:rPr>
                <w:rFonts w:hint="eastAsia" w:ascii="宋体" w:hAnsi="宋体" w:eastAsia="宋体"/>
                <w:color w:val="000000"/>
                <w:sz w:val="21"/>
                <w:szCs w:val="21"/>
              </w:rPr>
              <w:t>本表报送保险集团（控股）公司委托投资业务情况。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vMerge w:val="continue"/>
            <w:vAlign w:val="center"/>
          </w:tcPr>
          <w:p>
            <w:pPr>
              <w:ind w:firstLine="0" w:firstLineChars="0"/>
              <w:rPr>
                <w:rFonts w:ascii="宋体" w:hAnsi="宋体" w:eastAsia="宋体" w:cs="仿宋_GB2312"/>
                <w:bCs/>
                <w:sz w:val="21"/>
                <w:szCs w:val="21"/>
              </w:rPr>
            </w:pPr>
          </w:p>
        </w:tc>
        <w:tc>
          <w:tcPr>
            <w:tcW w:w="1134" w:type="dxa"/>
            <w:vMerge w:val="continue"/>
            <w:vAlign w:val="center"/>
          </w:tcPr>
          <w:p>
            <w:pPr>
              <w:ind w:firstLine="0" w:firstLineChars="0"/>
              <w:rPr>
                <w:rFonts w:ascii="宋体" w:hAnsi="宋体" w:eastAsia="宋体" w:cs="仿宋_GB2312"/>
                <w:bCs/>
                <w:sz w:val="21"/>
                <w:szCs w:val="21"/>
              </w:rPr>
            </w:pPr>
          </w:p>
        </w:tc>
        <w:tc>
          <w:tcPr>
            <w:tcW w:w="851"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WTTZZCFZTJB</w:t>
            </w:r>
          </w:p>
        </w:tc>
        <w:tc>
          <w:tcPr>
            <w:tcW w:w="1276"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委托投资资产负债统计表</w:t>
            </w:r>
          </w:p>
        </w:tc>
        <w:tc>
          <w:tcPr>
            <w:tcW w:w="850"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C0202</w:t>
            </w:r>
          </w:p>
        </w:tc>
        <w:tc>
          <w:tcPr>
            <w:tcW w:w="3594" w:type="dxa"/>
            <w:vAlign w:val="center"/>
          </w:tcPr>
          <w:p>
            <w:pPr>
              <w:ind w:firstLine="0" w:firstLineChars="0"/>
              <w:rPr>
                <w:rFonts w:ascii="宋体" w:hAnsi="宋体" w:eastAsia="宋体" w:cs="仿宋_GB2312"/>
                <w:bCs/>
                <w:sz w:val="21"/>
                <w:szCs w:val="21"/>
              </w:rPr>
            </w:pPr>
            <w:r>
              <w:rPr>
                <w:rFonts w:hint="eastAsia" w:ascii="宋体" w:hAnsi="宋体" w:eastAsia="宋体"/>
                <w:color w:val="000000"/>
                <w:sz w:val="21"/>
                <w:szCs w:val="21"/>
              </w:rPr>
              <w:t>本表报送保险集团（控股）公司委托投资资产负债统计信息。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vMerge w:val="continue"/>
            <w:vAlign w:val="center"/>
          </w:tcPr>
          <w:p>
            <w:pPr>
              <w:ind w:firstLine="0" w:firstLineChars="0"/>
              <w:rPr>
                <w:rFonts w:ascii="宋体" w:hAnsi="宋体" w:eastAsia="宋体" w:cs="仿宋_GB2312"/>
                <w:bCs/>
                <w:sz w:val="21"/>
                <w:szCs w:val="21"/>
              </w:rPr>
            </w:pPr>
          </w:p>
        </w:tc>
        <w:tc>
          <w:tcPr>
            <w:tcW w:w="1134" w:type="dxa"/>
            <w:vMerge w:val="continue"/>
            <w:vAlign w:val="center"/>
          </w:tcPr>
          <w:p>
            <w:pPr>
              <w:ind w:firstLine="0" w:firstLineChars="0"/>
              <w:rPr>
                <w:rFonts w:ascii="宋体" w:hAnsi="宋体" w:eastAsia="宋体" w:cs="仿宋_GB2312"/>
                <w:bCs/>
                <w:sz w:val="21"/>
                <w:szCs w:val="21"/>
              </w:rPr>
            </w:pPr>
          </w:p>
        </w:tc>
        <w:tc>
          <w:tcPr>
            <w:tcW w:w="851"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WTTZCCB</w:t>
            </w:r>
          </w:p>
        </w:tc>
        <w:tc>
          <w:tcPr>
            <w:tcW w:w="1276"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委托投资持仓表</w:t>
            </w:r>
          </w:p>
        </w:tc>
        <w:tc>
          <w:tcPr>
            <w:tcW w:w="850"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C0203</w:t>
            </w:r>
          </w:p>
        </w:tc>
        <w:tc>
          <w:tcPr>
            <w:tcW w:w="3594" w:type="dxa"/>
            <w:vAlign w:val="center"/>
          </w:tcPr>
          <w:p>
            <w:pPr>
              <w:ind w:firstLine="0" w:firstLineChars="0"/>
              <w:rPr>
                <w:rFonts w:ascii="宋体" w:hAnsi="宋体" w:eastAsia="宋体" w:cs="仿宋_GB2312"/>
                <w:bCs/>
                <w:sz w:val="21"/>
                <w:szCs w:val="21"/>
              </w:rPr>
            </w:pPr>
            <w:r>
              <w:rPr>
                <w:rFonts w:hint="eastAsia" w:ascii="宋体" w:hAnsi="宋体" w:eastAsia="宋体"/>
                <w:color w:val="000000"/>
                <w:sz w:val="21"/>
                <w:szCs w:val="21"/>
              </w:rPr>
              <w:t>本表报送保险集团（控股）公司本年委托投资持仓信息。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29" w:type="dxa"/>
            <w:vMerge w:val="restart"/>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保险集团（控股）公司关联交易</w:t>
            </w:r>
          </w:p>
        </w:tc>
        <w:tc>
          <w:tcPr>
            <w:tcW w:w="1134" w:type="dxa"/>
            <w:vMerge w:val="restart"/>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关联方档案</w:t>
            </w:r>
          </w:p>
        </w:tc>
        <w:tc>
          <w:tcPr>
            <w:tcW w:w="851"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FRHQTZZGLFXXB</w:t>
            </w:r>
          </w:p>
        </w:tc>
        <w:tc>
          <w:tcPr>
            <w:tcW w:w="1276"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法人或其他组织关联方信息表</w:t>
            </w:r>
          </w:p>
        </w:tc>
        <w:tc>
          <w:tcPr>
            <w:tcW w:w="850"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D0101</w:t>
            </w:r>
          </w:p>
        </w:tc>
        <w:tc>
          <w:tcPr>
            <w:tcW w:w="3594" w:type="dxa"/>
            <w:vAlign w:val="center"/>
          </w:tcPr>
          <w:p>
            <w:pPr>
              <w:ind w:firstLine="0" w:firstLineChars="0"/>
              <w:rPr>
                <w:rFonts w:ascii="宋体" w:hAnsi="宋体" w:eastAsia="宋体" w:cs="仿宋_GB2312"/>
                <w:bCs/>
                <w:sz w:val="21"/>
                <w:szCs w:val="21"/>
              </w:rPr>
            </w:pPr>
            <w:r>
              <w:rPr>
                <w:rFonts w:hint="eastAsia" w:ascii="宋体" w:hAnsi="宋体" w:eastAsia="宋体"/>
                <w:color w:val="000000"/>
                <w:sz w:val="21"/>
                <w:szCs w:val="21"/>
              </w:rPr>
              <w:t>本表报送保险集团（控股）公司的法人或其他组织关联方基础信息。在进行关联方认定时，应按照实质重于形式的原则认定。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29" w:type="dxa"/>
            <w:vMerge w:val="continue"/>
            <w:vAlign w:val="center"/>
          </w:tcPr>
          <w:p>
            <w:pPr>
              <w:ind w:firstLine="0" w:firstLineChars="0"/>
              <w:rPr>
                <w:rFonts w:ascii="宋体" w:hAnsi="宋体" w:eastAsia="宋体" w:cs="仿宋_GB2312"/>
                <w:bCs/>
                <w:sz w:val="21"/>
                <w:szCs w:val="21"/>
              </w:rPr>
            </w:pPr>
          </w:p>
        </w:tc>
        <w:tc>
          <w:tcPr>
            <w:tcW w:w="1134" w:type="dxa"/>
            <w:vMerge w:val="continue"/>
            <w:vAlign w:val="center"/>
          </w:tcPr>
          <w:p>
            <w:pPr>
              <w:ind w:firstLine="0" w:firstLineChars="0"/>
              <w:rPr>
                <w:rFonts w:ascii="宋体" w:hAnsi="宋体" w:eastAsia="宋体" w:cs="仿宋_GB2312"/>
                <w:bCs/>
                <w:sz w:val="21"/>
                <w:szCs w:val="21"/>
              </w:rPr>
            </w:pPr>
          </w:p>
        </w:tc>
        <w:tc>
          <w:tcPr>
            <w:tcW w:w="851"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ZRRGLFXXB</w:t>
            </w:r>
          </w:p>
        </w:tc>
        <w:tc>
          <w:tcPr>
            <w:tcW w:w="1276"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自然人关联方信息表</w:t>
            </w:r>
          </w:p>
        </w:tc>
        <w:tc>
          <w:tcPr>
            <w:tcW w:w="850"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D0102</w:t>
            </w:r>
          </w:p>
        </w:tc>
        <w:tc>
          <w:tcPr>
            <w:tcW w:w="3594" w:type="dxa"/>
            <w:vAlign w:val="center"/>
          </w:tcPr>
          <w:p>
            <w:pPr>
              <w:ind w:firstLine="0" w:firstLineChars="0"/>
              <w:rPr>
                <w:rFonts w:ascii="宋体" w:hAnsi="宋体" w:eastAsia="宋体" w:cs="仿宋_GB2312"/>
                <w:bCs/>
                <w:sz w:val="21"/>
                <w:szCs w:val="21"/>
              </w:rPr>
            </w:pPr>
            <w:r>
              <w:rPr>
                <w:rFonts w:hint="eastAsia" w:ascii="宋体" w:hAnsi="宋体" w:eastAsia="宋体"/>
                <w:color w:val="000000"/>
                <w:sz w:val="21"/>
                <w:szCs w:val="21"/>
              </w:rPr>
              <w:t>本表报送保险集团（控股）公司的自然人关联方数据。在进行关联方认定时，应按照实质重于形式的原则认定。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129" w:type="dxa"/>
            <w:vMerge w:val="continue"/>
            <w:vAlign w:val="center"/>
          </w:tcPr>
          <w:p>
            <w:pPr>
              <w:ind w:firstLine="0" w:firstLineChars="0"/>
              <w:rPr>
                <w:rFonts w:ascii="宋体" w:hAnsi="宋体" w:eastAsia="宋体" w:cs="仿宋_GB2312"/>
                <w:bCs/>
                <w:sz w:val="21"/>
                <w:szCs w:val="21"/>
              </w:rPr>
            </w:pPr>
          </w:p>
        </w:tc>
        <w:tc>
          <w:tcPr>
            <w:tcW w:w="1134" w:type="dxa"/>
            <w:vMerge w:val="continue"/>
            <w:vAlign w:val="center"/>
          </w:tcPr>
          <w:p>
            <w:pPr>
              <w:ind w:firstLine="0" w:firstLineChars="0"/>
              <w:rPr>
                <w:rFonts w:ascii="宋体" w:hAnsi="宋体" w:eastAsia="宋体" w:cs="仿宋_GB2312"/>
                <w:bCs/>
                <w:sz w:val="21"/>
                <w:szCs w:val="21"/>
              </w:rPr>
            </w:pPr>
          </w:p>
        </w:tc>
        <w:tc>
          <w:tcPr>
            <w:tcW w:w="851"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JRCPXXB</w:t>
            </w:r>
          </w:p>
        </w:tc>
        <w:tc>
          <w:tcPr>
            <w:tcW w:w="1276"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金融产品信息表</w:t>
            </w:r>
          </w:p>
        </w:tc>
        <w:tc>
          <w:tcPr>
            <w:tcW w:w="850"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D0103</w:t>
            </w:r>
          </w:p>
        </w:tc>
        <w:tc>
          <w:tcPr>
            <w:tcW w:w="3594" w:type="dxa"/>
            <w:vAlign w:val="center"/>
          </w:tcPr>
          <w:p>
            <w:pPr>
              <w:ind w:firstLine="0" w:firstLineChars="0"/>
              <w:rPr>
                <w:rFonts w:ascii="宋体" w:hAnsi="宋体" w:eastAsia="宋体" w:cs="仿宋_GB2312"/>
                <w:bCs/>
                <w:sz w:val="21"/>
                <w:szCs w:val="21"/>
              </w:rPr>
            </w:pPr>
            <w:r>
              <w:rPr>
                <w:rFonts w:hint="eastAsia" w:ascii="宋体" w:hAnsi="宋体" w:eastAsia="宋体"/>
                <w:color w:val="000000"/>
                <w:sz w:val="21"/>
                <w:szCs w:val="21"/>
              </w:rPr>
              <w:t>本表报送在保险集团（控股）公司的关联方认定或关联交易中涉及的金融产品，以便向上识别产品的最终投资者，向下识别产品的底层资产，包含但不限于以下情况：关联方发行的金融产品、金融产品基础资产涉及关联方、与关联方共同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1129" w:type="dxa"/>
            <w:vMerge w:val="continue"/>
            <w:vAlign w:val="center"/>
          </w:tcPr>
          <w:p>
            <w:pPr>
              <w:ind w:firstLine="0" w:firstLineChars="0"/>
              <w:rPr>
                <w:rFonts w:ascii="宋体" w:hAnsi="宋体" w:eastAsia="宋体" w:cs="仿宋_GB2312"/>
                <w:bCs/>
                <w:sz w:val="21"/>
                <w:szCs w:val="21"/>
              </w:rPr>
            </w:pPr>
          </w:p>
        </w:tc>
        <w:tc>
          <w:tcPr>
            <w:tcW w:w="1134" w:type="dxa"/>
            <w:vMerge w:val="continue"/>
            <w:vAlign w:val="center"/>
          </w:tcPr>
          <w:p>
            <w:pPr>
              <w:ind w:firstLine="0" w:firstLineChars="0"/>
              <w:rPr>
                <w:rFonts w:ascii="宋体" w:hAnsi="宋体" w:eastAsia="宋体" w:cs="仿宋_GB2312"/>
                <w:bCs/>
                <w:sz w:val="21"/>
                <w:szCs w:val="21"/>
              </w:rPr>
            </w:pPr>
          </w:p>
        </w:tc>
        <w:tc>
          <w:tcPr>
            <w:tcW w:w="851"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GLGXTP</w:t>
            </w:r>
          </w:p>
        </w:tc>
        <w:tc>
          <w:tcPr>
            <w:tcW w:w="1276"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关联关系图谱</w:t>
            </w:r>
          </w:p>
        </w:tc>
        <w:tc>
          <w:tcPr>
            <w:tcW w:w="850"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D0104</w:t>
            </w:r>
          </w:p>
        </w:tc>
        <w:tc>
          <w:tcPr>
            <w:tcW w:w="3594" w:type="dxa"/>
            <w:vAlign w:val="center"/>
          </w:tcPr>
          <w:p>
            <w:pPr>
              <w:ind w:firstLine="0" w:firstLineChars="0"/>
              <w:rPr>
                <w:rFonts w:ascii="宋体" w:hAnsi="宋体" w:eastAsia="宋体" w:cs="仿宋_GB2312"/>
                <w:bCs/>
                <w:sz w:val="21"/>
                <w:szCs w:val="21"/>
              </w:rPr>
            </w:pPr>
            <w:r>
              <w:rPr>
                <w:rFonts w:hint="eastAsia" w:ascii="宋体" w:hAnsi="宋体" w:eastAsia="宋体"/>
                <w:color w:val="000000"/>
                <w:sz w:val="21"/>
                <w:szCs w:val="21"/>
              </w:rPr>
              <w:t>本表报送形成保险集团（控股）公司的自然人关联方、法人或非法人组织的关联关系，出于关联方穿透管理的需要，通过金融产品持股或施加重大影响形成的关联方，将相应金融产品作为关联方中间节点进行报送。数据报送以填报机构为最前一层关联方逐步向后扩展；两个关联方之间同一关联关系填报时，仅填报一个方向即可；自然人股东的近亲属持有或控制填报机构股份，持有或控制的股份应与自然人股东持有或控制填报机构股份分别填报。根节点数据无需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29" w:type="dxa"/>
            <w:vMerge w:val="continue"/>
            <w:vAlign w:val="center"/>
          </w:tcPr>
          <w:p>
            <w:pPr>
              <w:ind w:firstLine="0" w:firstLineChars="0"/>
              <w:rPr>
                <w:rFonts w:ascii="宋体" w:hAnsi="宋体" w:eastAsia="宋体" w:cs="仿宋_GB2312"/>
                <w:bCs/>
                <w:sz w:val="21"/>
                <w:szCs w:val="21"/>
              </w:rPr>
            </w:pPr>
          </w:p>
        </w:tc>
        <w:tc>
          <w:tcPr>
            <w:tcW w:w="1134" w:type="dxa"/>
            <w:vMerge w:val="restart"/>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关联交易详情</w:t>
            </w:r>
          </w:p>
        </w:tc>
        <w:tc>
          <w:tcPr>
            <w:tcW w:w="851"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ZDGLJYMXB</w:t>
            </w:r>
          </w:p>
        </w:tc>
        <w:tc>
          <w:tcPr>
            <w:tcW w:w="1276"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重大关联交易明细表</w:t>
            </w:r>
          </w:p>
        </w:tc>
        <w:tc>
          <w:tcPr>
            <w:tcW w:w="850"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D0201</w:t>
            </w:r>
          </w:p>
        </w:tc>
        <w:tc>
          <w:tcPr>
            <w:tcW w:w="3594" w:type="dxa"/>
            <w:vAlign w:val="center"/>
          </w:tcPr>
          <w:p>
            <w:pPr>
              <w:ind w:firstLine="0" w:firstLineChars="0"/>
              <w:rPr>
                <w:rFonts w:ascii="宋体" w:hAnsi="宋体" w:eastAsia="宋体" w:cs="仿宋_GB2312"/>
                <w:bCs/>
                <w:sz w:val="21"/>
                <w:szCs w:val="21"/>
              </w:rPr>
            </w:pPr>
            <w:r>
              <w:rPr>
                <w:rFonts w:hint="eastAsia" w:ascii="宋体" w:hAnsi="宋体" w:eastAsia="宋体"/>
                <w:color w:val="000000"/>
                <w:sz w:val="21"/>
                <w:szCs w:val="21"/>
              </w:rPr>
              <w:t>本表报送报告期内保险集团（控股）公司与关联方之间发生的各类重大关联交易，《银行保险机构关联交易管理办法》中明确的豁免事项免于报送。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29" w:type="dxa"/>
            <w:vMerge w:val="continue"/>
            <w:vAlign w:val="center"/>
          </w:tcPr>
          <w:p>
            <w:pPr>
              <w:ind w:firstLine="0" w:firstLineChars="0"/>
              <w:rPr>
                <w:rFonts w:ascii="宋体" w:hAnsi="宋体" w:eastAsia="宋体" w:cs="仿宋_GB2312"/>
                <w:bCs/>
                <w:sz w:val="21"/>
                <w:szCs w:val="21"/>
              </w:rPr>
            </w:pPr>
          </w:p>
        </w:tc>
        <w:tc>
          <w:tcPr>
            <w:tcW w:w="1134" w:type="dxa"/>
            <w:vMerge w:val="continue"/>
            <w:vAlign w:val="center"/>
          </w:tcPr>
          <w:p>
            <w:pPr>
              <w:ind w:firstLine="0" w:firstLineChars="0"/>
              <w:rPr>
                <w:rFonts w:ascii="宋体" w:hAnsi="宋体" w:eastAsia="宋体" w:cs="仿宋_GB2312"/>
                <w:bCs/>
                <w:sz w:val="21"/>
                <w:szCs w:val="21"/>
              </w:rPr>
            </w:pPr>
          </w:p>
        </w:tc>
        <w:tc>
          <w:tcPr>
            <w:tcW w:w="851"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YBGLJYMXB</w:t>
            </w:r>
          </w:p>
        </w:tc>
        <w:tc>
          <w:tcPr>
            <w:tcW w:w="1276"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一般关联交易明细表</w:t>
            </w:r>
          </w:p>
        </w:tc>
        <w:tc>
          <w:tcPr>
            <w:tcW w:w="850"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D0202</w:t>
            </w:r>
          </w:p>
        </w:tc>
        <w:tc>
          <w:tcPr>
            <w:tcW w:w="3594" w:type="dxa"/>
            <w:vAlign w:val="center"/>
          </w:tcPr>
          <w:p>
            <w:pPr>
              <w:ind w:firstLine="0" w:firstLineChars="0"/>
              <w:rPr>
                <w:rFonts w:ascii="宋体" w:hAnsi="宋体" w:eastAsia="宋体" w:cs="仿宋_GB2312"/>
                <w:bCs/>
                <w:sz w:val="21"/>
                <w:szCs w:val="21"/>
              </w:rPr>
            </w:pPr>
            <w:r>
              <w:rPr>
                <w:rFonts w:hint="eastAsia" w:ascii="宋体" w:hAnsi="宋体" w:eastAsia="宋体"/>
                <w:color w:val="000000"/>
                <w:sz w:val="21"/>
                <w:szCs w:val="21"/>
              </w:rPr>
              <w:t>本表报送报告期内保险集团（控股）公司与关联方之间发生的各类一般关联交易，《银行保险机构关联交易管理办法》中明确的豁免事项免于报送。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29" w:type="dxa"/>
            <w:vMerge w:val="restart"/>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风险管理</w:t>
            </w:r>
          </w:p>
        </w:tc>
        <w:tc>
          <w:tcPr>
            <w:tcW w:w="1134" w:type="dxa"/>
            <w:vMerge w:val="restart"/>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集团成员公司</w:t>
            </w:r>
          </w:p>
        </w:tc>
        <w:tc>
          <w:tcPr>
            <w:tcW w:w="851" w:type="dxa"/>
          </w:tcPr>
          <w:p>
            <w:pPr>
              <w:ind w:firstLine="0" w:firstLineChars="0"/>
              <w:rPr>
                <w:rFonts w:ascii="宋体" w:hAnsi="宋体" w:eastAsia="宋体" w:cs="仿宋_GB2312"/>
                <w:bCs/>
                <w:sz w:val="21"/>
                <w:szCs w:val="21"/>
              </w:rPr>
            </w:pPr>
            <w:r>
              <w:rPr>
                <w:rFonts w:ascii="宋体" w:hAnsi="宋体" w:eastAsia="宋体"/>
                <w:sz w:val="21"/>
                <w:szCs w:val="21"/>
              </w:rPr>
              <w:t>ZDFXSJXXB</w:t>
            </w:r>
          </w:p>
        </w:tc>
        <w:tc>
          <w:tcPr>
            <w:tcW w:w="1276" w:type="dxa"/>
          </w:tcPr>
          <w:p>
            <w:pPr>
              <w:ind w:firstLine="0" w:firstLineChars="0"/>
              <w:rPr>
                <w:rFonts w:ascii="宋体" w:hAnsi="宋体" w:eastAsia="宋体" w:cs="仿宋_GB2312"/>
                <w:bCs/>
                <w:sz w:val="21"/>
                <w:szCs w:val="21"/>
              </w:rPr>
            </w:pPr>
            <w:r>
              <w:rPr>
                <w:rFonts w:ascii="宋体" w:hAnsi="宋体" w:eastAsia="宋体"/>
                <w:sz w:val="21"/>
                <w:szCs w:val="21"/>
              </w:rPr>
              <w:t>重大风险事件信息表</w:t>
            </w:r>
          </w:p>
        </w:tc>
        <w:tc>
          <w:tcPr>
            <w:tcW w:w="850"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E</w:t>
            </w:r>
            <w:r>
              <w:rPr>
                <w:rFonts w:ascii="宋体" w:hAnsi="宋体" w:eastAsia="宋体" w:cs="仿宋_GB2312"/>
                <w:bCs/>
                <w:sz w:val="21"/>
                <w:szCs w:val="21"/>
              </w:rPr>
              <w:t>0101</w:t>
            </w:r>
          </w:p>
        </w:tc>
        <w:tc>
          <w:tcPr>
            <w:tcW w:w="3594" w:type="dxa"/>
            <w:vAlign w:val="center"/>
          </w:tcPr>
          <w:p>
            <w:pPr>
              <w:ind w:firstLine="0" w:firstLineChars="0"/>
              <w:rPr>
                <w:rFonts w:ascii="宋体" w:hAnsi="宋体" w:eastAsia="宋体" w:cs="仿宋_GB2312"/>
                <w:bCs/>
                <w:sz w:val="21"/>
                <w:szCs w:val="21"/>
              </w:rPr>
            </w:pPr>
            <w:r>
              <w:rPr>
                <w:rFonts w:hint="eastAsia" w:ascii="宋体" w:hAnsi="宋体" w:eastAsia="宋体"/>
                <w:color w:val="000000"/>
                <w:sz w:val="21"/>
                <w:szCs w:val="21"/>
              </w:rPr>
              <w:t>本表报送对保险集团造成重大影响的风险事件。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29" w:type="dxa"/>
            <w:vMerge w:val="continue"/>
            <w:vAlign w:val="center"/>
          </w:tcPr>
          <w:p>
            <w:pPr>
              <w:ind w:firstLine="0" w:firstLineChars="0"/>
              <w:rPr>
                <w:rFonts w:ascii="宋体" w:hAnsi="宋体" w:eastAsia="宋体" w:cs="仿宋_GB2312"/>
                <w:bCs/>
                <w:sz w:val="21"/>
                <w:szCs w:val="21"/>
              </w:rPr>
            </w:pPr>
          </w:p>
        </w:tc>
        <w:tc>
          <w:tcPr>
            <w:tcW w:w="1134" w:type="dxa"/>
            <w:vMerge w:val="continue"/>
            <w:vAlign w:val="center"/>
          </w:tcPr>
          <w:p>
            <w:pPr>
              <w:ind w:firstLine="0" w:firstLineChars="0"/>
              <w:rPr>
                <w:rFonts w:ascii="宋体" w:hAnsi="宋体" w:eastAsia="宋体" w:cs="仿宋_GB2312"/>
                <w:bCs/>
                <w:sz w:val="21"/>
                <w:szCs w:val="21"/>
              </w:rPr>
            </w:pPr>
          </w:p>
        </w:tc>
        <w:tc>
          <w:tcPr>
            <w:tcW w:w="851" w:type="dxa"/>
          </w:tcPr>
          <w:p>
            <w:pPr>
              <w:ind w:firstLine="0" w:firstLineChars="0"/>
              <w:rPr>
                <w:rFonts w:ascii="宋体" w:hAnsi="宋体" w:eastAsia="宋体" w:cs="仿宋_GB2312"/>
                <w:bCs/>
                <w:sz w:val="21"/>
                <w:szCs w:val="21"/>
              </w:rPr>
            </w:pPr>
            <w:r>
              <w:rPr>
                <w:rFonts w:ascii="宋体" w:hAnsi="宋体" w:eastAsia="宋体"/>
                <w:sz w:val="21"/>
                <w:szCs w:val="21"/>
              </w:rPr>
              <w:t>DWDBQKXXB</w:t>
            </w:r>
          </w:p>
        </w:tc>
        <w:tc>
          <w:tcPr>
            <w:tcW w:w="1276" w:type="dxa"/>
          </w:tcPr>
          <w:p>
            <w:pPr>
              <w:ind w:firstLine="0" w:firstLineChars="0"/>
              <w:rPr>
                <w:rFonts w:ascii="宋体" w:hAnsi="宋体" w:eastAsia="宋体" w:cs="仿宋_GB2312"/>
                <w:bCs/>
                <w:sz w:val="21"/>
                <w:szCs w:val="21"/>
              </w:rPr>
            </w:pPr>
            <w:r>
              <w:rPr>
                <w:rFonts w:ascii="宋体" w:hAnsi="宋体" w:eastAsia="宋体"/>
                <w:sz w:val="21"/>
                <w:szCs w:val="21"/>
              </w:rPr>
              <w:t>对外担保情况信息表</w:t>
            </w:r>
          </w:p>
        </w:tc>
        <w:tc>
          <w:tcPr>
            <w:tcW w:w="850" w:type="dxa"/>
            <w:vAlign w:val="center"/>
          </w:tcPr>
          <w:p>
            <w:pPr>
              <w:ind w:firstLine="0" w:firstLineChars="0"/>
              <w:rPr>
                <w:rFonts w:ascii="宋体" w:hAnsi="宋体" w:eastAsia="宋体" w:cs="仿宋_GB2312"/>
                <w:bCs/>
                <w:sz w:val="21"/>
                <w:szCs w:val="21"/>
              </w:rPr>
            </w:pPr>
            <w:r>
              <w:rPr>
                <w:rFonts w:hint="eastAsia" w:ascii="宋体" w:hAnsi="宋体" w:eastAsia="宋体" w:cs="仿宋_GB2312"/>
                <w:bCs/>
                <w:sz w:val="21"/>
                <w:szCs w:val="21"/>
              </w:rPr>
              <w:t>E</w:t>
            </w:r>
            <w:r>
              <w:rPr>
                <w:rFonts w:ascii="宋体" w:hAnsi="宋体" w:eastAsia="宋体" w:cs="仿宋_GB2312"/>
                <w:bCs/>
                <w:sz w:val="21"/>
                <w:szCs w:val="21"/>
              </w:rPr>
              <w:t>0102</w:t>
            </w:r>
          </w:p>
        </w:tc>
        <w:tc>
          <w:tcPr>
            <w:tcW w:w="3594" w:type="dxa"/>
            <w:vAlign w:val="center"/>
          </w:tcPr>
          <w:p>
            <w:pPr>
              <w:ind w:firstLine="0" w:firstLineChars="0"/>
              <w:rPr>
                <w:rFonts w:ascii="宋体" w:hAnsi="宋体" w:eastAsia="宋体" w:cs="仿宋_GB2312"/>
                <w:bCs/>
                <w:sz w:val="21"/>
                <w:szCs w:val="21"/>
              </w:rPr>
            </w:pPr>
            <w:r>
              <w:rPr>
                <w:rFonts w:hint="eastAsia" w:ascii="宋体" w:hAnsi="宋体" w:eastAsia="宋体"/>
                <w:color w:val="000000"/>
                <w:sz w:val="21"/>
                <w:szCs w:val="21"/>
              </w:rPr>
              <w:t>本表报送保险集团（控股）公司及子公司对外担保信息。</w:t>
            </w:r>
          </w:p>
        </w:tc>
      </w:tr>
    </w:tbl>
    <w:p>
      <w:pPr>
        <w:ind w:firstLine="0" w:firstLineChars="0"/>
        <w:rPr>
          <w:rFonts w:cs="仿宋_GB2312"/>
          <w:color w:val="000000" w:themeColor="text1"/>
          <w:szCs w:val="30"/>
          <w14:textFill>
            <w14:solidFill>
              <w14:schemeClr w14:val="tx1"/>
            </w14:solidFill>
          </w14:textFill>
        </w:rPr>
      </w:pPr>
    </w:p>
    <w:p>
      <w:pPr>
        <w:keepNext/>
        <w:keepLines/>
        <w:numPr>
          <w:ilvl w:val="0"/>
          <w:numId w:val="1"/>
        </w:numPr>
        <w:ind w:left="0" w:firstLine="600" w:firstLineChars="0"/>
        <w:outlineLvl w:val="0"/>
        <w:rPr>
          <w:rFonts w:ascii="黑体" w:hAnsi="黑体" w:eastAsia="黑体"/>
          <w:kern w:val="44"/>
          <w:szCs w:val="30"/>
        </w:rPr>
      </w:pPr>
      <w:bookmarkStart w:id="61" w:name="_Toc19317"/>
      <w:bookmarkStart w:id="62" w:name="_Toc14514"/>
      <w:bookmarkStart w:id="63" w:name="_Toc32744"/>
      <w:bookmarkStart w:id="64" w:name="_Toc10922"/>
      <w:bookmarkStart w:id="65" w:name="_Toc1046"/>
      <w:bookmarkStart w:id="66" w:name="_Toc23875"/>
      <w:bookmarkStart w:id="67" w:name="_Toc23747"/>
      <w:bookmarkStart w:id="68" w:name="_Toc1073"/>
      <w:bookmarkStart w:id="69" w:name="_Toc12004"/>
      <w:bookmarkStart w:id="70" w:name="_Toc23586"/>
      <w:bookmarkStart w:id="71" w:name="_Toc5760"/>
      <w:bookmarkStart w:id="72" w:name="_Toc10556"/>
      <w:bookmarkStart w:id="73" w:name="_Toc3834"/>
      <w:bookmarkStart w:id="74" w:name="_Toc13528"/>
      <w:bookmarkStart w:id="75" w:name="_Toc22274"/>
      <w:bookmarkStart w:id="76" w:name="_Toc16745"/>
      <w:bookmarkStart w:id="77" w:name="_Toc23769"/>
      <w:bookmarkStart w:id="78" w:name="_Toc23342"/>
      <w:bookmarkStart w:id="79" w:name="_Toc10549"/>
      <w:bookmarkStart w:id="80" w:name="_Toc5557"/>
      <w:bookmarkStart w:id="81" w:name="_Toc6133"/>
      <w:bookmarkStart w:id="82" w:name="_Toc3576"/>
      <w:bookmarkStart w:id="83" w:name="_Toc4985"/>
      <w:bookmarkStart w:id="84" w:name="_Toc7534"/>
      <w:bookmarkStart w:id="85" w:name="_Toc30137"/>
      <w:bookmarkStart w:id="86" w:name="_Toc24187"/>
      <w:bookmarkStart w:id="87" w:name="_Toc57476175"/>
      <w:bookmarkStart w:id="88" w:name="_Toc8138"/>
      <w:bookmarkStart w:id="89" w:name="_Toc2509"/>
      <w:bookmarkStart w:id="90" w:name="_Toc3917"/>
      <w:bookmarkStart w:id="91" w:name="_Toc4443"/>
      <w:bookmarkStart w:id="92" w:name="_Toc27300"/>
      <w:bookmarkStart w:id="93" w:name="_Toc4413"/>
      <w:bookmarkStart w:id="94" w:name="_Toc57495013"/>
      <w:bookmarkStart w:id="95" w:name="_Toc12015"/>
      <w:bookmarkStart w:id="96" w:name="_Toc98147814"/>
      <w:bookmarkStart w:id="97" w:name="_Toc12239"/>
      <w:bookmarkStart w:id="98" w:name="_Toc73958560"/>
      <w:bookmarkStart w:id="99" w:name="_Toc5398"/>
      <w:bookmarkStart w:id="100" w:name="_Toc30063"/>
      <w:bookmarkStart w:id="101" w:name="_Toc22181"/>
      <w:bookmarkStart w:id="102" w:name="_Toc26438"/>
      <w:bookmarkStart w:id="103" w:name="_Toc15982"/>
      <w:bookmarkStart w:id="104" w:name="_Toc1948"/>
      <w:r>
        <w:rPr>
          <w:rFonts w:hint="eastAsia" w:ascii="黑体" w:hAnsi="黑体" w:eastAsia="黑体"/>
          <w:kern w:val="44"/>
          <w:szCs w:val="30"/>
        </w:rPr>
        <w:t>数据</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hint="eastAsia" w:ascii="黑体" w:hAnsi="黑体" w:eastAsia="黑体"/>
          <w:kern w:val="44"/>
          <w:szCs w:val="30"/>
        </w:rPr>
        <w:t>项</w:t>
      </w:r>
      <w:bookmarkEnd w:id="86"/>
      <w:bookmarkEnd w:id="87"/>
      <w:bookmarkEnd w:id="88"/>
      <w:bookmarkEnd w:id="89"/>
      <w:bookmarkEnd w:id="90"/>
      <w:bookmarkEnd w:id="91"/>
      <w:bookmarkEnd w:id="92"/>
      <w:bookmarkEnd w:id="93"/>
      <w:bookmarkEnd w:id="94"/>
      <w:r>
        <w:rPr>
          <w:rFonts w:hint="eastAsia" w:ascii="黑体" w:hAnsi="黑体" w:eastAsia="黑体"/>
          <w:kern w:val="44"/>
          <w:szCs w:val="30"/>
        </w:rPr>
        <w:t>描述</w:t>
      </w:r>
      <w:bookmarkEnd w:id="95"/>
      <w:bookmarkEnd w:id="96"/>
      <w:bookmarkEnd w:id="97"/>
      <w:bookmarkEnd w:id="98"/>
      <w:bookmarkEnd w:id="99"/>
      <w:bookmarkEnd w:id="100"/>
      <w:bookmarkEnd w:id="101"/>
      <w:bookmarkEnd w:id="102"/>
      <w:bookmarkEnd w:id="103"/>
      <w:bookmarkEnd w:id="104"/>
    </w:p>
    <w:p>
      <w:pPr>
        <w:pStyle w:val="3"/>
        <w:numPr>
          <w:ilvl w:val="0"/>
          <w:numId w:val="6"/>
        </w:numPr>
        <w:ind w:left="0"/>
        <w:rPr>
          <w:szCs w:val="30"/>
        </w:rPr>
      </w:pPr>
      <w:bookmarkStart w:id="105" w:name="_Toc31209"/>
      <w:bookmarkStart w:id="106" w:name="_Toc57476176"/>
      <w:bookmarkStart w:id="107" w:name="_Toc20977"/>
      <w:bookmarkStart w:id="108" w:name="_Toc57495014"/>
      <w:bookmarkStart w:id="109" w:name="_Toc32683"/>
      <w:bookmarkStart w:id="110" w:name="_Toc98147815"/>
      <w:bookmarkStart w:id="111" w:name="_Toc24545"/>
      <w:bookmarkStart w:id="112" w:name="_Toc30238"/>
      <w:bookmarkStart w:id="113" w:name="_Toc30246"/>
      <w:bookmarkStart w:id="114" w:name="_Toc24536"/>
      <w:bookmarkStart w:id="115" w:name="_Toc19506"/>
      <w:bookmarkStart w:id="116" w:name="_Toc73958561"/>
      <w:bookmarkStart w:id="117" w:name="_Toc30029"/>
      <w:bookmarkStart w:id="118" w:name="_Toc25645"/>
      <w:r>
        <w:rPr>
          <w:rFonts w:hint="eastAsia"/>
          <w:szCs w:val="30"/>
        </w:rPr>
        <w:t>公司治理</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pPr>
        <w:pStyle w:val="4"/>
        <w:tabs>
          <w:tab w:val="left" w:pos="709"/>
          <w:tab w:val="left" w:pos="993"/>
        </w:tabs>
        <w:ind w:left="0" w:firstLine="600"/>
      </w:pPr>
      <w:bookmarkStart w:id="119" w:name="_Toc16592"/>
      <w:bookmarkStart w:id="120" w:name="_Toc57538956"/>
      <w:bookmarkStart w:id="121" w:name="_Toc986"/>
      <w:bookmarkStart w:id="122" w:name="_Toc11585"/>
      <w:bookmarkStart w:id="123" w:name="_Toc17798"/>
      <w:bookmarkStart w:id="124" w:name="_Toc10810"/>
      <w:bookmarkStart w:id="125" w:name="_Toc73958564"/>
      <w:bookmarkStart w:id="126" w:name="_Toc57476358"/>
      <w:bookmarkStart w:id="127" w:name="_Toc17954"/>
      <w:bookmarkStart w:id="128" w:name="_Toc23940"/>
      <w:bookmarkStart w:id="129" w:name="_Toc14706"/>
      <w:bookmarkStart w:id="130" w:name="_Toc57476177"/>
      <w:bookmarkStart w:id="131" w:name="_Toc15512"/>
      <w:bookmarkStart w:id="132" w:name="_Toc28525"/>
      <w:bookmarkStart w:id="133" w:name="_Toc5838"/>
      <w:bookmarkStart w:id="134" w:name="_Toc57538954"/>
      <w:bookmarkStart w:id="135" w:name="_Toc73958562"/>
      <w:bookmarkStart w:id="136" w:name="_Toc28416"/>
      <w:bookmarkStart w:id="137" w:name="_Toc57477515"/>
      <w:bookmarkStart w:id="138" w:name="_Toc57495031"/>
      <w:r>
        <w:rPr>
          <w:rFonts w:hint="eastAsia" w:ascii="仿宋" w:hAnsi="仿宋" w:eastAsia="仿宋"/>
        </w:rPr>
        <w:t>集团架构</w:t>
      </w:r>
      <w:bookmarkEnd w:id="119"/>
      <w:bookmarkEnd w:id="120"/>
      <w:bookmarkEnd w:id="121"/>
      <w:bookmarkEnd w:id="122"/>
      <w:bookmarkEnd w:id="123"/>
      <w:bookmarkEnd w:id="124"/>
      <w:bookmarkEnd w:id="125"/>
      <w:bookmarkEnd w:id="126"/>
      <w:bookmarkEnd w:id="127"/>
    </w:p>
    <w:p>
      <w:pPr>
        <w:keepNext/>
        <w:keepLines/>
        <w:numPr>
          <w:ilvl w:val="1"/>
          <w:numId w:val="7"/>
        </w:numPr>
        <w:ind w:firstLineChars="0"/>
        <w:outlineLvl w:val="3"/>
        <w:rPr>
          <w:rFonts w:ascii="仿宋" w:hAnsi="仿宋" w:eastAsia="仿宋"/>
          <w:b/>
        </w:rPr>
      </w:pPr>
      <w:r>
        <w:rPr>
          <w:rFonts w:hint="eastAsia" w:ascii="仿宋" w:hAnsi="仿宋" w:eastAsia="仿宋"/>
          <w:b/>
        </w:rPr>
        <w:t>集团成员公司关系图谱</w:t>
      </w:r>
    </w:p>
    <w:tbl>
      <w:tblPr>
        <w:tblStyle w:val="25"/>
        <w:tblW w:w="8824" w:type="dxa"/>
        <w:tblInd w:w="0" w:type="dxa"/>
        <w:tblLayout w:type="fixed"/>
        <w:tblCellMar>
          <w:top w:w="0" w:type="dxa"/>
          <w:left w:w="108" w:type="dxa"/>
          <w:bottom w:w="0" w:type="dxa"/>
          <w:right w:w="108" w:type="dxa"/>
        </w:tblCellMar>
      </w:tblPr>
      <w:tblGrid>
        <w:gridCol w:w="1549"/>
        <w:gridCol w:w="1417"/>
        <w:gridCol w:w="992"/>
        <w:gridCol w:w="3403"/>
        <w:gridCol w:w="709"/>
        <w:gridCol w:w="754"/>
      </w:tblGrid>
      <w:tr>
        <w:tblPrEx>
          <w:tblCellMar>
            <w:top w:w="0" w:type="dxa"/>
            <w:left w:w="108" w:type="dxa"/>
            <w:bottom w:w="0" w:type="dxa"/>
            <w:right w:w="108" w:type="dxa"/>
          </w:tblCellMar>
        </w:tblPrEx>
        <w:trPr>
          <w:trHeight w:val="290" w:hRule="atLeast"/>
        </w:trPr>
        <w:tc>
          <w:tcPr>
            <w:tcW w:w="15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41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992"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4866"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57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JTCYGSGXTP</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集团成员公司关系图谱</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A0</w:t>
            </w:r>
            <w:r>
              <w:rPr>
                <w:rFonts w:ascii="宋体" w:hAnsi="宋体" w:eastAsia="宋体" w:cs="宋体"/>
                <w:color w:val="000000"/>
                <w:kern w:val="0"/>
                <w:sz w:val="21"/>
                <w:szCs w:val="21"/>
              </w:rPr>
              <w:t>1</w:t>
            </w:r>
            <w:r>
              <w:rPr>
                <w:rFonts w:hint="eastAsia" w:ascii="宋体" w:hAnsi="宋体" w:eastAsia="宋体" w:cs="宋体"/>
                <w:color w:val="000000"/>
                <w:kern w:val="0"/>
                <w:sz w:val="21"/>
                <w:szCs w:val="21"/>
              </w:rPr>
              <w:t>01</w:t>
            </w:r>
          </w:p>
        </w:tc>
        <w:tc>
          <w:tcPr>
            <w:tcW w:w="4866"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集团成员公司关系（含非法人机构），数据报送以填报机构为最前一层逐步向后扩展；两个成员公司之间同时相互持股时，应分别填报；对于同一持有关系，填报一个方向即可。根节点数据无需报送。</w:t>
            </w:r>
          </w:p>
        </w:tc>
      </w:tr>
      <w:tr>
        <w:tblPrEx>
          <w:tblCellMar>
            <w:top w:w="0" w:type="dxa"/>
            <w:left w:w="108" w:type="dxa"/>
            <w:bottom w:w="0" w:type="dxa"/>
            <w:right w:w="108" w:type="dxa"/>
          </w:tblCellMar>
        </w:tblPrEx>
        <w:trPr>
          <w:trHeight w:val="7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保险集团（控股）公司保险许可证号码</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JT_BXXKZHM</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中国银保监会统一设计和印制，授权给保险机构经营保险业务的许可证上记录的机构编码。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保险集团（控股）公司统一社会信用代码</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JT_TYSHXYDM</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7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保险集团（控股）公司名称</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JT_MC</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流水号</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LSH</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001001</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成员公司保险许可证号码</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CY_BXXKZHM</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中国银保监会统一设计和印制，授权给保险机构经营保险业务的许可证上记录的机构编码。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成员公司统一社会信用代码</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CY_TYSHXYDM</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境内成员公司填写统一社会信用代码，境外成员公司则填写企业注册码、税务号等有效代码。如无上述代码，机构可自行定义。</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成员公司名称</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CY_MC</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001002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成员公司工商注册的名称。若为非法人机构，填报有关部门批准正式使用的全称。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下一层成员公司名称</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XYCCYGSMC</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001002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下一层成员公司工商注册的名称。若为非法人机构，填报有关部门批准正式使用的全称。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下一层成员公司代码</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XYCCYGSDM</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004002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填写法人或其他组织的统一社会信用代码等有效代码。如无上述代码，机构可自行定义。</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持有比例</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CYBL</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001049</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填报持有下一层成员公司权益份额的比例，填数字，不填百分比，最少保留两位小数，比如12.34%填写为12.34</w:t>
            </w:r>
            <w:r>
              <w:rPr>
                <w:rFonts w:ascii="宋体" w:hAnsi="宋体" w:eastAsia="宋体" w:cs="宋体"/>
                <w:color w:val="000000"/>
                <w:kern w:val="0"/>
                <w:sz w:val="21"/>
                <w:szCs w:val="21"/>
              </w:rPr>
              <w:t>。</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该关系是否仍然有效</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GGXSFRRYX</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001010</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参照《业务代码表》中的“是否判断代码”，填报代码。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生效日期</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SXRQ</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该关系生效的时间。YYYYMMDD。</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失效日期</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SXRQ2</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该关系失效的时间。YYYYMMDD。当“该关系是否仍然有效”为“否”时，失效日期字段为必填。</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采集日期</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CJRQ</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bl>
    <w:p>
      <w:pPr>
        <w:ind w:firstLine="0" w:firstLineChars="0"/>
      </w:pPr>
    </w:p>
    <w:bookmarkEnd w:id="128"/>
    <w:bookmarkEnd w:id="129"/>
    <w:bookmarkEnd w:id="130"/>
    <w:bookmarkEnd w:id="131"/>
    <w:bookmarkEnd w:id="132"/>
    <w:bookmarkEnd w:id="133"/>
    <w:bookmarkEnd w:id="134"/>
    <w:bookmarkEnd w:id="135"/>
    <w:bookmarkEnd w:id="136"/>
    <w:p>
      <w:pPr>
        <w:pStyle w:val="4"/>
        <w:tabs>
          <w:tab w:val="left" w:pos="709"/>
          <w:tab w:val="left" w:pos="993"/>
        </w:tabs>
        <w:ind w:left="0" w:firstLine="600"/>
      </w:pPr>
      <w:r>
        <w:rPr>
          <w:rFonts w:hint="eastAsia" w:ascii="仿宋" w:hAnsi="仿宋" w:eastAsia="仿宋"/>
          <w:szCs w:val="30"/>
        </w:rPr>
        <w:t>保险集团（控股）公司</w:t>
      </w:r>
    </w:p>
    <w:p>
      <w:pPr>
        <w:keepNext/>
        <w:keepLines/>
        <w:numPr>
          <w:ilvl w:val="1"/>
          <w:numId w:val="7"/>
        </w:numPr>
        <w:ind w:firstLineChars="0"/>
        <w:outlineLvl w:val="3"/>
        <w:rPr>
          <w:rFonts w:ascii="仿宋" w:hAnsi="仿宋" w:eastAsia="仿宋"/>
          <w:b/>
        </w:rPr>
      </w:pPr>
      <w:r>
        <w:rPr>
          <w:rFonts w:hint="eastAsia" w:ascii="仿宋" w:hAnsi="仿宋" w:eastAsia="仿宋"/>
          <w:b/>
        </w:rPr>
        <w:t>机构信息表</w:t>
      </w:r>
    </w:p>
    <w:tbl>
      <w:tblPr>
        <w:tblStyle w:val="25"/>
        <w:tblW w:w="8824" w:type="dxa"/>
        <w:tblInd w:w="0" w:type="dxa"/>
        <w:tblLayout w:type="fixed"/>
        <w:tblCellMar>
          <w:top w:w="0" w:type="dxa"/>
          <w:left w:w="108" w:type="dxa"/>
          <w:bottom w:w="0" w:type="dxa"/>
          <w:right w:w="108" w:type="dxa"/>
        </w:tblCellMar>
      </w:tblPr>
      <w:tblGrid>
        <w:gridCol w:w="1408"/>
        <w:gridCol w:w="1354"/>
        <w:gridCol w:w="872"/>
        <w:gridCol w:w="3727"/>
        <w:gridCol w:w="821"/>
        <w:gridCol w:w="642"/>
      </w:tblGrid>
      <w:tr>
        <w:tblPrEx>
          <w:tblCellMar>
            <w:top w:w="0" w:type="dxa"/>
            <w:left w:w="108" w:type="dxa"/>
            <w:bottom w:w="0" w:type="dxa"/>
            <w:right w:w="108" w:type="dxa"/>
          </w:tblCellMar>
        </w:tblPrEx>
        <w:trPr>
          <w:trHeight w:val="290" w:hRule="atLeast"/>
        </w:trPr>
        <w:tc>
          <w:tcPr>
            <w:tcW w:w="140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35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872"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190"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57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JGXXB</w:t>
            </w:r>
          </w:p>
        </w:tc>
        <w:tc>
          <w:tcPr>
            <w:tcW w:w="13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机构信息表</w:t>
            </w:r>
          </w:p>
        </w:tc>
        <w:tc>
          <w:tcPr>
            <w:tcW w:w="8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A0</w:t>
            </w:r>
            <w:r>
              <w:rPr>
                <w:rFonts w:ascii="宋体" w:hAnsi="宋体" w:eastAsia="宋体" w:cs="宋体"/>
                <w:color w:val="000000"/>
                <w:kern w:val="0"/>
                <w:sz w:val="21"/>
                <w:szCs w:val="21"/>
              </w:rPr>
              <w:t>2</w:t>
            </w:r>
            <w:r>
              <w:rPr>
                <w:rFonts w:hint="eastAsia" w:ascii="宋体" w:hAnsi="宋体" w:eastAsia="宋体" w:cs="宋体"/>
                <w:color w:val="000000"/>
                <w:kern w:val="0"/>
                <w:sz w:val="21"/>
                <w:szCs w:val="21"/>
              </w:rPr>
              <w:t>01</w:t>
            </w:r>
          </w:p>
        </w:tc>
        <w:tc>
          <w:tcPr>
            <w:tcW w:w="5190"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本表报送保险集团（控股）公司注册信息。</w:t>
            </w:r>
          </w:p>
        </w:tc>
      </w:tr>
      <w:tr>
        <w:tblPrEx>
          <w:tblCellMar>
            <w:top w:w="0" w:type="dxa"/>
            <w:left w:w="108" w:type="dxa"/>
            <w:bottom w:w="0" w:type="dxa"/>
            <w:right w:w="108" w:type="dxa"/>
          </w:tblCellMar>
        </w:tblPrEx>
        <w:trPr>
          <w:trHeight w:val="79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3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8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7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82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64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55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保险集团（控股）公司保险许可证号码</w:t>
            </w:r>
          </w:p>
        </w:tc>
        <w:tc>
          <w:tcPr>
            <w:tcW w:w="13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JT_BXXKZHM</w:t>
            </w:r>
          </w:p>
        </w:tc>
        <w:tc>
          <w:tcPr>
            <w:tcW w:w="8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001042</w:t>
            </w:r>
          </w:p>
        </w:tc>
        <w:tc>
          <w:tcPr>
            <w:tcW w:w="37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中国银保监会统一设计和印制，授权给保险机构经营保险业务的许可证上记录的机构编码。</w:t>
            </w:r>
          </w:p>
        </w:tc>
        <w:tc>
          <w:tcPr>
            <w:tcW w:w="82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64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保险集团（控股）公司统一社会信用代码</w:t>
            </w:r>
          </w:p>
        </w:tc>
        <w:tc>
          <w:tcPr>
            <w:tcW w:w="13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JT_TYSHXYDM</w:t>
            </w:r>
          </w:p>
        </w:tc>
        <w:tc>
          <w:tcPr>
            <w:tcW w:w="8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001003</w:t>
            </w:r>
          </w:p>
        </w:tc>
        <w:tc>
          <w:tcPr>
            <w:tcW w:w="37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保险集团（控股）公司的统一社会信用代码。</w:t>
            </w:r>
          </w:p>
        </w:tc>
        <w:tc>
          <w:tcPr>
            <w:tcW w:w="82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64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79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保险集团（控股）公司名称</w:t>
            </w:r>
          </w:p>
        </w:tc>
        <w:tc>
          <w:tcPr>
            <w:tcW w:w="13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JT_MC</w:t>
            </w:r>
          </w:p>
        </w:tc>
        <w:tc>
          <w:tcPr>
            <w:tcW w:w="8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7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保险集团（控股）公司的保险许可证中的机构名称。</w:t>
            </w:r>
          </w:p>
        </w:tc>
        <w:tc>
          <w:tcPr>
            <w:tcW w:w="82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64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流水号</w:t>
            </w:r>
          </w:p>
        </w:tc>
        <w:tc>
          <w:tcPr>
            <w:tcW w:w="13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LSH</w:t>
            </w:r>
          </w:p>
        </w:tc>
        <w:tc>
          <w:tcPr>
            <w:tcW w:w="8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001001</w:t>
            </w:r>
          </w:p>
        </w:tc>
        <w:tc>
          <w:tcPr>
            <w:tcW w:w="37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统一社会信用代码+日期（YYYYMMDD）+10位流水，流水号是每天的流水号，每天都是从‘0000000001’开始。其中日期为上报数据时当前的系统日期。</w:t>
            </w:r>
          </w:p>
        </w:tc>
        <w:tc>
          <w:tcPr>
            <w:tcW w:w="82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64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109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LEI编码</w:t>
            </w:r>
          </w:p>
        </w:tc>
        <w:tc>
          <w:tcPr>
            <w:tcW w:w="13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LEIBM</w:t>
            </w:r>
          </w:p>
        </w:tc>
        <w:tc>
          <w:tcPr>
            <w:tcW w:w="8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001004</w:t>
            </w:r>
          </w:p>
        </w:tc>
        <w:tc>
          <w:tcPr>
            <w:tcW w:w="37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报机构的全球法人识别编码（LEI），法人识别编码是按照国际标准化组织的《金融服务法人机构识别编码》（ISO17442：2012）标准为法人机构分配的由20位数字和字母组成的唯一编码，可以用于标识与国际金融交易相关联的法人机构。</w:t>
            </w:r>
          </w:p>
        </w:tc>
        <w:tc>
          <w:tcPr>
            <w:tcW w:w="82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64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工商注册日期</w:t>
            </w:r>
          </w:p>
        </w:tc>
        <w:tc>
          <w:tcPr>
            <w:tcW w:w="13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GSZCRQ</w:t>
            </w:r>
          </w:p>
        </w:tc>
        <w:tc>
          <w:tcPr>
            <w:tcW w:w="8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7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以工商注册的成立日期为准。</w:t>
            </w:r>
          </w:p>
        </w:tc>
        <w:tc>
          <w:tcPr>
            <w:tcW w:w="82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64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批复日期</w:t>
            </w:r>
          </w:p>
        </w:tc>
        <w:tc>
          <w:tcPr>
            <w:tcW w:w="13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PFRQ</w:t>
            </w:r>
          </w:p>
        </w:tc>
        <w:tc>
          <w:tcPr>
            <w:tcW w:w="8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7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填报保险集团（控股）公司开业批复文件的日期。</w:t>
            </w:r>
          </w:p>
        </w:tc>
        <w:tc>
          <w:tcPr>
            <w:tcW w:w="82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64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批复文号</w:t>
            </w:r>
          </w:p>
        </w:tc>
        <w:tc>
          <w:tcPr>
            <w:tcW w:w="13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PFWH</w:t>
            </w:r>
          </w:p>
        </w:tc>
        <w:tc>
          <w:tcPr>
            <w:tcW w:w="8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001006</w:t>
            </w:r>
          </w:p>
        </w:tc>
        <w:tc>
          <w:tcPr>
            <w:tcW w:w="37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填报保险集团（控股）公司开业批复文件的文号。</w:t>
            </w:r>
          </w:p>
        </w:tc>
        <w:tc>
          <w:tcPr>
            <w:tcW w:w="82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64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经营范围</w:t>
            </w:r>
          </w:p>
        </w:tc>
        <w:tc>
          <w:tcPr>
            <w:tcW w:w="13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JYFW</w:t>
            </w:r>
          </w:p>
        </w:tc>
        <w:tc>
          <w:tcPr>
            <w:tcW w:w="8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001007</w:t>
            </w:r>
          </w:p>
        </w:tc>
        <w:tc>
          <w:tcPr>
            <w:tcW w:w="37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应与工商注册中的经营范围一致。</w:t>
            </w:r>
          </w:p>
        </w:tc>
        <w:tc>
          <w:tcPr>
            <w:tcW w:w="82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64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注册资本</w:t>
            </w:r>
          </w:p>
        </w:tc>
        <w:tc>
          <w:tcPr>
            <w:tcW w:w="13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cs="宋体"/>
                <w:color w:val="000000"/>
                <w:kern w:val="0"/>
                <w:sz w:val="21"/>
                <w:szCs w:val="21"/>
              </w:rPr>
              <w:t>ZCZB</w:t>
            </w:r>
          </w:p>
        </w:tc>
        <w:tc>
          <w:tcPr>
            <w:tcW w:w="8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7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应与工商注册中的注册资本一致。若注册资本存在外币的情况，公司应自行换算成人民币进行填报。单位：元。</w:t>
            </w:r>
          </w:p>
        </w:tc>
        <w:tc>
          <w:tcPr>
            <w:tcW w:w="82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64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注册地区</w:t>
            </w:r>
          </w:p>
        </w:tc>
        <w:tc>
          <w:tcPr>
            <w:tcW w:w="13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ZCDQ</w:t>
            </w:r>
          </w:p>
        </w:tc>
        <w:tc>
          <w:tcPr>
            <w:tcW w:w="8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001017</w:t>
            </w:r>
          </w:p>
        </w:tc>
        <w:tc>
          <w:tcPr>
            <w:tcW w:w="37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参照《业务代码表》中的“行政区划代码”，填报代码。</w:t>
            </w:r>
          </w:p>
        </w:tc>
        <w:tc>
          <w:tcPr>
            <w:tcW w:w="82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64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注册地址</w:t>
            </w:r>
          </w:p>
        </w:tc>
        <w:tc>
          <w:tcPr>
            <w:tcW w:w="13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ZCDZ</w:t>
            </w:r>
          </w:p>
        </w:tc>
        <w:tc>
          <w:tcPr>
            <w:tcW w:w="8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001009</w:t>
            </w:r>
          </w:p>
        </w:tc>
        <w:tc>
          <w:tcPr>
            <w:tcW w:w="37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按照工商注册信息中的注册地填报。</w:t>
            </w:r>
          </w:p>
        </w:tc>
        <w:tc>
          <w:tcPr>
            <w:tcW w:w="82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64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是否有分支机构</w:t>
            </w:r>
          </w:p>
        </w:tc>
        <w:tc>
          <w:tcPr>
            <w:tcW w:w="13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SFYFZJG</w:t>
            </w:r>
          </w:p>
        </w:tc>
        <w:tc>
          <w:tcPr>
            <w:tcW w:w="8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001010</w:t>
            </w:r>
          </w:p>
        </w:tc>
        <w:tc>
          <w:tcPr>
            <w:tcW w:w="37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参照《业务代码表》中的“是否判断代码”，填报代码。</w:t>
            </w:r>
          </w:p>
        </w:tc>
        <w:tc>
          <w:tcPr>
            <w:tcW w:w="82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64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法定代表人法定名称</w:t>
            </w:r>
          </w:p>
        </w:tc>
        <w:tc>
          <w:tcPr>
            <w:tcW w:w="13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JT_FDDBRFDMC</w:t>
            </w:r>
          </w:p>
        </w:tc>
        <w:tc>
          <w:tcPr>
            <w:tcW w:w="8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001011</w:t>
            </w:r>
          </w:p>
        </w:tc>
        <w:tc>
          <w:tcPr>
            <w:tcW w:w="37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填写法定代表人姓名，应与工商注册的姓名一致。</w:t>
            </w:r>
          </w:p>
        </w:tc>
        <w:tc>
          <w:tcPr>
            <w:tcW w:w="82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64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法定代表人证件类型</w:t>
            </w:r>
          </w:p>
        </w:tc>
        <w:tc>
          <w:tcPr>
            <w:tcW w:w="13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JT_FDDBRZJLX</w:t>
            </w:r>
          </w:p>
        </w:tc>
        <w:tc>
          <w:tcPr>
            <w:tcW w:w="8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001019</w:t>
            </w:r>
          </w:p>
        </w:tc>
        <w:tc>
          <w:tcPr>
            <w:tcW w:w="37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法定代表人证件类型，参照《业务代码表》中的“证件类型代码”，填报代码。</w:t>
            </w:r>
          </w:p>
        </w:tc>
        <w:tc>
          <w:tcPr>
            <w:tcW w:w="82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64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法定代表人证件号码</w:t>
            </w:r>
          </w:p>
        </w:tc>
        <w:tc>
          <w:tcPr>
            <w:tcW w:w="13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JT_FDDBRZJHM</w:t>
            </w:r>
          </w:p>
        </w:tc>
        <w:tc>
          <w:tcPr>
            <w:tcW w:w="8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001018</w:t>
            </w:r>
          </w:p>
        </w:tc>
        <w:tc>
          <w:tcPr>
            <w:tcW w:w="37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法定代表人证件号码。隐私，保险集团（控股）公司变形。</w:t>
            </w:r>
          </w:p>
        </w:tc>
        <w:tc>
          <w:tcPr>
            <w:tcW w:w="82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64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法定代表人证件到期日</w:t>
            </w:r>
          </w:p>
        </w:tc>
        <w:tc>
          <w:tcPr>
            <w:tcW w:w="13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JT_FDDBRZJDQR</w:t>
            </w:r>
          </w:p>
        </w:tc>
        <w:tc>
          <w:tcPr>
            <w:tcW w:w="8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7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法定代表人证件到期日。</w:t>
            </w:r>
          </w:p>
        </w:tc>
        <w:tc>
          <w:tcPr>
            <w:tcW w:w="82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64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是否有实际控制人</w:t>
            </w:r>
          </w:p>
        </w:tc>
        <w:tc>
          <w:tcPr>
            <w:tcW w:w="13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SFYSJKZR</w:t>
            </w:r>
          </w:p>
        </w:tc>
        <w:tc>
          <w:tcPr>
            <w:tcW w:w="8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001010</w:t>
            </w:r>
          </w:p>
        </w:tc>
        <w:tc>
          <w:tcPr>
            <w:tcW w:w="37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实际控制人指通过投资关系、协议或者其他安排，能够实际支配公司行为的人。参照《业务代码表》中的“是否判断代码”，填报代码。</w:t>
            </w:r>
          </w:p>
        </w:tc>
        <w:tc>
          <w:tcPr>
            <w:tcW w:w="82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64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实际控制人类型</w:t>
            </w:r>
          </w:p>
        </w:tc>
        <w:tc>
          <w:tcPr>
            <w:tcW w:w="13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SJKZRLX</w:t>
            </w:r>
          </w:p>
        </w:tc>
        <w:tc>
          <w:tcPr>
            <w:tcW w:w="8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001014</w:t>
            </w:r>
          </w:p>
        </w:tc>
        <w:tc>
          <w:tcPr>
            <w:tcW w:w="37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参照《业务代码表》中的“实际控制人类型代码”，填报代码。</w:t>
            </w:r>
          </w:p>
        </w:tc>
        <w:tc>
          <w:tcPr>
            <w:tcW w:w="82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64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实际控制人法定名称</w:t>
            </w:r>
          </w:p>
        </w:tc>
        <w:tc>
          <w:tcPr>
            <w:tcW w:w="13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JT_SJKZRFDMC</w:t>
            </w:r>
          </w:p>
        </w:tc>
        <w:tc>
          <w:tcPr>
            <w:tcW w:w="8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001015</w:t>
            </w:r>
          </w:p>
        </w:tc>
        <w:tc>
          <w:tcPr>
            <w:tcW w:w="37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“是否有实际控制人”为“是”时必填。填报实际控制人名称。</w:t>
            </w:r>
          </w:p>
        </w:tc>
        <w:tc>
          <w:tcPr>
            <w:tcW w:w="82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64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实际控制人证件类型</w:t>
            </w:r>
          </w:p>
        </w:tc>
        <w:tc>
          <w:tcPr>
            <w:tcW w:w="13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JT_SJKZRZJLX</w:t>
            </w:r>
          </w:p>
        </w:tc>
        <w:tc>
          <w:tcPr>
            <w:tcW w:w="8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001019</w:t>
            </w:r>
          </w:p>
        </w:tc>
        <w:tc>
          <w:tcPr>
            <w:tcW w:w="37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“是否有实际控制人”为“是”时必填。填报实际控制人证件类型。对自然人，优先选填控制人居民身份证；对机构，优先选填统一社会信用代码。参照《业务代码表》中的“证件类型代码”，填报代码。</w:t>
            </w:r>
          </w:p>
        </w:tc>
        <w:tc>
          <w:tcPr>
            <w:tcW w:w="82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64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实际控制人证件号码</w:t>
            </w:r>
          </w:p>
        </w:tc>
        <w:tc>
          <w:tcPr>
            <w:tcW w:w="13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JT_SJKZRZJHM</w:t>
            </w:r>
          </w:p>
        </w:tc>
        <w:tc>
          <w:tcPr>
            <w:tcW w:w="8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001018</w:t>
            </w:r>
          </w:p>
        </w:tc>
        <w:tc>
          <w:tcPr>
            <w:tcW w:w="37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“是否有实际控制人”为“是”时必填。填报有效证件号码。若为自然人证件号码，隐私，保险集团（控股）公司变形。</w:t>
            </w:r>
          </w:p>
        </w:tc>
        <w:tc>
          <w:tcPr>
            <w:tcW w:w="82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64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实际控制人证件到期日</w:t>
            </w:r>
          </w:p>
        </w:tc>
        <w:tc>
          <w:tcPr>
            <w:tcW w:w="13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JT_SJKZRZJDQR</w:t>
            </w:r>
          </w:p>
        </w:tc>
        <w:tc>
          <w:tcPr>
            <w:tcW w:w="8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7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实际控制人证件到期日。</w:t>
            </w:r>
          </w:p>
        </w:tc>
        <w:tc>
          <w:tcPr>
            <w:tcW w:w="82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64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许可证发放日期</w:t>
            </w:r>
          </w:p>
        </w:tc>
        <w:tc>
          <w:tcPr>
            <w:tcW w:w="13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XKZFFRQ</w:t>
            </w:r>
          </w:p>
        </w:tc>
        <w:tc>
          <w:tcPr>
            <w:tcW w:w="8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7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保险许可证号的发放日期。</w:t>
            </w:r>
          </w:p>
        </w:tc>
        <w:tc>
          <w:tcPr>
            <w:tcW w:w="82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64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许可证注销日期</w:t>
            </w:r>
          </w:p>
        </w:tc>
        <w:tc>
          <w:tcPr>
            <w:tcW w:w="13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XKZZXRQ</w:t>
            </w:r>
          </w:p>
        </w:tc>
        <w:tc>
          <w:tcPr>
            <w:tcW w:w="8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7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保险许可证号的注销日期，如未注销，填写默认值99991231。</w:t>
            </w:r>
          </w:p>
        </w:tc>
        <w:tc>
          <w:tcPr>
            <w:tcW w:w="82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64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采集日期</w:t>
            </w:r>
          </w:p>
        </w:tc>
        <w:tc>
          <w:tcPr>
            <w:tcW w:w="13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CJRQ</w:t>
            </w:r>
          </w:p>
        </w:tc>
        <w:tc>
          <w:tcPr>
            <w:tcW w:w="8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7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82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64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bl>
    <w:p>
      <w:pPr>
        <w:ind w:firstLine="0" w:firstLineChars="0"/>
      </w:pPr>
    </w:p>
    <w:p>
      <w:pPr>
        <w:keepNext/>
        <w:keepLines/>
        <w:numPr>
          <w:ilvl w:val="1"/>
          <w:numId w:val="7"/>
        </w:numPr>
        <w:ind w:firstLineChars="0"/>
        <w:outlineLvl w:val="3"/>
        <w:rPr>
          <w:rFonts w:ascii="仿宋" w:hAnsi="仿宋" w:eastAsia="仿宋"/>
          <w:b/>
        </w:rPr>
      </w:pPr>
      <w:r>
        <w:rPr>
          <w:rFonts w:hint="eastAsia" w:ascii="仿宋" w:hAnsi="仿宋" w:eastAsia="仿宋"/>
          <w:b/>
        </w:rPr>
        <w:t>股权信息表</w:t>
      </w:r>
    </w:p>
    <w:tbl>
      <w:tblPr>
        <w:tblStyle w:val="25"/>
        <w:tblW w:w="8824" w:type="dxa"/>
        <w:tblInd w:w="0" w:type="dxa"/>
        <w:tblLayout w:type="fixed"/>
        <w:tblCellMar>
          <w:top w:w="0" w:type="dxa"/>
          <w:left w:w="108" w:type="dxa"/>
          <w:bottom w:w="0" w:type="dxa"/>
          <w:right w:w="108" w:type="dxa"/>
        </w:tblCellMar>
      </w:tblPr>
      <w:tblGrid>
        <w:gridCol w:w="1408"/>
        <w:gridCol w:w="1276"/>
        <w:gridCol w:w="990"/>
        <w:gridCol w:w="3687"/>
        <w:gridCol w:w="708"/>
        <w:gridCol w:w="755"/>
      </w:tblGrid>
      <w:tr>
        <w:tblPrEx>
          <w:tblCellMar>
            <w:top w:w="0" w:type="dxa"/>
            <w:left w:w="108" w:type="dxa"/>
            <w:bottom w:w="0" w:type="dxa"/>
            <w:right w:w="108" w:type="dxa"/>
          </w:tblCellMar>
        </w:tblPrEx>
        <w:trPr>
          <w:trHeight w:val="290" w:hRule="atLeast"/>
        </w:trPr>
        <w:tc>
          <w:tcPr>
            <w:tcW w:w="140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27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99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150"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57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GQXXB</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股权信息表</w:t>
            </w:r>
          </w:p>
        </w:tc>
        <w:tc>
          <w:tcPr>
            <w:tcW w:w="9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A0</w:t>
            </w:r>
            <w:r>
              <w:rPr>
                <w:rFonts w:ascii="宋体" w:hAnsi="宋体" w:eastAsia="宋体" w:cs="宋体"/>
                <w:color w:val="000000"/>
                <w:kern w:val="0"/>
                <w:sz w:val="21"/>
                <w:szCs w:val="21"/>
              </w:rPr>
              <w:t>2</w:t>
            </w:r>
            <w:r>
              <w:rPr>
                <w:rFonts w:hint="eastAsia" w:ascii="宋体" w:hAnsi="宋体" w:eastAsia="宋体" w:cs="宋体"/>
                <w:color w:val="000000"/>
                <w:kern w:val="0"/>
                <w:sz w:val="21"/>
                <w:szCs w:val="21"/>
              </w:rPr>
              <w:t>02</w:t>
            </w:r>
          </w:p>
        </w:tc>
        <w:tc>
          <w:tcPr>
            <w:tcW w:w="5150"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本表报送保险集团（控股）公司股权组成信息，对于上市公司仅报送持股5%及以上的机构及个人股东信息。</w:t>
            </w:r>
          </w:p>
        </w:tc>
      </w:tr>
      <w:tr>
        <w:tblPrEx>
          <w:tblCellMar>
            <w:top w:w="0" w:type="dxa"/>
            <w:left w:w="108" w:type="dxa"/>
            <w:bottom w:w="0" w:type="dxa"/>
            <w:right w:w="108" w:type="dxa"/>
          </w:tblCellMar>
        </w:tblPrEx>
        <w:trPr>
          <w:trHeight w:val="79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9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55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保险集团（控股）公司保险许可证号码</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JT_BXXKZHM</w:t>
            </w:r>
          </w:p>
        </w:tc>
        <w:tc>
          <w:tcPr>
            <w:tcW w:w="9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001042</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中国银保监会统一设计和印制，授权给保险机构经营保险业务的许可证上记录的机构编码。</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保险集团（控股）公司统一社会信用代码</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JT_TYSHXYDM</w:t>
            </w:r>
          </w:p>
        </w:tc>
        <w:tc>
          <w:tcPr>
            <w:tcW w:w="9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001003</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保险集团（控股）公司的统一社会信用代码。</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79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保险集团（控股）公司名称</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JT_MC</w:t>
            </w:r>
          </w:p>
        </w:tc>
        <w:tc>
          <w:tcPr>
            <w:tcW w:w="9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保险集团（控股）公司的保险许可证中的机构名称。</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流水号</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LSH</w:t>
            </w:r>
          </w:p>
        </w:tc>
        <w:tc>
          <w:tcPr>
            <w:tcW w:w="9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001001</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统一社会信用代码+日期（YYYYMMDD）+10位流水，流水号是每天的流水号，每天都是从‘0000000001’开始。其中日期为上报数据时当前的系统日期。</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股东编号</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GDBH</w:t>
            </w:r>
          </w:p>
        </w:tc>
        <w:tc>
          <w:tcPr>
            <w:tcW w:w="9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001023</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公司内部自行定义的股东编号，应具有唯一性。</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股东法定名称</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JT_GDFDMC</w:t>
            </w:r>
          </w:p>
        </w:tc>
        <w:tc>
          <w:tcPr>
            <w:tcW w:w="9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001015</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对自然人股东，为股东姓名；对法人股东，为股东经有关部门批准正式使用的机构全称。</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股东证件类型</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JT_GDZJLX</w:t>
            </w:r>
          </w:p>
        </w:tc>
        <w:tc>
          <w:tcPr>
            <w:tcW w:w="9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001019</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对自然人，优先选填股东居民身份证；对机构，优先选填统一社会信用代码。参照《业务代码表》中的“证件类型代码”，填报代码。</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股东证件号码</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JT_GDZJHM</w:t>
            </w:r>
          </w:p>
        </w:tc>
        <w:tc>
          <w:tcPr>
            <w:tcW w:w="9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001018</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填写有效证件号码。若为自然人证件号码，隐私，保险集团（控股）公司变形。</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股东证件到期日</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JT_GDZJDQR</w:t>
            </w:r>
          </w:p>
        </w:tc>
        <w:tc>
          <w:tcPr>
            <w:tcW w:w="9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股东证件到期日。</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股东类型</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GDLX</w:t>
            </w:r>
          </w:p>
        </w:tc>
        <w:tc>
          <w:tcPr>
            <w:tcW w:w="9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001020</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按《保险公司股权管理办法》的股东分类填报。参照《业务代码表》中的“股东类型代码”，填报代码。</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股东类别</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GDLB</w:t>
            </w:r>
          </w:p>
        </w:tc>
        <w:tc>
          <w:tcPr>
            <w:tcW w:w="9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001021</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按照股东自然人或机构属性。参照《业务代码表》中的“股东类别代码”，填报代码。</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股东国别</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GDGB</w:t>
            </w:r>
          </w:p>
        </w:tc>
        <w:tc>
          <w:tcPr>
            <w:tcW w:w="9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001022</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参照《业务代码表》中的“国家地区”，填报代码。</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109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LEI编码</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LEIBM</w:t>
            </w:r>
          </w:p>
        </w:tc>
        <w:tc>
          <w:tcPr>
            <w:tcW w:w="9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001004</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股东机构的全球法人机构识别编码，LEI是按照国际标准化组织ISO 17442标准为全球法人分配的唯一识别编码，LEI编码是由20位数字和字母组成的唯一编码。我国LEI编码包括前缀码部分、预留位部分、机构特定部分和校验位四部分。</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行业类型</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HYFL</w:t>
            </w:r>
          </w:p>
        </w:tc>
        <w:tc>
          <w:tcPr>
            <w:tcW w:w="9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001024</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股东为非自然人时，必填。按股东所从事的生产经营活动或其他社会经济活动的性质进行行业分类，参照《业务代码表》中的“行业类型代码”，填报代码。</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持股比例</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CGBL</w:t>
            </w:r>
          </w:p>
        </w:tc>
        <w:tc>
          <w:tcPr>
            <w:tcW w:w="9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001049</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股东在数据日期当日的持股比例，填数字，不填百分比，最少保留两位小数，比如12.34%填写为12.34。</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出资日期</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CZRQ</w:t>
            </w:r>
          </w:p>
        </w:tc>
        <w:tc>
          <w:tcPr>
            <w:tcW w:w="9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该股东最近一次持股份额变化的日期。</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交易币种</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BZ</w:t>
            </w:r>
          </w:p>
        </w:tc>
        <w:tc>
          <w:tcPr>
            <w:tcW w:w="9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002001</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参照《业务代码表》中的“币种代码”，填报代码。</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交易币认缴金额</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JYBRJJE</w:t>
            </w:r>
          </w:p>
        </w:tc>
        <w:tc>
          <w:tcPr>
            <w:tcW w:w="9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交易币认缴金额。</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本位币认缴金额</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BWBRJJE</w:t>
            </w:r>
          </w:p>
        </w:tc>
        <w:tc>
          <w:tcPr>
            <w:tcW w:w="9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交易币按照既定规则的汇率折成的本位币认缴金额。单位：元。</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交易币出资金额</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JYBCZJE</w:t>
            </w:r>
          </w:p>
        </w:tc>
        <w:tc>
          <w:tcPr>
            <w:tcW w:w="9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交易币出资金额。</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本位币出资金额</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BWBCZJE</w:t>
            </w:r>
          </w:p>
        </w:tc>
        <w:tc>
          <w:tcPr>
            <w:tcW w:w="9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交易币按照既定规则的汇率折成的本位币出资金额。单位：元。</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股东是否有效</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GDSFYX</w:t>
            </w:r>
          </w:p>
        </w:tc>
        <w:tc>
          <w:tcPr>
            <w:tcW w:w="9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001010</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参照《业务代码表》中的“是否判断代码”，填报代码。</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109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是否有一致行动人</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SFYYZXDR</w:t>
            </w:r>
          </w:p>
        </w:tc>
        <w:tc>
          <w:tcPr>
            <w:tcW w:w="9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001010</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是否判断代码”，填报代码。一致行动人是指投资者通过协议、其他安排，与其他投资者共同扩大其所能够支配的一个公司股份表决权数量的行为或者事实。达成一致行动的相关投资者，为一致行动人。</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109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一致行动人组别</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YZXDRZB</w:t>
            </w:r>
          </w:p>
        </w:tc>
        <w:tc>
          <w:tcPr>
            <w:tcW w:w="9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001025</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是否有一致行动人为“是”时为必填。组别用数字填写。例如公司有6个股东，分别是A、B、C、D、E、F，其中A、B、C三方为一致行动人，D、E两方为另一组一致行动人，则A、B、C的一致行动人组别填写1，D、E的一致行动人组别填写2。</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股权质押数量</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GQZYSL</w:t>
            </w:r>
          </w:p>
        </w:tc>
        <w:tc>
          <w:tcPr>
            <w:tcW w:w="9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001040</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截至报送日期，股东质押的股份数量。单位：股。若无抵押，则填0。</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股权质押比例</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GQZYBL</w:t>
            </w:r>
          </w:p>
        </w:tc>
        <w:tc>
          <w:tcPr>
            <w:tcW w:w="9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001049</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截至报送日期，股东质押的股份数量占持股数量的比例，填数字，不填百分比，最少保留两位小数，比如12.34%填写为12.34。若无抵押，则填0。</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股权冻结数量</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GQDJSL</w:t>
            </w:r>
          </w:p>
        </w:tc>
        <w:tc>
          <w:tcPr>
            <w:tcW w:w="9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001040</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截至报送日期，股权冻结的股份数量。单位：股。若无冻结，则填0。</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股权冻结比例</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GQDJBL</w:t>
            </w:r>
          </w:p>
        </w:tc>
        <w:tc>
          <w:tcPr>
            <w:tcW w:w="9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001049</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截至报送日期，股东股权冻结的股份数量占持股数量的比例，填数字，不填百分比，最少保留两位小数，比如12.34%填写为12.34。若无抵押，则填0。</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采集日期</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CJRQ</w:t>
            </w:r>
          </w:p>
        </w:tc>
        <w:tc>
          <w:tcPr>
            <w:tcW w:w="9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bl>
    <w:p>
      <w:pPr>
        <w:ind w:firstLine="0" w:firstLineChars="0"/>
      </w:pPr>
    </w:p>
    <w:p>
      <w:pPr>
        <w:keepNext/>
        <w:keepLines/>
        <w:numPr>
          <w:ilvl w:val="1"/>
          <w:numId w:val="8"/>
        </w:numPr>
        <w:ind w:firstLineChars="0"/>
        <w:outlineLvl w:val="3"/>
        <w:rPr>
          <w:rFonts w:ascii="仿宋" w:hAnsi="仿宋" w:eastAsia="仿宋"/>
          <w:b/>
        </w:rPr>
      </w:pPr>
      <w:r>
        <w:rPr>
          <w:rFonts w:hint="eastAsia" w:ascii="仿宋" w:hAnsi="仿宋" w:eastAsia="仿宋"/>
          <w:b/>
        </w:rPr>
        <w:t>机构处罚信息表</w:t>
      </w:r>
    </w:p>
    <w:tbl>
      <w:tblPr>
        <w:tblStyle w:val="25"/>
        <w:tblW w:w="8824" w:type="dxa"/>
        <w:tblInd w:w="0" w:type="dxa"/>
        <w:tblLayout w:type="fixed"/>
        <w:tblCellMar>
          <w:top w:w="0" w:type="dxa"/>
          <w:left w:w="108" w:type="dxa"/>
          <w:bottom w:w="0" w:type="dxa"/>
          <w:right w:w="108" w:type="dxa"/>
        </w:tblCellMar>
      </w:tblPr>
      <w:tblGrid>
        <w:gridCol w:w="1406"/>
        <w:gridCol w:w="1278"/>
        <w:gridCol w:w="849"/>
        <w:gridCol w:w="3828"/>
        <w:gridCol w:w="708"/>
        <w:gridCol w:w="755"/>
      </w:tblGrid>
      <w:tr>
        <w:tblPrEx>
          <w:tblCellMar>
            <w:top w:w="0" w:type="dxa"/>
            <w:left w:w="108" w:type="dxa"/>
            <w:bottom w:w="0" w:type="dxa"/>
            <w:right w:w="108" w:type="dxa"/>
          </w:tblCellMar>
        </w:tblPrEx>
        <w:trPr>
          <w:trHeight w:val="290" w:hRule="atLeast"/>
        </w:trPr>
        <w:tc>
          <w:tcPr>
            <w:tcW w:w="140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2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849"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29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570" w:hRule="atLeast"/>
        </w:trPr>
        <w:tc>
          <w:tcPr>
            <w:tcW w:w="14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JGCFXXB</w:t>
            </w:r>
          </w:p>
        </w:tc>
        <w:tc>
          <w:tcPr>
            <w:tcW w:w="12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机构处罚信息表</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A0</w:t>
            </w:r>
            <w:r>
              <w:rPr>
                <w:rFonts w:ascii="宋体" w:hAnsi="宋体" w:eastAsia="宋体" w:cs="宋体"/>
                <w:color w:val="000000"/>
                <w:kern w:val="0"/>
                <w:sz w:val="21"/>
                <w:szCs w:val="21"/>
              </w:rPr>
              <w:t>2</w:t>
            </w:r>
            <w:r>
              <w:rPr>
                <w:rFonts w:hint="eastAsia" w:ascii="宋体" w:hAnsi="宋体" w:eastAsia="宋体" w:cs="宋体"/>
                <w:color w:val="000000"/>
                <w:kern w:val="0"/>
                <w:sz w:val="21"/>
                <w:szCs w:val="21"/>
              </w:rPr>
              <w:t>0</w:t>
            </w:r>
            <w:r>
              <w:rPr>
                <w:rFonts w:ascii="宋体" w:hAnsi="宋体" w:eastAsia="宋体" w:cs="宋体"/>
                <w:color w:val="000000"/>
                <w:kern w:val="0"/>
                <w:sz w:val="21"/>
                <w:szCs w:val="21"/>
              </w:rPr>
              <w:t>3</w:t>
            </w:r>
          </w:p>
        </w:tc>
        <w:tc>
          <w:tcPr>
            <w:tcW w:w="529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本表报送保险集团（控股）公司的处罚信息。</w:t>
            </w:r>
          </w:p>
        </w:tc>
      </w:tr>
      <w:tr>
        <w:tblPrEx>
          <w:tblCellMar>
            <w:top w:w="0" w:type="dxa"/>
            <w:left w:w="108" w:type="dxa"/>
            <w:bottom w:w="0" w:type="dxa"/>
            <w:right w:w="108" w:type="dxa"/>
          </w:tblCellMar>
        </w:tblPrEx>
        <w:trPr>
          <w:trHeight w:val="790" w:hRule="atLeast"/>
        </w:trPr>
        <w:tc>
          <w:tcPr>
            <w:tcW w:w="14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2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8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rPr>
          <w:trHeight w:val="550" w:hRule="atLeast"/>
        </w:trPr>
        <w:tc>
          <w:tcPr>
            <w:tcW w:w="14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保险集团（控股）公司保险许可证号码</w:t>
            </w:r>
          </w:p>
        </w:tc>
        <w:tc>
          <w:tcPr>
            <w:tcW w:w="12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JT_BXXKZHM</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001042</w:t>
            </w:r>
          </w:p>
        </w:tc>
        <w:tc>
          <w:tcPr>
            <w:tcW w:w="38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中国银保监会统一设计和印制，授权给保险机构经营保险业务的许可证上记录的机构编码。</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4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保险集团（控股）公司统一社会信用代码</w:t>
            </w:r>
          </w:p>
        </w:tc>
        <w:tc>
          <w:tcPr>
            <w:tcW w:w="12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JT_TYSHXYDM</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001003</w:t>
            </w:r>
          </w:p>
        </w:tc>
        <w:tc>
          <w:tcPr>
            <w:tcW w:w="38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保险集团（控股）公司的统一社会信用代码。</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790" w:hRule="atLeast"/>
        </w:trPr>
        <w:tc>
          <w:tcPr>
            <w:tcW w:w="14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保险集团（控股）公司名称</w:t>
            </w:r>
          </w:p>
        </w:tc>
        <w:tc>
          <w:tcPr>
            <w:tcW w:w="12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JT_MC</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8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保险集团（控股）公司的保险许可证中的机构名称。</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4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流水号</w:t>
            </w:r>
          </w:p>
        </w:tc>
        <w:tc>
          <w:tcPr>
            <w:tcW w:w="12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LSH</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001001</w:t>
            </w:r>
          </w:p>
        </w:tc>
        <w:tc>
          <w:tcPr>
            <w:tcW w:w="38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统一社会信用代码+日期（YYYYMMDD）+10位流水，流水号是每天的流水号，每天都是从‘0000000001’开始。其中日期为上报数据时当前的系统日期。</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rPr>
          <w:trHeight w:val="550" w:hRule="atLeast"/>
        </w:trPr>
        <w:tc>
          <w:tcPr>
            <w:tcW w:w="14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负责人代码</w:t>
            </w:r>
          </w:p>
        </w:tc>
        <w:tc>
          <w:tcPr>
            <w:tcW w:w="12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FZRDM</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001034</w:t>
            </w:r>
          </w:p>
        </w:tc>
        <w:tc>
          <w:tcPr>
            <w:tcW w:w="38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受处罚时机构实际经营负责人代码，对应到员工信息表的员工代码数据项。关联数据项：《员工信息表》-“员工代码”。</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4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处罚机关</w:t>
            </w:r>
          </w:p>
        </w:tc>
        <w:tc>
          <w:tcPr>
            <w:tcW w:w="12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CFJG</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001015</w:t>
            </w:r>
          </w:p>
        </w:tc>
        <w:tc>
          <w:tcPr>
            <w:tcW w:w="38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发布该人员处罚决定的，依法有权或受托实施行政处罚的监管机构主体的规范全称；包括但不限于受到人民银行、银保监会、银保监局、政府执法部门等机关的行政处罚。</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处罚文号</w:t>
            </w:r>
          </w:p>
        </w:tc>
        <w:tc>
          <w:tcPr>
            <w:tcW w:w="12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CFWH</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001023</w:t>
            </w:r>
          </w:p>
        </w:tc>
        <w:tc>
          <w:tcPr>
            <w:tcW w:w="38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填写行政处罚机关的处罚文号。</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30" w:hRule="atLeast"/>
        </w:trPr>
        <w:tc>
          <w:tcPr>
            <w:tcW w:w="14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开始日期</w:t>
            </w:r>
          </w:p>
        </w:tc>
        <w:tc>
          <w:tcPr>
            <w:tcW w:w="12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KSRQ</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8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填报处罚开始日期。</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rPr>
          <w:trHeight w:val="550" w:hRule="atLeast"/>
        </w:trPr>
        <w:tc>
          <w:tcPr>
            <w:tcW w:w="14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结束日期</w:t>
            </w:r>
          </w:p>
        </w:tc>
        <w:tc>
          <w:tcPr>
            <w:tcW w:w="12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JSRQ</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8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填报处罚结束日期，存在罚款等处罚无持续时间的情况，开始和结束日期填报同一天。</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4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处罚原因</w:t>
            </w:r>
          </w:p>
        </w:tc>
        <w:tc>
          <w:tcPr>
            <w:tcW w:w="12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CFYY</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001039</w:t>
            </w:r>
          </w:p>
        </w:tc>
        <w:tc>
          <w:tcPr>
            <w:tcW w:w="38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处罚原因的文字描述，若有处罚决定书，填写处罚决定书内容。</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处罚决定</w:t>
            </w:r>
          </w:p>
        </w:tc>
        <w:tc>
          <w:tcPr>
            <w:tcW w:w="12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CFJD</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001039</w:t>
            </w:r>
          </w:p>
        </w:tc>
        <w:tc>
          <w:tcPr>
            <w:tcW w:w="38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处罚决定的文字描述，若有处罚决定书，填写处罚决定书内容。</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4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处罚金额</w:t>
            </w:r>
          </w:p>
        </w:tc>
        <w:tc>
          <w:tcPr>
            <w:tcW w:w="12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CFJE</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8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对机构的处罚金额，以人民币填报，单位：元。如处罚当事人包括个人和机构，合并计算报送。无处罚时上报</w:t>
            </w:r>
            <w:r>
              <w:rPr>
                <w:rFonts w:ascii="宋体" w:hAnsi="宋体" w:eastAsia="宋体"/>
                <w:color w:val="000000"/>
                <w:sz w:val="21"/>
                <w:szCs w:val="21"/>
              </w:rPr>
              <w:t>0。</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rPr>
          <w:trHeight w:val="820" w:hRule="atLeast"/>
        </w:trPr>
        <w:tc>
          <w:tcPr>
            <w:tcW w:w="14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采集日期</w:t>
            </w:r>
          </w:p>
        </w:tc>
        <w:tc>
          <w:tcPr>
            <w:tcW w:w="12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CJRQ</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8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bl>
    <w:p>
      <w:pPr>
        <w:ind w:firstLine="0" w:firstLineChars="0"/>
      </w:pPr>
    </w:p>
    <w:p>
      <w:pPr>
        <w:keepNext/>
        <w:keepLines/>
        <w:numPr>
          <w:ilvl w:val="1"/>
          <w:numId w:val="9"/>
        </w:numPr>
        <w:ind w:firstLineChars="0"/>
        <w:outlineLvl w:val="3"/>
        <w:rPr>
          <w:rFonts w:ascii="仿宋" w:hAnsi="仿宋" w:eastAsia="仿宋"/>
          <w:b/>
        </w:rPr>
      </w:pPr>
      <w:r>
        <w:rPr>
          <w:rFonts w:hint="eastAsia" w:ascii="仿宋" w:hAnsi="仿宋" w:eastAsia="仿宋"/>
          <w:b/>
        </w:rPr>
        <w:t>员工信息表</w:t>
      </w:r>
    </w:p>
    <w:tbl>
      <w:tblPr>
        <w:tblStyle w:val="25"/>
        <w:tblW w:w="8824" w:type="dxa"/>
        <w:tblInd w:w="0" w:type="dxa"/>
        <w:tblLayout w:type="fixed"/>
        <w:tblCellMar>
          <w:top w:w="0" w:type="dxa"/>
          <w:left w:w="108" w:type="dxa"/>
          <w:bottom w:w="0" w:type="dxa"/>
          <w:right w:w="108" w:type="dxa"/>
        </w:tblCellMar>
      </w:tblPr>
      <w:tblGrid>
        <w:gridCol w:w="1549"/>
        <w:gridCol w:w="1276"/>
        <w:gridCol w:w="851"/>
        <w:gridCol w:w="3687"/>
        <w:gridCol w:w="709"/>
        <w:gridCol w:w="752"/>
      </w:tblGrid>
      <w:tr>
        <w:tblPrEx>
          <w:tblCellMar>
            <w:top w:w="0" w:type="dxa"/>
            <w:left w:w="108" w:type="dxa"/>
            <w:bottom w:w="0" w:type="dxa"/>
            <w:right w:w="108" w:type="dxa"/>
          </w:tblCellMar>
        </w:tblPrEx>
        <w:trPr>
          <w:trHeight w:val="290" w:hRule="atLeast"/>
        </w:trPr>
        <w:tc>
          <w:tcPr>
            <w:tcW w:w="15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27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851"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14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57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YGXXB</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员工信息表</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A0</w:t>
            </w:r>
            <w:r>
              <w:rPr>
                <w:rFonts w:ascii="宋体" w:hAnsi="宋体" w:eastAsia="宋体" w:cs="宋体"/>
                <w:color w:val="000000"/>
                <w:kern w:val="0"/>
                <w:sz w:val="21"/>
                <w:szCs w:val="21"/>
              </w:rPr>
              <w:t>2</w:t>
            </w:r>
            <w:r>
              <w:rPr>
                <w:rFonts w:hint="eastAsia" w:ascii="宋体" w:hAnsi="宋体" w:eastAsia="宋体" w:cs="宋体"/>
                <w:color w:val="000000"/>
                <w:kern w:val="0"/>
                <w:sz w:val="21"/>
                <w:szCs w:val="21"/>
              </w:rPr>
              <w:t>0</w:t>
            </w:r>
            <w:r>
              <w:rPr>
                <w:rFonts w:ascii="宋体" w:hAnsi="宋体" w:eastAsia="宋体" w:cs="宋体"/>
                <w:color w:val="000000"/>
                <w:kern w:val="0"/>
                <w:sz w:val="21"/>
                <w:szCs w:val="21"/>
              </w:rPr>
              <w:t>4</w:t>
            </w:r>
          </w:p>
        </w:tc>
        <w:tc>
          <w:tcPr>
            <w:tcW w:w="514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本表报送保险集团（控股）公司所有与公司签订劳动合同的员工信息，包括在岗和离职员工。董事、监事、高管等人员信息应包含在内。</w:t>
            </w:r>
          </w:p>
        </w:tc>
      </w:tr>
      <w:tr>
        <w:tblPrEx>
          <w:tblCellMar>
            <w:top w:w="0" w:type="dxa"/>
            <w:left w:w="108" w:type="dxa"/>
            <w:bottom w:w="0" w:type="dxa"/>
            <w:right w:w="108" w:type="dxa"/>
          </w:tblCellMar>
        </w:tblPrEx>
        <w:trPr>
          <w:trHeight w:val="7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保险集团（控股）公司保险许可证号码</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JT_BXXKZHM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001042</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中国银保监会统一设计和印制，授权给保险机构经营保险业务的许可证上记录的机构编码。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保险集团（控股）公司统一社会信用代码</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JT_TYSHXYDM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001003</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7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保险集团（控股）公司名称</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流水号</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LSH</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001001</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员工代码</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YGDM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001034</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保险集团（控股）公司自行定义的员工编号，具有唯一性。一般由英文字母、数字、常见字符组成。</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3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员工法定名称</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JT_YGFDMC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001011</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员工有效身份证件上的姓名。隐私，保险集团（控股）公司变形。</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员工证件类型</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JT_YGZJLX</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001019</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参照《业务代码表》中的“证件类型代码”，填报代码。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员工证件号码</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JT_YGZJHM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001018</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身份证号、护照号等有效证件号码，隐私，保险集团（控股）公司变形。</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员工证件到期日</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JT_YGZJDQR</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员工证件到期日。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性别</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XB</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001030</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参照《业务代码表》中的“性别代码”，填报代码。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民族</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MZ</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001047</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员工的民族。国家认可的在公安户籍管理部门正式登记注册的客户所属民族。参照《业务代码表》中的“民族代码”，填报代码。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出生日期</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CSRQ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员工出生日期。隐私，暂不取。保险集团（控股）公司需在本地保留原文数据，并报送99991231。</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政治面貌</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ZZMM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001031</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保险集团（控股）公司员工的政治面貌。参照《业务代码表》中的“政治面貌代码”，填报代码。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参加政党日期</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CJZDRQ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001041</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参加政党的日期。</w:t>
            </w:r>
            <w:r>
              <w:rPr>
                <w:rFonts w:ascii="宋体" w:hAnsi="宋体" w:eastAsia="宋体" w:cs="宋体"/>
                <w:color w:val="000000"/>
                <w:kern w:val="0"/>
                <w:sz w:val="21"/>
                <w:szCs w:val="21"/>
              </w:rPr>
              <w:t>YYYYMM，默认值999912。</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员工状态</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YGZT</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001029</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参照《业务代码表》中的“员工状态代码”，填报代码。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员工编制</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YGBZ</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001028</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参照《业务代码表》中的“员工编制代码”，填报代码。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联系电话</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LXDH</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001032</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员工联系电话，区号-座机电话/手机。隐私，暂不取。保险集团（控股）公司需在本地保留原文数据，并报送“隐私”。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学历</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XL</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001033</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员工学历，参照《业务代码表》中的“学历代码”，填报代码。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董监高标志</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DJGBZ</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001010</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参照《业务代码表》中的“是否判断代码”，填报代码。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所属部门</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SSBM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001015</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“董监高标志”为“否”时必填。按公司内部规定名称填写。</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岗位名称</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GWMC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001015</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“董监高标志”为“否”时必填。按公司内部规定名称填写。</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入司日期</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RSRQ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“董监高标志”为“否”时必填。则填报最近一次签订劳动合同的日期，其他人员则填报任职开始日期。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离司日期</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LSRQ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如董监高标志为员工，则填报离司日期，其他人员则填报任职结束日期，若未离司或仍在任职期则填默认值99991231。</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采集日期</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CJRQ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bl>
    <w:p>
      <w:pPr>
        <w:ind w:firstLine="0" w:firstLineChars="0"/>
      </w:pPr>
    </w:p>
    <w:p>
      <w:pPr>
        <w:keepNext/>
        <w:keepLines/>
        <w:numPr>
          <w:ilvl w:val="1"/>
          <w:numId w:val="10"/>
        </w:numPr>
        <w:ind w:firstLineChars="0"/>
        <w:outlineLvl w:val="3"/>
        <w:rPr>
          <w:rFonts w:ascii="仿宋" w:hAnsi="仿宋" w:eastAsia="仿宋"/>
          <w:b/>
        </w:rPr>
      </w:pPr>
      <w:r>
        <w:rPr>
          <w:rFonts w:hint="eastAsia" w:ascii="仿宋" w:hAnsi="仿宋" w:eastAsia="仿宋"/>
          <w:b/>
        </w:rPr>
        <w:t>员工问责信息表</w:t>
      </w:r>
    </w:p>
    <w:tbl>
      <w:tblPr>
        <w:tblStyle w:val="25"/>
        <w:tblW w:w="8824" w:type="dxa"/>
        <w:tblInd w:w="0" w:type="dxa"/>
        <w:tblLayout w:type="fixed"/>
        <w:tblCellMar>
          <w:top w:w="0" w:type="dxa"/>
          <w:left w:w="108" w:type="dxa"/>
          <w:bottom w:w="0" w:type="dxa"/>
          <w:right w:w="108" w:type="dxa"/>
        </w:tblCellMar>
      </w:tblPr>
      <w:tblGrid>
        <w:gridCol w:w="1408"/>
        <w:gridCol w:w="1371"/>
        <w:gridCol w:w="1038"/>
        <w:gridCol w:w="3544"/>
        <w:gridCol w:w="709"/>
        <w:gridCol w:w="754"/>
      </w:tblGrid>
      <w:tr>
        <w:tblPrEx>
          <w:tblCellMar>
            <w:top w:w="0" w:type="dxa"/>
            <w:left w:w="108" w:type="dxa"/>
            <w:bottom w:w="0" w:type="dxa"/>
            <w:right w:w="108" w:type="dxa"/>
          </w:tblCellMar>
        </w:tblPrEx>
        <w:trPr>
          <w:trHeight w:val="290" w:hRule="atLeast"/>
        </w:trPr>
        <w:tc>
          <w:tcPr>
            <w:tcW w:w="140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371"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103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007"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57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YGWZXXB</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bookmarkStart w:id="139" w:name="_Hlk85717191"/>
            <w:r>
              <w:rPr>
                <w:rFonts w:hint="eastAsia" w:ascii="宋体" w:hAnsi="宋体" w:eastAsia="宋体" w:cs="宋体"/>
                <w:color w:val="000000"/>
                <w:kern w:val="0"/>
                <w:sz w:val="21"/>
                <w:szCs w:val="21"/>
              </w:rPr>
              <w:t>员工问责信息表</w:t>
            </w:r>
            <w:bookmarkEnd w:id="139"/>
          </w:p>
        </w:tc>
        <w:tc>
          <w:tcPr>
            <w:tcW w:w="10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A0</w:t>
            </w:r>
            <w:r>
              <w:rPr>
                <w:rFonts w:ascii="宋体" w:hAnsi="宋体" w:eastAsia="宋体" w:cs="宋体"/>
                <w:color w:val="000000"/>
                <w:kern w:val="0"/>
                <w:sz w:val="21"/>
                <w:szCs w:val="21"/>
              </w:rPr>
              <w:t>2</w:t>
            </w:r>
            <w:r>
              <w:rPr>
                <w:rFonts w:hint="eastAsia" w:ascii="宋体" w:hAnsi="宋体" w:eastAsia="宋体" w:cs="宋体"/>
                <w:color w:val="000000"/>
                <w:kern w:val="0"/>
                <w:sz w:val="21"/>
                <w:szCs w:val="21"/>
              </w:rPr>
              <w:t>0</w:t>
            </w:r>
            <w:r>
              <w:rPr>
                <w:rFonts w:ascii="宋体" w:hAnsi="宋体" w:eastAsia="宋体" w:cs="宋体"/>
                <w:color w:val="000000"/>
                <w:kern w:val="0"/>
                <w:sz w:val="21"/>
                <w:szCs w:val="21"/>
              </w:rPr>
              <w:t>5</w:t>
            </w:r>
          </w:p>
        </w:tc>
        <w:tc>
          <w:tcPr>
            <w:tcW w:w="5007"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本表报送保险集团（控股）公司所有与公司签订劳动合同的员工，因违法、违反党纪等被本机构公开问责的情况。人员包括董事、监事、高管及其他员工，同一人受到多次问责的应分别填报。</w:t>
            </w:r>
          </w:p>
        </w:tc>
      </w:tr>
      <w:tr>
        <w:tblPrEx>
          <w:tblCellMar>
            <w:top w:w="0" w:type="dxa"/>
            <w:left w:w="108" w:type="dxa"/>
            <w:bottom w:w="0" w:type="dxa"/>
            <w:right w:w="108" w:type="dxa"/>
          </w:tblCellMar>
        </w:tblPrEx>
        <w:trPr>
          <w:trHeight w:val="79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10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55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保险集团（控股）公司保险许可证号码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JT_BXXKZHM</w:t>
            </w:r>
          </w:p>
        </w:tc>
        <w:tc>
          <w:tcPr>
            <w:tcW w:w="10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001042</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中国银保监会统一设计和印制，授权给保险机构经营保险业务的许可证上记录的机构编码。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保险集团（控股）公司统一社会信用代码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JT_TYSHXYDM</w:t>
            </w:r>
          </w:p>
        </w:tc>
        <w:tc>
          <w:tcPr>
            <w:tcW w:w="10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001003</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79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JT_MC</w:t>
            </w:r>
          </w:p>
        </w:tc>
        <w:tc>
          <w:tcPr>
            <w:tcW w:w="10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流水号</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LSH</w:t>
            </w:r>
          </w:p>
        </w:tc>
        <w:tc>
          <w:tcPr>
            <w:tcW w:w="10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001001</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员工代码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YGDM</w:t>
            </w:r>
          </w:p>
        </w:tc>
        <w:tc>
          <w:tcPr>
            <w:tcW w:w="10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001034</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公司内部自行定义的员工工号或内部编码，具有唯一性。</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3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被问责员工法定名称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JT_BWZYGFDMC</w:t>
            </w:r>
          </w:p>
        </w:tc>
        <w:tc>
          <w:tcPr>
            <w:tcW w:w="10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001011</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被问责员工有效身份证件上的姓名。隐私，保险集团（控股）公司变形。</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被问责员工证件类型</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JT_BWZYGZJLX</w:t>
            </w:r>
          </w:p>
        </w:tc>
        <w:tc>
          <w:tcPr>
            <w:tcW w:w="10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001019</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参照《业务代码表》中的“证件类型代码”，填报代码。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被问责员工证件号码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JT_BWZYGZJHM</w:t>
            </w:r>
          </w:p>
        </w:tc>
        <w:tc>
          <w:tcPr>
            <w:tcW w:w="10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001018</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身份证号、护照号等有效证件号码，隐私，保险集团（控股）公司变形。</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被问责员工证件到期日</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JT_BWZYGZJDQR</w:t>
            </w:r>
          </w:p>
        </w:tc>
        <w:tc>
          <w:tcPr>
            <w:tcW w:w="10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被问责员工证件到期日。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问责文号</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cs="宋体"/>
                <w:color w:val="000000"/>
                <w:kern w:val="0"/>
                <w:sz w:val="21"/>
                <w:szCs w:val="21"/>
              </w:rPr>
              <w:t>WZWH</w:t>
            </w:r>
          </w:p>
        </w:tc>
        <w:tc>
          <w:tcPr>
            <w:tcW w:w="10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001023</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填写问责文件的文号。</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问责日期</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WZRQ</w:t>
            </w:r>
          </w:p>
        </w:tc>
        <w:tc>
          <w:tcPr>
            <w:tcW w:w="10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填写问责文件的发文日期。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问责原因</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WZYY</w:t>
            </w:r>
          </w:p>
        </w:tc>
        <w:tc>
          <w:tcPr>
            <w:tcW w:w="10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001035</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问责原因的文字描述，填写问责决定书内容。</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采集日期</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CJRQ</w:t>
            </w:r>
          </w:p>
        </w:tc>
        <w:tc>
          <w:tcPr>
            <w:tcW w:w="10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bl>
    <w:p>
      <w:pPr>
        <w:ind w:firstLine="0" w:firstLineChars="0"/>
      </w:pPr>
    </w:p>
    <w:p>
      <w:pPr>
        <w:keepNext/>
        <w:keepLines/>
        <w:numPr>
          <w:ilvl w:val="1"/>
          <w:numId w:val="11"/>
        </w:numPr>
        <w:ind w:firstLineChars="0"/>
        <w:outlineLvl w:val="3"/>
        <w:rPr>
          <w:rFonts w:ascii="仿宋" w:hAnsi="仿宋" w:eastAsia="仿宋"/>
          <w:b/>
        </w:rPr>
      </w:pPr>
      <w:r>
        <w:rPr>
          <w:rFonts w:hint="eastAsia" w:ascii="仿宋" w:hAnsi="仿宋" w:eastAsia="仿宋"/>
          <w:b/>
        </w:rPr>
        <w:t>董监高履职信息表</w:t>
      </w:r>
    </w:p>
    <w:tbl>
      <w:tblPr>
        <w:tblStyle w:val="25"/>
        <w:tblW w:w="8824" w:type="dxa"/>
        <w:tblInd w:w="0" w:type="dxa"/>
        <w:tblLayout w:type="fixed"/>
        <w:tblCellMar>
          <w:top w:w="0" w:type="dxa"/>
          <w:left w:w="108" w:type="dxa"/>
          <w:bottom w:w="0" w:type="dxa"/>
          <w:right w:w="108" w:type="dxa"/>
        </w:tblCellMar>
      </w:tblPr>
      <w:tblGrid>
        <w:gridCol w:w="1408"/>
        <w:gridCol w:w="1133"/>
        <w:gridCol w:w="927"/>
        <w:gridCol w:w="3893"/>
        <w:gridCol w:w="709"/>
        <w:gridCol w:w="754"/>
      </w:tblGrid>
      <w:tr>
        <w:tblPrEx>
          <w:tblCellMar>
            <w:top w:w="0" w:type="dxa"/>
            <w:left w:w="108" w:type="dxa"/>
            <w:bottom w:w="0" w:type="dxa"/>
            <w:right w:w="108" w:type="dxa"/>
          </w:tblCellMar>
        </w:tblPrEx>
        <w:trPr>
          <w:trHeight w:val="290" w:hRule="atLeast"/>
        </w:trPr>
        <w:tc>
          <w:tcPr>
            <w:tcW w:w="140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13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92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356"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57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DJGLZXXB</w:t>
            </w:r>
          </w:p>
        </w:tc>
        <w:tc>
          <w:tcPr>
            <w:tcW w:w="113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bookmarkStart w:id="140" w:name="_Hlk85717954"/>
            <w:r>
              <w:rPr>
                <w:rFonts w:hint="eastAsia" w:ascii="宋体" w:hAnsi="宋体" w:eastAsia="宋体" w:cs="宋体"/>
                <w:color w:val="000000"/>
                <w:kern w:val="0"/>
                <w:sz w:val="21"/>
                <w:szCs w:val="21"/>
              </w:rPr>
              <w:t>董监高履职信息表</w:t>
            </w:r>
            <w:bookmarkEnd w:id="140"/>
          </w:p>
        </w:tc>
        <w:tc>
          <w:tcPr>
            <w:tcW w:w="9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A0</w:t>
            </w:r>
            <w:r>
              <w:rPr>
                <w:rFonts w:ascii="宋体" w:hAnsi="宋体" w:eastAsia="宋体" w:cs="宋体"/>
                <w:color w:val="000000"/>
                <w:kern w:val="0"/>
                <w:sz w:val="21"/>
                <w:szCs w:val="21"/>
              </w:rPr>
              <w:t>2</w:t>
            </w:r>
            <w:r>
              <w:rPr>
                <w:rFonts w:hint="eastAsia" w:ascii="宋体" w:hAnsi="宋体" w:eastAsia="宋体" w:cs="宋体"/>
                <w:color w:val="000000"/>
                <w:kern w:val="0"/>
                <w:sz w:val="21"/>
                <w:szCs w:val="21"/>
              </w:rPr>
              <w:t>0</w:t>
            </w:r>
            <w:r>
              <w:rPr>
                <w:rFonts w:ascii="宋体" w:hAnsi="宋体" w:eastAsia="宋体" w:cs="宋体"/>
                <w:color w:val="000000"/>
                <w:kern w:val="0"/>
                <w:sz w:val="21"/>
                <w:szCs w:val="21"/>
              </w:rPr>
              <w:t>6</w:t>
            </w:r>
          </w:p>
        </w:tc>
        <w:tc>
          <w:tcPr>
            <w:tcW w:w="5356"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本表报送保险集团（控股）公司董事、监事、高管范围人员的履职情况信息，如董事、监事、高管兼任多个职务，需要分开报送。</w:t>
            </w:r>
          </w:p>
        </w:tc>
      </w:tr>
      <w:tr>
        <w:tblPrEx>
          <w:tblCellMar>
            <w:top w:w="0" w:type="dxa"/>
            <w:left w:w="108" w:type="dxa"/>
            <w:bottom w:w="0" w:type="dxa"/>
            <w:right w:w="108" w:type="dxa"/>
          </w:tblCellMar>
        </w:tblPrEx>
        <w:trPr>
          <w:trHeight w:val="79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13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9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89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rPr>
          <w:trHeight w:val="55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保险集团（控股）公司保险许可证号码</w:t>
            </w:r>
          </w:p>
        </w:tc>
        <w:tc>
          <w:tcPr>
            <w:tcW w:w="113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JT_BXXKZHM</w:t>
            </w:r>
          </w:p>
        </w:tc>
        <w:tc>
          <w:tcPr>
            <w:tcW w:w="9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001042</w:t>
            </w:r>
          </w:p>
        </w:tc>
        <w:tc>
          <w:tcPr>
            <w:tcW w:w="389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中国银保监会统一设计和印制，授权给保险机构经营保险业务的许可证上记录的机构编码。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保险集团（控股）公司统一社会信用代码</w:t>
            </w:r>
          </w:p>
        </w:tc>
        <w:tc>
          <w:tcPr>
            <w:tcW w:w="113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JT_TYSHXYDM</w:t>
            </w:r>
          </w:p>
        </w:tc>
        <w:tc>
          <w:tcPr>
            <w:tcW w:w="9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001003</w:t>
            </w:r>
          </w:p>
        </w:tc>
        <w:tc>
          <w:tcPr>
            <w:tcW w:w="389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79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保险集团（控股）公司名称</w:t>
            </w:r>
          </w:p>
        </w:tc>
        <w:tc>
          <w:tcPr>
            <w:tcW w:w="113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JT_MC</w:t>
            </w:r>
          </w:p>
        </w:tc>
        <w:tc>
          <w:tcPr>
            <w:tcW w:w="9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89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流水号</w:t>
            </w:r>
          </w:p>
        </w:tc>
        <w:tc>
          <w:tcPr>
            <w:tcW w:w="113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LSH</w:t>
            </w:r>
          </w:p>
        </w:tc>
        <w:tc>
          <w:tcPr>
            <w:tcW w:w="9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001001</w:t>
            </w:r>
          </w:p>
        </w:tc>
        <w:tc>
          <w:tcPr>
            <w:tcW w:w="389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rPr>
          <w:trHeight w:val="29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员工代码</w:t>
            </w:r>
          </w:p>
        </w:tc>
        <w:tc>
          <w:tcPr>
            <w:tcW w:w="113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YGDM</w:t>
            </w:r>
          </w:p>
        </w:tc>
        <w:tc>
          <w:tcPr>
            <w:tcW w:w="9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001034</w:t>
            </w:r>
          </w:p>
        </w:tc>
        <w:tc>
          <w:tcPr>
            <w:tcW w:w="389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指《员工信息表》中公司内部自行定义的员工代码，具有唯一性。</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3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员工法定名称</w:t>
            </w:r>
          </w:p>
        </w:tc>
        <w:tc>
          <w:tcPr>
            <w:tcW w:w="113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JT_YGFDMC</w:t>
            </w:r>
          </w:p>
        </w:tc>
        <w:tc>
          <w:tcPr>
            <w:tcW w:w="9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001011</w:t>
            </w:r>
          </w:p>
        </w:tc>
        <w:tc>
          <w:tcPr>
            <w:tcW w:w="389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员工有效身份证件上的姓名。隐私，保险集团（控股）公司变形。</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员工证件类型</w:t>
            </w:r>
          </w:p>
        </w:tc>
        <w:tc>
          <w:tcPr>
            <w:tcW w:w="113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JT_YGZJLX</w:t>
            </w:r>
          </w:p>
        </w:tc>
        <w:tc>
          <w:tcPr>
            <w:tcW w:w="9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001019</w:t>
            </w:r>
          </w:p>
        </w:tc>
        <w:tc>
          <w:tcPr>
            <w:tcW w:w="389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参照《业务代码表》中的“证件类型代码”，填报代码。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员工证件号码</w:t>
            </w:r>
          </w:p>
        </w:tc>
        <w:tc>
          <w:tcPr>
            <w:tcW w:w="113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JT_YGZJHM</w:t>
            </w:r>
          </w:p>
        </w:tc>
        <w:tc>
          <w:tcPr>
            <w:tcW w:w="9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001018</w:t>
            </w:r>
          </w:p>
        </w:tc>
        <w:tc>
          <w:tcPr>
            <w:tcW w:w="389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身份证号、护照号等有效证件号码，隐私，保险集团（控股）公司变形。</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rPr>
          <w:trHeight w:val="29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员工证件到期日</w:t>
            </w:r>
          </w:p>
        </w:tc>
        <w:tc>
          <w:tcPr>
            <w:tcW w:w="113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JT_YGZJDQR</w:t>
            </w:r>
          </w:p>
        </w:tc>
        <w:tc>
          <w:tcPr>
            <w:tcW w:w="9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89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员工证件到期日。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董监高类型</w:t>
            </w:r>
          </w:p>
        </w:tc>
        <w:tc>
          <w:tcPr>
            <w:tcW w:w="113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cs="宋体"/>
                <w:color w:val="000000"/>
                <w:kern w:val="0"/>
                <w:sz w:val="21"/>
                <w:szCs w:val="21"/>
              </w:rPr>
              <w:t>DJGLX</w:t>
            </w:r>
          </w:p>
        </w:tc>
        <w:tc>
          <w:tcPr>
            <w:tcW w:w="9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001043</w:t>
            </w:r>
          </w:p>
        </w:tc>
        <w:tc>
          <w:tcPr>
            <w:tcW w:w="389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参照《业务代码表》中的“董监高类型代码”，填报代码。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批复日期</w:t>
            </w:r>
          </w:p>
        </w:tc>
        <w:tc>
          <w:tcPr>
            <w:tcW w:w="113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PFRQ</w:t>
            </w:r>
          </w:p>
        </w:tc>
        <w:tc>
          <w:tcPr>
            <w:tcW w:w="9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89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获得董事、监事、高管任职资格的批复日期。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批复文号</w:t>
            </w:r>
          </w:p>
        </w:tc>
        <w:tc>
          <w:tcPr>
            <w:tcW w:w="113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PFWH</w:t>
            </w:r>
          </w:p>
        </w:tc>
        <w:tc>
          <w:tcPr>
            <w:tcW w:w="9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001023</w:t>
            </w:r>
          </w:p>
        </w:tc>
        <w:tc>
          <w:tcPr>
            <w:tcW w:w="389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获得董事、监事、高管任职资格的批复文号。</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rPr>
          <w:trHeight w:val="55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公司职务</w:t>
            </w:r>
          </w:p>
        </w:tc>
        <w:tc>
          <w:tcPr>
            <w:tcW w:w="113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cs="宋体"/>
                <w:color w:val="000000"/>
                <w:kern w:val="0"/>
                <w:sz w:val="21"/>
                <w:szCs w:val="21"/>
              </w:rPr>
              <w:t>GSZW</w:t>
            </w:r>
          </w:p>
        </w:tc>
        <w:tc>
          <w:tcPr>
            <w:tcW w:w="9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001015</w:t>
            </w:r>
          </w:p>
        </w:tc>
        <w:tc>
          <w:tcPr>
            <w:tcW w:w="389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“董监高标志”含“高管”时必填，填报所管辖部门，填写公司内部组织架构中的部门名称，如有多个需列填，以英文分号“;”分隔。</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党内职务</w:t>
            </w:r>
          </w:p>
        </w:tc>
        <w:tc>
          <w:tcPr>
            <w:tcW w:w="113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DNZW</w:t>
            </w:r>
          </w:p>
        </w:tc>
        <w:tc>
          <w:tcPr>
            <w:tcW w:w="9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001048</w:t>
            </w:r>
          </w:p>
        </w:tc>
        <w:tc>
          <w:tcPr>
            <w:tcW w:w="389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国有银行保险机构填报董监高的党内职务。参照《业务代码表》中的“党内职务代码”，填报代码。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专门委员会任职</w:t>
            </w:r>
          </w:p>
        </w:tc>
        <w:tc>
          <w:tcPr>
            <w:tcW w:w="113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ZMWYHRZ</w:t>
            </w:r>
          </w:p>
        </w:tc>
        <w:tc>
          <w:tcPr>
            <w:tcW w:w="9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001016</w:t>
            </w:r>
          </w:p>
        </w:tc>
        <w:tc>
          <w:tcPr>
            <w:tcW w:w="389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填报董事参加的专门委员会名称。如有多个需列填，用“;”隔开。</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开始日期</w:t>
            </w:r>
          </w:p>
        </w:tc>
        <w:tc>
          <w:tcPr>
            <w:tcW w:w="113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KSRQ</w:t>
            </w:r>
          </w:p>
        </w:tc>
        <w:tc>
          <w:tcPr>
            <w:tcW w:w="9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89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填报董事、监事、高管实际到任履职日期。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rPr>
          <w:trHeight w:val="29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结束日期</w:t>
            </w:r>
          </w:p>
        </w:tc>
        <w:tc>
          <w:tcPr>
            <w:tcW w:w="113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JSRQ</w:t>
            </w:r>
          </w:p>
        </w:tc>
        <w:tc>
          <w:tcPr>
            <w:tcW w:w="9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89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填报董事、监事、高管离任日期，若现任职则填默认值99991231。</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提名机构名称</w:t>
            </w:r>
          </w:p>
        </w:tc>
        <w:tc>
          <w:tcPr>
            <w:tcW w:w="113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TMJGMC</w:t>
            </w:r>
          </w:p>
        </w:tc>
        <w:tc>
          <w:tcPr>
            <w:tcW w:w="9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89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“董监高类型”为“董事”或“监事”时必填，填报提名机构名称。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外部公司任职</w:t>
            </w:r>
          </w:p>
        </w:tc>
        <w:tc>
          <w:tcPr>
            <w:tcW w:w="113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WBGSRZ</w:t>
            </w:r>
          </w:p>
        </w:tc>
        <w:tc>
          <w:tcPr>
            <w:tcW w:w="9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001036</w:t>
            </w:r>
          </w:p>
        </w:tc>
        <w:tc>
          <w:tcPr>
            <w:tcW w:w="389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填报董事、监事、高管在外部公司任职情况。</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履职评价结果</w:t>
            </w:r>
          </w:p>
        </w:tc>
        <w:tc>
          <w:tcPr>
            <w:tcW w:w="113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LZPJJG</w:t>
            </w:r>
          </w:p>
        </w:tc>
        <w:tc>
          <w:tcPr>
            <w:tcW w:w="9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001037</w:t>
            </w:r>
          </w:p>
        </w:tc>
        <w:tc>
          <w:tcPr>
            <w:tcW w:w="389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“董监高标志”为“董事”或“监事”时必填，填报董事、监事、高管的最近年度履职评价结果。参照《业务代码表》中的“履职评价结果代码”，填报代码。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rPr>
          <w:trHeight w:val="55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评价结果报告日期</w:t>
            </w:r>
          </w:p>
        </w:tc>
        <w:tc>
          <w:tcPr>
            <w:tcW w:w="113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PJJGBGRQ</w:t>
            </w:r>
          </w:p>
        </w:tc>
        <w:tc>
          <w:tcPr>
            <w:tcW w:w="9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89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“董监高标志”为“董事”或“监事”时必填，填报最近年度公司向监管机构报告董事监事履职情况及评价结果的日期。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40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采集日期</w:t>
            </w:r>
          </w:p>
        </w:tc>
        <w:tc>
          <w:tcPr>
            <w:tcW w:w="113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CJRQ</w:t>
            </w:r>
          </w:p>
        </w:tc>
        <w:tc>
          <w:tcPr>
            <w:tcW w:w="9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89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bl>
    <w:p>
      <w:pPr>
        <w:ind w:firstLine="0" w:firstLineChars="0"/>
      </w:pPr>
    </w:p>
    <w:p>
      <w:pPr>
        <w:keepNext/>
        <w:keepLines/>
        <w:numPr>
          <w:ilvl w:val="1"/>
          <w:numId w:val="12"/>
        </w:numPr>
        <w:ind w:firstLineChars="0"/>
        <w:outlineLvl w:val="3"/>
        <w:rPr>
          <w:rFonts w:ascii="仿宋" w:hAnsi="仿宋" w:eastAsia="仿宋"/>
          <w:b/>
        </w:rPr>
      </w:pPr>
      <w:r>
        <w:rPr>
          <w:rFonts w:hint="eastAsia" w:ascii="仿宋" w:hAnsi="仿宋" w:eastAsia="仿宋"/>
          <w:b/>
        </w:rPr>
        <w:t>董监高处罚信息表</w:t>
      </w:r>
    </w:p>
    <w:tbl>
      <w:tblPr>
        <w:tblStyle w:val="25"/>
        <w:tblW w:w="8824" w:type="dxa"/>
        <w:tblInd w:w="0" w:type="dxa"/>
        <w:tblLayout w:type="fixed"/>
        <w:tblCellMar>
          <w:top w:w="0" w:type="dxa"/>
          <w:left w:w="108" w:type="dxa"/>
          <w:bottom w:w="0" w:type="dxa"/>
          <w:right w:w="108" w:type="dxa"/>
        </w:tblCellMar>
      </w:tblPr>
      <w:tblGrid>
        <w:gridCol w:w="1549"/>
        <w:gridCol w:w="1276"/>
        <w:gridCol w:w="851"/>
        <w:gridCol w:w="3687"/>
        <w:gridCol w:w="709"/>
        <w:gridCol w:w="752"/>
      </w:tblGrid>
      <w:tr>
        <w:tblPrEx>
          <w:tblCellMar>
            <w:top w:w="0" w:type="dxa"/>
            <w:left w:w="108" w:type="dxa"/>
            <w:bottom w:w="0" w:type="dxa"/>
            <w:right w:w="108" w:type="dxa"/>
          </w:tblCellMar>
        </w:tblPrEx>
        <w:trPr>
          <w:trHeight w:val="290" w:hRule="atLeast"/>
        </w:trPr>
        <w:tc>
          <w:tcPr>
            <w:tcW w:w="15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27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851"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14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57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DJGCFXXB</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董监高处罚信息表</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A0</w:t>
            </w:r>
            <w:r>
              <w:rPr>
                <w:rFonts w:ascii="宋体" w:hAnsi="宋体" w:eastAsia="宋体" w:cs="宋体"/>
                <w:color w:val="000000"/>
                <w:kern w:val="0"/>
                <w:sz w:val="21"/>
                <w:szCs w:val="21"/>
              </w:rPr>
              <w:t>2</w:t>
            </w:r>
            <w:r>
              <w:rPr>
                <w:rFonts w:hint="eastAsia" w:ascii="宋体" w:hAnsi="宋体" w:eastAsia="宋体" w:cs="宋体"/>
                <w:color w:val="000000"/>
                <w:kern w:val="0"/>
                <w:sz w:val="21"/>
                <w:szCs w:val="21"/>
              </w:rPr>
              <w:t>0</w:t>
            </w:r>
            <w:r>
              <w:rPr>
                <w:rFonts w:ascii="宋体" w:hAnsi="宋体" w:eastAsia="宋体" w:cs="宋体"/>
                <w:color w:val="000000"/>
                <w:kern w:val="0"/>
                <w:sz w:val="21"/>
                <w:szCs w:val="21"/>
              </w:rPr>
              <w:t>7</w:t>
            </w:r>
          </w:p>
        </w:tc>
        <w:tc>
          <w:tcPr>
            <w:tcW w:w="514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本表报送保险集团（控股）公司所有董事、监事、高管范围的处罚信息，如董事、监事、高管兼任多个职务或受到多个处罚，需要分开报送。</w:t>
            </w:r>
          </w:p>
        </w:tc>
      </w:tr>
      <w:tr>
        <w:tblPrEx>
          <w:tblCellMar>
            <w:top w:w="0" w:type="dxa"/>
            <w:left w:w="108" w:type="dxa"/>
            <w:bottom w:w="0" w:type="dxa"/>
            <w:right w:w="108" w:type="dxa"/>
          </w:tblCellMar>
        </w:tblPrEx>
        <w:trPr>
          <w:trHeight w:val="7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保险集团（控股）公司保险许可证号码</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JT_BXXKZHM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001042</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中国银保监会统一设计和印制，授权给保险机构经营保险业务的许可证上记录的机构编码。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保险集团（控股）公司统一社会信用代码</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JT_TYSHXYDM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001003</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7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保险集团（控股）公司名称</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流水号</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LSH</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001001</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员工代码</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YGDM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001034</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指《员工信息表》中公司内部自行定义的员工代码，具有唯一性。</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3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员工法定名称</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JT_YGFDMC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001011</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员工有效身份证件上的姓名。隐私，保险集团（控股）公司变形。</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员工证件类型</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JT_YGZJLX</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001019</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参照《业务代码表》中的“证件类型代码”，填报代码。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员工证件号码</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JT_YGZJHM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001018</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身份证号、护照号等有效证件号码，隐私，保险集团（控股）公司变形。</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员工证件到期日</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JT_YGZJDQR</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员工证件到期日。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处罚机关</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CFJG</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001015</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发布该人员处罚决定的，依法有权或受托实施行政处罚的监管机构主体的规范全称；包括但不限于受到人民银行、银保监会、银保监局、政府执法部门等机关的行政处罚。</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处罚文号</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CFWH</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001023</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填写行政处罚机关的处罚文号。</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开始日期</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KSRQ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填报处罚开始日期。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结束日期</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JSRQ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填报处罚结束日期，存在罚款等处罚无持续时间的情况，开始和结束日期填报同一天。</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处罚类型</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CFLX</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001038</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参照《业务代码表》中的“处罚类型代码”，填报代码。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处罚原因</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CFYY</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001039</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处罚原因的文字描述，若有处罚决定书，填写处罚决定书内容。</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处罚金额</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CFJE</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对个人的处罚金额，以人民币填报，单位：元。无处罚时上报</w:t>
            </w:r>
            <w:r>
              <w:rPr>
                <w:rFonts w:ascii="宋体" w:hAnsi="宋体" w:eastAsia="宋体" w:cs="宋体"/>
                <w:color w:val="000000"/>
                <w:kern w:val="0"/>
                <w:sz w:val="21"/>
                <w:szCs w:val="21"/>
              </w:rPr>
              <w:t>0。</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采集日期</w:t>
            </w:r>
          </w:p>
        </w:tc>
        <w:tc>
          <w:tcPr>
            <w:tcW w:w="12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CJRQ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bl>
    <w:p>
      <w:pPr>
        <w:ind w:firstLine="0" w:firstLineChars="0"/>
      </w:pPr>
    </w:p>
    <w:p>
      <w:pPr>
        <w:pStyle w:val="4"/>
        <w:tabs>
          <w:tab w:val="left" w:pos="709"/>
          <w:tab w:val="left" w:pos="993"/>
        </w:tabs>
        <w:ind w:left="0" w:firstLine="600"/>
      </w:pPr>
      <w:r>
        <w:rPr>
          <w:rFonts w:hint="eastAsia" w:ascii="仿宋" w:hAnsi="仿宋" w:eastAsia="仿宋"/>
        </w:rPr>
        <w:t>成员公司（不含保险集团（控股）公司）</w:t>
      </w:r>
    </w:p>
    <w:p>
      <w:pPr>
        <w:keepNext/>
        <w:keepLines/>
        <w:numPr>
          <w:ilvl w:val="1"/>
          <w:numId w:val="7"/>
        </w:numPr>
        <w:ind w:firstLineChars="0"/>
        <w:outlineLvl w:val="3"/>
        <w:rPr>
          <w:rFonts w:ascii="仿宋" w:hAnsi="仿宋" w:eastAsia="仿宋"/>
          <w:b/>
        </w:rPr>
      </w:pPr>
      <w:r>
        <w:rPr>
          <w:rFonts w:hint="eastAsia" w:ascii="仿宋" w:hAnsi="仿宋" w:eastAsia="仿宋"/>
          <w:b/>
        </w:rPr>
        <w:t>成员公司机构信息表</w:t>
      </w:r>
    </w:p>
    <w:tbl>
      <w:tblPr>
        <w:tblStyle w:val="25"/>
        <w:tblW w:w="8824" w:type="dxa"/>
        <w:tblInd w:w="0" w:type="dxa"/>
        <w:tblLayout w:type="fixed"/>
        <w:tblCellMar>
          <w:top w:w="0" w:type="dxa"/>
          <w:left w:w="108" w:type="dxa"/>
          <w:bottom w:w="0" w:type="dxa"/>
          <w:right w:w="108" w:type="dxa"/>
        </w:tblCellMar>
      </w:tblPr>
      <w:tblGrid>
        <w:gridCol w:w="1549"/>
        <w:gridCol w:w="1274"/>
        <w:gridCol w:w="994"/>
        <w:gridCol w:w="3544"/>
        <w:gridCol w:w="709"/>
        <w:gridCol w:w="754"/>
      </w:tblGrid>
      <w:tr>
        <w:tblPrEx>
          <w:tblCellMar>
            <w:top w:w="0" w:type="dxa"/>
            <w:left w:w="108" w:type="dxa"/>
            <w:bottom w:w="0" w:type="dxa"/>
            <w:right w:w="108" w:type="dxa"/>
          </w:tblCellMar>
        </w:tblPrEx>
        <w:trPr>
          <w:trHeight w:val="290" w:hRule="atLeast"/>
        </w:trPr>
        <w:tc>
          <w:tcPr>
            <w:tcW w:w="15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27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99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007"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57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CYGSJGXXB</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成员公司机构信息表</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A0301</w:t>
            </w:r>
          </w:p>
        </w:tc>
        <w:tc>
          <w:tcPr>
            <w:tcW w:w="5007"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本表报送成员公司（不含保险集团（控股）公司）注册信息。</w:t>
            </w:r>
          </w:p>
        </w:tc>
      </w:tr>
      <w:tr>
        <w:tblPrEx>
          <w:tblCellMar>
            <w:top w:w="0" w:type="dxa"/>
            <w:left w:w="108" w:type="dxa"/>
            <w:bottom w:w="0" w:type="dxa"/>
            <w:right w:w="108" w:type="dxa"/>
          </w:tblCellMar>
        </w:tblPrEx>
        <w:trPr>
          <w:trHeight w:val="7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保险集团（控股）公司保险许可证号码</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JT_BXXKZHM</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001042</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中国银保监会统一设计和印制，授权给保险机构经营保险业务的许可证上记录的机构编码。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保险集团（控股）公司统一社会信用代码</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JT_TYSHXYDM</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001003</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7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保险集团（控股）公司名称</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JT_MC</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流水号</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LSH</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001001</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成员公司保险许可证号码</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CY_BXXKZHM</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001042</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中国银保监会统一设计和印制，授权给保险机构经营保险业务的许可证上记录的机构编码。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成员公司统一社会信用代码</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CY_TYSHXYDM</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001003</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境内成员公司填写统一社会信用代码，境外成员公司则填写企业注册码、税务号等有效代码。如无上述代码，机构可自行定义。</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成员公司名称</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CY_MC</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成员公司工商注册的名称。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成员公司机构类型</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CYGSJGLX</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003013</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参照《业务代码表》中的“机构类型代码”，填报中文描述。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10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成员公司LEI编码</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CYGSLEIBM</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001004</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报成员公司的全球法人识别编码（LEI），法人识别编码是按照国际标准化组织的《金融服务法人机构识别编码》（ISO17442：2012）标准为法人机构分配的由20位数字和字母组成的唯一编码，可以用于标识与国际金融交易相关联的法人机构。</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工商注册日期</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GSZCRQ</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以工商注册的成立日期为准。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批复日期</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PFRQ</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填报成员公司中保险机构开业批复文件的日期。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批复文号</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PFWH</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001006</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填报成员公司中保险机构开业批复文件的文号。</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经营范围</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JYFW</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001007</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应与工商注册中的经营范围一致。</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注册资本</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cs="宋体"/>
                <w:color w:val="000000"/>
                <w:kern w:val="0"/>
                <w:sz w:val="21"/>
                <w:szCs w:val="21"/>
              </w:rPr>
              <w:t>ZCZB</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应与工商注册中的注册资本一致。若注册资本存在外币的情况，公司应自行换算成人民币进行填报。单位：元。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注册地区</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ZCDQ</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001017</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参照《业务代码表》中的“行政区划代码”，填报代码。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注册地址</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ZCDZ</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001009</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按照工商注册信息中的注册地填报。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是否有分支机构</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SFYFZJG</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001010</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参照《业务代码表》中的“是否判断代码”，填报代码。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管理模式</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GLMS</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001027</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填报保险集团（控股）公司对该成员公司的管理模式。参照《业务代码表》中的“管理模式代码”，填报代码。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行业类型</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HYFL</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001024</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按成员公司所从事的生产经营活动或其他社会经济活动的性质进行行业分类，参照《业务代码表》中的“行业类型代码”，填报代码。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法定代表人法定名称</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CY_FDDBRFDMC</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001011</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填写法定代表人姓名，应与工商注册的姓名一致。如无法定代表人，则填写“不适用”</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法定代表人证件类型</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CY_FDDBRZJLX</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001019</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法定代表人证件类型，参照《业务代码表》中的“证件类型代码”，填报代码。如无法定代表人，则选择“其他证件（个人）”。</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法定代表人证件号码</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CY_FDDBRZJHM</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001018</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法定代表人证件号码。隐私，保险集团（控股）公司变形。如无法定代表人，则填写9999。</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法定代表人证件到期日</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CY_FDDBRZJDQR</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法定代表人证件到期日。如无法定代表人，则填写99991231。</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是否有实际控制人</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SFYSJKZR</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001010</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实际控制人指通过投资关系、协议或者其他安排，能够实际支配公司行为的人。参照《业务代码表》中的“是否判断代码”，填报代码。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实际控制人类型</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SJKZRLX</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001014</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参照《业务代码表》中的“实际控制人类型代码”，填报代码。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实际控制人法定名称</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CY_SJKZRFDMC</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001015</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“是否有实际控制人”为“是”时必填。填报实际控制人名称。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实际控制人证件类型</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CY_SJKZRZJLX</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001019</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“是否有实际控制人”为“是”时必填。填报实际控制人证件类型。对自然人，优先选填控制人居民身份证；对机构，优先选填统一社会信用代码。参照《业务代码表》中的“证件类型代码”，填报代码。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实际控制人证件号码</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CY_SJKZRZJHM</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001018</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“是否有实际控制人”为“是”时必填。填报有效证件号码。若为自然人证件号码，隐私，保险集团（控股）公司变形。</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实际控制人证件到期日</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CY_SJKZRZJDQR</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实际控制人证件到期日。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许可证发放日期</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XKZFFRQ</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保险许可证号的发放日期。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许可证注销日期</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XKZZXRQ</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保险许可证号的注销日期，如未注销，填写默认值99991231。</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采集日期</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CJRQ</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bl>
    <w:p>
      <w:pPr>
        <w:ind w:firstLine="0" w:firstLineChars="0"/>
      </w:pPr>
    </w:p>
    <w:p>
      <w:pPr>
        <w:keepNext/>
        <w:keepLines/>
        <w:numPr>
          <w:ilvl w:val="1"/>
          <w:numId w:val="7"/>
        </w:numPr>
        <w:ind w:firstLineChars="0"/>
        <w:outlineLvl w:val="3"/>
        <w:rPr>
          <w:rFonts w:ascii="仿宋" w:hAnsi="仿宋" w:eastAsia="仿宋"/>
          <w:b/>
        </w:rPr>
      </w:pPr>
      <w:r>
        <w:rPr>
          <w:rFonts w:hint="eastAsia" w:ascii="仿宋" w:hAnsi="仿宋" w:eastAsia="仿宋"/>
          <w:b/>
        </w:rPr>
        <w:t>成员公司股权信息表</w:t>
      </w:r>
    </w:p>
    <w:tbl>
      <w:tblPr>
        <w:tblStyle w:val="25"/>
        <w:tblW w:w="8824" w:type="dxa"/>
        <w:tblInd w:w="0" w:type="dxa"/>
        <w:tblLayout w:type="fixed"/>
        <w:tblCellMar>
          <w:top w:w="0" w:type="dxa"/>
          <w:left w:w="108" w:type="dxa"/>
          <w:bottom w:w="0" w:type="dxa"/>
          <w:right w:w="108" w:type="dxa"/>
        </w:tblCellMar>
      </w:tblPr>
      <w:tblGrid>
        <w:gridCol w:w="1549"/>
        <w:gridCol w:w="1274"/>
        <w:gridCol w:w="994"/>
        <w:gridCol w:w="3544"/>
        <w:gridCol w:w="709"/>
        <w:gridCol w:w="754"/>
      </w:tblGrid>
      <w:tr>
        <w:tblPrEx>
          <w:tblCellMar>
            <w:top w:w="0" w:type="dxa"/>
            <w:left w:w="108" w:type="dxa"/>
            <w:bottom w:w="0" w:type="dxa"/>
            <w:right w:w="108" w:type="dxa"/>
          </w:tblCellMar>
        </w:tblPrEx>
        <w:trPr>
          <w:trHeight w:val="290" w:hRule="atLeast"/>
        </w:trPr>
        <w:tc>
          <w:tcPr>
            <w:tcW w:w="15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27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99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007"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57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CYGSGQXXB</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成员公司股权信息表</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A0302</w:t>
            </w:r>
          </w:p>
        </w:tc>
        <w:tc>
          <w:tcPr>
            <w:tcW w:w="5007"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本表报送成员公司（不含保险集团（控股）公司）所有股权组成信息，对于上市公司仅报送持股</w:t>
            </w:r>
            <w:r>
              <w:rPr>
                <w:rFonts w:ascii="宋体" w:hAnsi="宋体" w:eastAsia="宋体" w:cs="宋体"/>
                <w:color w:val="000000"/>
                <w:kern w:val="0"/>
                <w:sz w:val="21"/>
                <w:szCs w:val="21"/>
              </w:rPr>
              <w:t>5%及以上的机构及个人股东信息，对于未上市公司报送持股1%及以上的机构及个人股东信息。</w:t>
            </w:r>
          </w:p>
        </w:tc>
      </w:tr>
      <w:tr>
        <w:tblPrEx>
          <w:tblCellMar>
            <w:top w:w="0" w:type="dxa"/>
            <w:left w:w="108" w:type="dxa"/>
            <w:bottom w:w="0" w:type="dxa"/>
            <w:right w:w="108" w:type="dxa"/>
          </w:tblCellMar>
        </w:tblPrEx>
        <w:trPr>
          <w:trHeight w:val="7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保险集团（控股）公司保险许可证号码</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JT_BXXKZHM</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001042</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中国银保监会统一设计和印制，授权给保险机构经营保险业务的许可证上记录的机构编码。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保险集团（控股）公司统一社会信用代码</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JT_TYSHXYDM</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001003</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7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保险集团（控股）公司名称</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JT_MC</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流水号</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LSH</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001001</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成员公司保险许可证号码</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CY_BXXKZHM</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001042</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中国银保监会统一设计和印制，授权给保险机构经营保险业务的许可证上记录的机构编码。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成员公司统一社会信用代码</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CY_TYSHXYDM</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001003</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境内成员公司填写统一社会信用代码，境外成员公司则填写企业注册码、税务号等有效代码。如无上述代码，机构可自行定义。</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成员公司名称</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CY_MC</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成员公司工商注册的名称。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机构类型</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JGLX</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003013</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参照《业务代码表》中的“机构类型代码”，填报中文描述。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股东编号</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GDBH</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001023</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公司内部自行定义的股东编号，应具有唯一性。</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股东法定名称</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CY_GDFDMC</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001015</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对自然人股东，为股东姓名；对法人股东，为股东经有关部门批准正式使用的机构全称。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股东证件类型</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CY_GDZJLX</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001019</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对自然人，优先选填股东居民身份证；对机构，优先选填统一社会信用代码。参照《业务代码表》中的“证件类型代码”，填报代码。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股东证件号码</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CY_GDZJHM</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001018</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填写有效证件号码。若为自然人证件号码，隐私，保险集团（控股）公司变形。</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股东证件到期日</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CY_GDZJDQR</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股东证件到期日。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股东类型</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GDLX</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001020</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参照《业务代码表》中的“股东类型代码”，填报代码。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股东类别</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GDLB</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001021</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按照股东自然人或机构属性。参照《业务代码表》中的“股东类别代码”，填报代码。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股东国别</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GDGB</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001022</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参照《业务代码表》中的“国家地区”，填报代码。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10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LEI编码</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LEIBM</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001004</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股东机构的全球法人机构识别编码，LEI是按照国际标准化组织ISO 17442标准为全球法人分配的唯一识别编码，LEI编码是由20位数字和字母组成的唯一编码。我国LEI编码包括前缀码部分、预留位部分、机构特定部分和校验位四部分。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行业类型</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HYFL</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001024</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股东为非自然人时，必填。按股东所从事的生产经营活动或其他社会经济活动的性质进行行业分类。参照《业务代码表》中的“行业类型代码”，填报代码。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持股比例</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CGBL</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001049</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股东在数据日期当日的持股比例，填数字，不填百分比，最少保留两位小数，比如12.34%填写为12.34。</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出资日期</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CZRQ</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该股东最近一次持股份额变化的日期。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交易币种</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BZ</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002001</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参照《业务代码表》中的“币种代码”，填报代码。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交易币认缴金额</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JYBRJJE</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交易币认缴金额。</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本位币认缴金额</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BWBRJJE</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交易币按照既定规则的汇率折成的本位币认缴金额。单位：元。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交易币出资金额</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JYBCZJE</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交易币出资金额。</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本位币出资金额</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BWBCZJE</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交易币按照既定规则的汇率折成的本位币出资金额。单位：元。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股东是否有效</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GDSFYX</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001010</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参照《业务代码表》中的“是否判断代码”，填报代码。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10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是否有一致行动人</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SFYYZXDR</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001010</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是否判断代码”，填报代码。一致行动人是指投资者通过协议、其他安排，与其他投资者共同扩大其所能够支配的一个公司股份表决权数量的行为或者事实。达成一致行动的相关投资者，为一致行动人。</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10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一致行动人组别</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YZXDRZB</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001025</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是否有一致行动人为“是”时为必填。组别用数字填写。例如公司有6个股东，分别是A、B、C、D、E、F，其中A、B、C三方为一致行动人，D、E两方为另一组一致行动人，则A、B、C的一致行动人组别填写1，D、E的一致行动人组别填写2。</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股权质押数量</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GQZYSL</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001040</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截至报送日期，股东质押的股份数量。单位：股。若无抵押，则填0。</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股权质押比例</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GQZYBL</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001049</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截至报送日期，股东质押的股份数量占持股数量的比例，填数字，不填百分比，最少保留两位小数，比如12.34%填写为12.34。若无抵押，则填0。</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股权冻结数量</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GQDJSL</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001040</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截至报送日期，股权冻结的股份数量。单位：股。若无冻结，则填0。</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股权冻结比例</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GQDJBL</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001049</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截至报送日期，股东股权冻结的股份数量占持股数量的比例，填数字，不填百分比，最少保留两位小数，比如12.34%填写为12.34。若无抵押，则填0。</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采集日期</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CJRQ</w:t>
            </w:r>
          </w:p>
        </w:tc>
        <w:tc>
          <w:tcPr>
            <w:tcW w:w="99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54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bl>
    <w:p>
      <w:pPr>
        <w:ind w:firstLine="0" w:firstLineChars="0"/>
      </w:pPr>
    </w:p>
    <w:p>
      <w:pPr>
        <w:keepNext/>
        <w:keepLines/>
        <w:numPr>
          <w:ilvl w:val="1"/>
          <w:numId w:val="7"/>
        </w:numPr>
        <w:ind w:firstLineChars="0"/>
        <w:outlineLvl w:val="3"/>
        <w:rPr>
          <w:rFonts w:ascii="仿宋" w:hAnsi="仿宋" w:eastAsia="仿宋"/>
          <w:b/>
        </w:rPr>
      </w:pPr>
      <w:r>
        <w:rPr>
          <w:rFonts w:hint="eastAsia" w:ascii="仿宋" w:hAnsi="仿宋" w:eastAsia="仿宋"/>
          <w:b/>
        </w:rPr>
        <w:t>成员公司机构处罚信息表</w:t>
      </w:r>
    </w:p>
    <w:tbl>
      <w:tblPr>
        <w:tblStyle w:val="25"/>
        <w:tblW w:w="8824" w:type="dxa"/>
        <w:tblInd w:w="0" w:type="dxa"/>
        <w:tblLayout w:type="fixed"/>
        <w:tblCellMar>
          <w:top w:w="0" w:type="dxa"/>
          <w:left w:w="108" w:type="dxa"/>
          <w:bottom w:w="0" w:type="dxa"/>
          <w:right w:w="108" w:type="dxa"/>
        </w:tblCellMar>
      </w:tblPr>
      <w:tblGrid>
        <w:gridCol w:w="1549"/>
        <w:gridCol w:w="1560"/>
        <w:gridCol w:w="849"/>
        <w:gridCol w:w="3403"/>
        <w:gridCol w:w="709"/>
        <w:gridCol w:w="754"/>
      </w:tblGrid>
      <w:tr>
        <w:tblPrEx>
          <w:tblCellMar>
            <w:top w:w="0" w:type="dxa"/>
            <w:left w:w="108" w:type="dxa"/>
            <w:bottom w:w="0" w:type="dxa"/>
            <w:right w:w="108" w:type="dxa"/>
          </w:tblCellMar>
        </w:tblPrEx>
        <w:trPr>
          <w:trHeight w:val="290" w:hRule="atLeast"/>
        </w:trPr>
        <w:tc>
          <w:tcPr>
            <w:tcW w:w="15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56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849"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4866"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57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CYGSJGCFXXB</w:t>
            </w:r>
          </w:p>
        </w:tc>
        <w:tc>
          <w:tcPr>
            <w:tcW w:w="15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成员公司机构处罚信息表</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A030</w:t>
            </w:r>
            <w:r>
              <w:rPr>
                <w:rFonts w:ascii="宋体" w:hAnsi="宋体" w:eastAsia="宋体" w:cs="宋体"/>
                <w:color w:val="000000"/>
                <w:kern w:val="0"/>
                <w:sz w:val="21"/>
                <w:szCs w:val="21"/>
              </w:rPr>
              <w:t>3</w:t>
            </w:r>
          </w:p>
        </w:tc>
        <w:tc>
          <w:tcPr>
            <w:tcW w:w="4866"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本表报送成员公司（不含保险集团（控股）公司）的处罚信息，含下级分支机构。</w:t>
            </w:r>
          </w:p>
        </w:tc>
      </w:tr>
      <w:tr>
        <w:tblPrEx>
          <w:tblCellMar>
            <w:top w:w="0" w:type="dxa"/>
            <w:left w:w="108" w:type="dxa"/>
            <w:bottom w:w="0" w:type="dxa"/>
            <w:right w:w="108" w:type="dxa"/>
          </w:tblCellMar>
        </w:tblPrEx>
        <w:trPr>
          <w:trHeight w:val="7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5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保险集团（控股）公司保险许可证号码</w:t>
            </w:r>
          </w:p>
        </w:tc>
        <w:tc>
          <w:tcPr>
            <w:tcW w:w="15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JT_BXXKZHM</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中国银保监会统一设计和印制，授权给保险机构经营保险业务的许可证上记录的机构编码。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保险集团（控股）公司统一社会信用代码</w:t>
            </w:r>
          </w:p>
        </w:tc>
        <w:tc>
          <w:tcPr>
            <w:tcW w:w="15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JT_TYSHXYDM</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7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保险集团（控股）公司名称</w:t>
            </w:r>
          </w:p>
        </w:tc>
        <w:tc>
          <w:tcPr>
            <w:tcW w:w="15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JT_MC</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流水号</w:t>
            </w:r>
          </w:p>
        </w:tc>
        <w:tc>
          <w:tcPr>
            <w:tcW w:w="15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LSH</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001001</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成员公司保险许可证号码</w:t>
            </w:r>
          </w:p>
        </w:tc>
        <w:tc>
          <w:tcPr>
            <w:tcW w:w="15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CY_BXXKZHM</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中国银保监会统一设计和印制，授权给保险机构经营保险业务的许可证上记录的机构编码。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成员公司统一社会信用代码</w:t>
            </w:r>
          </w:p>
        </w:tc>
        <w:tc>
          <w:tcPr>
            <w:tcW w:w="15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CY_TYSHXYDM</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境内成员公司填写统一社会信用代码，境外成员公司则填写企业注册码、税务号等有效代码。如无上述代码，机构可自行定义。</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成员公司名称</w:t>
            </w:r>
          </w:p>
        </w:tc>
        <w:tc>
          <w:tcPr>
            <w:tcW w:w="15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CY_MC</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成员公司工商注册的名称。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被处罚单位名称</w:t>
            </w:r>
          </w:p>
        </w:tc>
        <w:tc>
          <w:tcPr>
            <w:tcW w:w="15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BCFDWMC</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001034</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名称应与营业执照上所使用的名称完全一致。</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被处罚单位主要负责人</w:t>
            </w:r>
          </w:p>
        </w:tc>
        <w:tc>
          <w:tcPr>
            <w:tcW w:w="15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BCFDWZYFZR</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001011</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应与个人有效证件上的姓名保持一致。</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处罚机关</w:t>
            </w:r>
          </w:p>
        </w:tc>
        <w:tc>
          <w:tcPr>
            <w:tcW w:w="15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CFJG</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发布该人员处罚决定的，依法有权或受托实施行政处罚的监管机构主体的规范全称；包括但不限于受到人民银行、银保监会、银保监局、政府执法部门等机关的行政处罚。</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处罚文号</w:t>
            </w:r>
          </w:p>
        </w:tc>
        <w:tc>
          <w:tcPr>
            <w:tcW w:w="15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CFWH</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001023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填写行政处罚机关的处罚文号。</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开始日期</w:t>
            </w:r>
          </w:p>
        </w:tc>
        <w:tc>
          <w:tcPr>
            <w:tcW w:w="15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KSRQ</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填报处罚开始日期。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结束日期</w:t>
            </w:r>
          </w:p>
        </w:tc>
        <w:tc>
          <w:tcPr>
            <w:tcW w:w="15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JSRQ</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填报处罚结束日期，存在罚款等处罚无持续时间的情况，开始和结束日期填报同一天。</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处罚原因</w:t>
            </w:r>
          </w:p>
        </w:tc>
        <w:tc>
          <w:tcPr>
            <w:tcW w:w="15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CFYY</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001039</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处罚原因的文字描述，若有处罚决定书，填写处罚决定书内容。</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处罚决定</w:t>
            </w:r>
          </w:p>
        </w:tc>
        <w:tc>
          <w:tcPr>
            <w:tcW w:w="15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CFJD</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001039</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处罚决定的文字描述，若有处罚决定书，填写处罚决定书内容。</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处罚金额</w:t>
            </w:r>
          </w:p>
        </w:tc>
        <w:tc>
          <w:tcPr>
            <w:tcW w:w="15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CFJE</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处罚金额，以人民币填报，单位：元。如处罚当事人包括个人和机构，合并计算报送。无处罚时上报0。</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采集日期</w:t>
            </w:r>
          </w:p>
        </w:tc>
        <w:tc>
          <w:tcPr>
            <w:tcW w:w="15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CJRQ</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bl>
    <w:p>
      <w:pPr>
        <w:ind w:firstLine="0" w:firstLineChars="0"/>
      </w:pPr>
    </w:p>
    <w:p>
      <w:pPr>
        <w:keepNext/>
        <w:keepLines/>
        <w:numPr>
          <w:ilvl w:val="1"/>
          <w:numId w:val="7"/>
        </w:numPr>
        <w:ind w:firstLineChars="0"/>
        <w:outlineLvl w:val="3"/>
        <w:rPr>
          <w:rFonts w:ascii="仿宋" w:hAnsi="仿宋" w:eastAsia="仿宋"/>
          <w:b/>
        </w:rPr>
      </w:pPr>
      <w:r>
        <w:rPr>
          <w:rFonts w:hint="eastAsia" w:ascii="仿宋" w:hAnsi="仿宋" w:eastAsia="仿宋"/>
          <w:b/>
        </w:rPr>
        <w:t>成员公司董监高履职信息表</w:t>
      </w:r>
    </w:p>
    <w:tbl>
      <w:tblPr>
        <w:tblStyle w:val="25"/>
        <w:tblW w:w="8824" w:type="dxa"/>
        <w:tblInd w:w="0" w:type="dxa"/>
        <w:tblLayout w:type="fixed"/>
        <w:tblCellMar>
          <w:top w:w="0" w:type="dxa"/>
          <w:left w:w="108" w:type="dxa"/>
          <w:bottom w:w="0" w:type="dxa"/>
          <w:right w:w="108" w:type="dxa"/>
        </w:tblCellMar>
      </w:tblPr>
      <w:tblGrid>
        <w:gridCol w:w="1550"/>
        <w:gridCol w:w="1557"/>
        <w:gridCol w:w="851"/>
        <w:gridCol w:w="3403"/>
        <w:gridCol w:w="709"/>
        <w:gridCol w:w="754"/>
      </w:tblGrid>
      <w:tr>
        <w:tblPrEx>
          <w:tblCellMar>
            <w:top w:w="0" w:type="dxa"/>
            <w:left w:w="108" w:type="dxa"/>
            <w:bottom w:w="0" w:type="dxa"/>
            <w:right w:w="108" w:type="dxa"/>
          </w:tblCellMar>
        </w:tblPrEx>
        <w:trPr>
          <w:trHeight w:val="290" w:hRule="atLeast"/>
        </w:trPr>
        <w:tc>
          <w:tcPr>
            <w:tcW w:w="155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55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851"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4866"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57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CYGSDJGLZXXB</w:t>
            </w:r>
          </w:p>
        </w:tc>
        <w:tc>
          <w:tcPr>
            <w:tcW w:w="155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成员公司董监高履职信息表</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A030</w:t>
            </w:r>
            <w:r>
              <w:rPr>
                <w:rFonts w:ascii="宋体" w:hAnsi="宋体" w:eastAsia="宋体" w:cs="宋体"/>
                <w:color w:val="000000"/>
                <w:kern w:val="0"/>
                <w:sz w:val="21"/>
                <w:szCs w:val="21"/>
              </w:rPr>
              <w:t>4</w:t>
            </w:r>
          </w:p>
        </w:tc>
        <w:tc>
          <w:tcPr>
            <w:tcW w:w="4866"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本表报送成员公司（不含保险集团（控股）公司）董事、监事、高管范围人员的履职情况信息，如董事、监事、高管兼任多个职务，需要分开报送。</w:t>
            </w:r>
          </w:p>
        </w:tc>
      </w:tr>
      <w:tr>
        <w:tblPrEx>
          <w:tblCellMar>
            <w:top w:w="0" w:type="dxa"/>
            <w:left w:w="108" w:type="dxa"/>
            <w:bottom w:w="0" w:type="dxa"/>
            <w:right w:w="108" w:type="dxa"/>
          </w:tblCellMar>
        </w:tblPrEx>
        <w:trPr>
          <w:trHeight w:val="7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55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保险集团（控股）公司保险许可证号码</w:t>
            </w:r>
          </w:p>
        </w:tc>
        <w:tc>
          <w:tcPr>
            <w:tcW w:w="155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JT_BXXKZHM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中国银保监会统一设计和印制，授权给保险机构经营保险业务的许可证上记录的机构编码。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保险集团（控股）公司统一社会信用代码</w:t>
            </w:r>
          </w:p>
        </w:tc>
        <w:tc>
          <w:tcPr>
            <w:tcW w:w="155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JT_TYSHXYDM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7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保险集团（控股）公司名称</w:t>
            </w:r>
          </w:p>
        </w:tc>
        <w:tc>
          <w:tcPr>
            <w:tcW w:w="155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流水号</w:t>
            </w:r>
          </w:p>
        </w:tc>
        <w:tc>
          <w:tcPr>
            <w:tcW w:w="155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LSH</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001001</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成员公司保险许可证号码</w:t>
            </w:r>
          </w:p>
        </w:tc>
        <w:tc>
          <w:tcPr>
            <w:tcW w:w="155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CY_BXXKZHM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中国银保监会统一设计和印制，授权给保险机构经营保险业务的许可证上记录的机构编码。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成员公司统一社会信用代码</w:t>
            </w:r>
          </w:p>
        </w:tc>
        <w:tc>
          <w:tcPr>
            <w:tcW w:w="155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CY_TYSHXYDM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境内成员公司填写统一社会信用代码，境外成员公司则填写企业注册码、税务号等有效代码。如无上述代码，机构可自行定义。</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成员公司名称</w:t>
            </w:r>
          </w:p>
        </w:tc>
        <w:tc>
          <w:tcPr>
            <w:tcW w:w="155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成员公司工商注册的名称。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成员公司员工代码</w:t>
            </w:r>
          </w:p>
        </w:tc>
        <w:tc>
          <w:tcPr>
            <w:tcW w:w="155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CY_YGDM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001034</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指《成员公司员工信息表》中公司内部自行定义的员工代码，具有唯一性。</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成员公司员工法定名称</w:t>
            </w:r>
          </w:p>
        </w:tc>
        <w:tc>
          <w:tcPr>
            <w:tcW w:w="155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CY_YGFDMC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001011</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员工有效身份证件上的姓名。隐私，保险集团（控股）公司变形。</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成员公司员工证件类型</w:t>
            </w:r>
          </w:p>
        </w:tc>
        <w:tc>
          <w:tcPr>
            <w:tcW w:w="155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CY_YGZJLX</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001019</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参照《业务代码表》中的“证件类型代码”，填报代码。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成员公司员工证件号码</w:t>
            </w:r>
          </w:p>
        </w:tc>
        <w:tc>
          <w:tcPr>
            <w:tcW w:w="155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CY_YGZJHM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001018</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身份证号、护照号等有效证件号码，隐私，保险集团（控股）公司变形。</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成员公司员工证件到期日</w:t>
            </w:r>
          </w:p>
        </w:tc>
        <w:tc>
          <w:tcPr>
            <w:tcW w:w="155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CY_YGZJDQR</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员工证件到期日。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董监高类型</w:t>
            </w:r>
          </w:p>
        </w:tc>
        <w:tc>
          <w:tcPr>
            <w:tcW w:w="155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cs="宋体"/>
                <w:color w:val="000000"/>
                <w:kern w:val="0"/>
                <w:sz w:val="21"/>
                <w:szCs w:val="21"/>
              </w:rPr>
              <w:t>DJGLX</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参照《业务代码表》中的“董监高类型代码”，填报代码。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批复日期</w:t>
            </w:r>
          </w:p>
        </w:tc>
        <w:tc>
          <w:tcPr>
            <w:tcW w:w="155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PFRQ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获得董事、监事、高管任职资格的批复日期。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批复文号</w:t>
            </w:r>
          </w:p>
        </w:tc>
        <w:tc>
          <w:tcPr>
            <w:tcW w:w="155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PFWH</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001023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获得董事、监事、高管任职资格的批复文号。</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公司职务</w:t>
            </w:r>
          </w:p>
        </w:tc>
        <w:tc>
          <w:tcPr>
            <w:tcW w:w="155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cs="宋体"/>
                <w:color w:val="000000"/>
                <w:kern w:val="0"/>
                <w:sz w:val="21"/>
                <w:szCs w:val="21"/>
              </w:rPr>
              <w:t>GSZW</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“董监高标志”含“高管”时必填，填报所管辖部门，填写公司内部组织架构中的部门名称，如有多个需列填，以英文分号“;”分隔。</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党内职务</w:t>
            </w:r>
          </w:p>
        </w:tc>
        <w:tc>
          <w:tcPr>
            <w:tcW w:w="155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DNZW</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001048</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国有银行保险机构填报董监高的党内职务。参照《业务代码表》中的“党内职务代码”，填报代码。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专门委员会任职</w:t>
            </w:r>
          </w:p>
        </w:tc>
        <w:tc>
          <w:tcPr>
            <w:tcW w:w="155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ZMWYHRZ</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001016</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填报董事参加的专门委员会名称。如有多个需列填，用“;”隔开。</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开始日期</w:t>
            </w:r>
          </w:p>
        </w:tc>
        <w:tc>
          <w:tcPr>
            <w:tcW w:w="155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KSRQ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填报董事、监事、高管任职开始日期。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结束日期</w:t>
            </w:r>
          </w:p>
        </w:tc>
        <w:tc>
          <w:tcPr>
            <w:tcW w:w="155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JSRQ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填报董事、监事、高管离任日期，若现任职则填默认值99991231。</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提名机构名称</w:t>
            </w:r>
          </w:p>
        </w:tc>
        <w:tc>
          <w:tcPr>
            <w:tcW w:w="155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TMJGMC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“董监高类型”为“董事”或“监事”时必填，填报提名机构名称。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外部公司任职</w:t>
            </w:r>
          </w:p>
        </w:tc>
        <w:tc>
          <w:tcPr>
            <w:tcW w:w="155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WBGSRZ</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001036</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填报董事、监事、高管在外部公司任职情况。</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履职评价结果</w:t>
            </w:r>
          </w:p>
        </w:tc>
        <w:tc>
          <w:tcPr>
            <w:tcW w:w="155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LZPJJG</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001037</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“董监高标志”为“董事”或“监事”时必填，填报董事、监事、高管的最近年度履职评价结果。参照《业务代码表》中的“履职评价结果代码”，填报代码。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评价结果报告日期</w:t>
            </w:r>
          </w:p>
        </w:tc>
        <w:tc>
          <w:tcPr>
            <w:tcW w:w="155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PJJGBGRQ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“董监高标志”为“董事”或“监事”时必填，填报最近年度公司向监管机构报告董事监事履职情况及评价结果的日期。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采集日期</w:t>
            </w:r>
          </w:p>
        </w:tc>
        <w:tc>
          <w:tcPr>
            <w:tcW w:w="155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CJRQ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bl>
    <w:p>
      <w:pPr>
        <w:ind w:firstLine="0" w:firstLineChars="0"/>
      </w:pPr>
    </w:p>
    <w:p>
      <w:pPr>
        <w:keepNext/>
        <w:keepLines/>
        <w:numPr>
          <w:ilvl w:val="1"/>
          <w:numId w:val="7"/>
        </w:numPr>
        <w:ind w:firstLineChars="0"/>
        <w:outlineLvl w:val="3"/>
        <w:rPr>
          <w:rFonts w:ascii="仿宋" w:hAnsi="仿宋" w:eastAsia="仿宋"/>
          <w:b/>
        </w:rPr>
      </w:pPr>
      <w:r>
        <w:rPr>
          <w:rFonts w:hint="eastAsia" w:ascii="仿宋" w:hAnsi="仿宋" w:eastAsia="仿宋"/>
          <w:b/>
        </w:rPr>
        <w:t>成员公司董监高处罚信息表</w:t>
      </w:r>
    </w:p>
    <w:tbl>
      <w:tblPr>
        <w:tblStyle w:val="25"/>
        <w:tblW w:w="8824" w:type="dxa"/>
        <w:tblInd w:w="0" w:type="dxa"/>
        <w:tblLayout w:type="fixed"/>
        <w:tblCellMar>
          <w:top w:w="0" w:type="dxa"/>
          <w:left w:w="108" w:type="dxa"/>
          <w:bottom w:w="0" w:type="dxa"/>
          <w:right w:w="108" w:type="dxa"/>
        </w:tblCellMar>
      </w:tblPr>
      <w:tblGrid>
        <w:gridCol w:w="1536"/>
        <w:gridCol w:w="1574"/>
        <w:gridCol w:w="893"/>
        <w:gridCol w:w="3358"/>
        <w:gridCol w:w="709"/>
        <w:gridCol w:w="754"/>
      </w:tblGrid>
      <w:tr>
        <w:tblPrEx>
          <w:tblCellMar>
            <w:top w:w="0" w:type="dxa"/>
            <w:left w:w="108" w:type="dxa"/>
            <w:bottom w:w="0" w:type="dxa"/>
            <w:right w:w="108" w:type="dxa"/>
          </w:tblCellMar>
        </w:tblPrEx>
        <w:trPr>
          <w:trHeight w:val="290" w:hRule="atLeast"/>
        </w:trPr>
        <w:tc>
          <w:tcPr>
            <w:tcW w:w="153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57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89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482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570" w:hRule="atLeast"/>
        </w:trPr>
        <w:tc>
          <w:tcPr>
            <w:tcW w:w="153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CYGSDJGCFXXB</w:t>
            </w:r>
          </w:p>
        </w:tc>
        <w:tc>
          <w:tcPr>
            <w:tcW w:w="15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成员公司董监高处罚信息表</w:t>
            </w:r>
          </w:p>
        </w:tc>
        <w:tc>
          <w:tcPr>
            <w:tcW w:w="89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A030</w:t>
            </w:r>
            <w:r>
              <w:rPr>
                <w:rFonts w:ascii="宋体" w:hAnsi="宋体" w:eastAsia="宋体" w:cs="宋体"/>
                <w:color w:val="000000"/>
                <w:kern w:val="0"/>
                <w:sz w:val="21"/>
                <w:szCs w:val="21"/>
              </w:rPr>
              <w:t>5</w:t>
            </w:r>
          </w:p>
        </w:tc>
        <w:tc>
          <w:tcPr>
            <w:tcW w:w="482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本表报送成员公司（不含保险集团（控股）公司）内所有董事、监事、高管范围的处罚信息，如董事、监事、高管兼任多个职务或受到多个处罚，需要分开报送。</w:t>
            </w:r>
          </w:p>
        </w:tc>
      </w:tr>
      <w:tr>
        <w:tblPrEx>
          <w:tblCellMar>
            <w:top w:w="0" w:type="dxa"/>
            <w:left w:w="108" w:type="dxa"/>
            <w:bottom w:w="0" w:type="dxa"/>
            <w:right w:w="108" w:type="dxa"/>
          </w:tblCellMar>
        </w:tblPrEx>
        <w:trPr>
          <w:trHeight w:val="790" w:hRule="atLeast"/>
        </w:trPr>
        <w:tc>
          <w:tcPr>
            <w:tcW w:w="153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5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89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3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550" w:hRule="atLeast"/>
        </w:trPr>
        <w:tc>
          <w:tcPr>
            <w:tcW w:w="153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保险集团（控股）公司保险许可证号码</w:t>
            </w:r>
          </w:p>
        </w:tc>
        <w:tc>
          <w:tcPr>
            <w:tcW w:w="15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JT_BXXKZHM</w:t>
            </w:r>
          </w:p>
        </w:tc>
        <w:tc>
          <w:tcPr>
            <w:tcW w:w="89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001042</w:t>
            </w:r>
          </w:p>
        </w:tc>
        <w:tc>
          <w:tcPr>
            <w:tcW w:w="33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中国银保监会统一设计和印制，授权给保险机构经营保险业务的许可证上记录的机构编码。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53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保险集团（控股）公司统一社会信用代码</w:t>
            </w:r>
          </w:p>
        </w:tc>
        <w:tc>
          <w:tcPr>
            <w:tcW w:w="15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JT_TYSHXYDM</w:t>
            </w:r>
          </w:p>
        </w:tc>
        <w:tc>
          <w:tcPr>
            <w:tcW w:w="89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001003</w:t>
            </w:r>
          </w:p>
        </w:tc>
        <w:tc>
          <w:tcPr>
            <w:tcW w:w="33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790" w:hRule="atLeast"/>
        </w:trPr>
        <w:tc>
          <w:tcPr>
            <w:tcW w:w="153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保险集团（控股）公司名称</w:t>
            </w:r>
          </w:p>
        </w:tc>
        <w:tc>
          <w:tcPr>
            <w:tcW w:w="15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JT_MC</w:t>
            </w:r>
          </w:p>
        </w:tc>
        <w:tc>
          <w:tcPr>
            <w:tcW w:w="89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3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3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流水号</w:t>
            </w:r>
          </w:p>
        </w:tc>
        <w:tc>
          <w:tcPr>
            <w:tcW w:w="15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LSH</w:t>
            </w:r>
          </w:p>
        </w:tc>
        <w:tc>
          <w:tcPr>
            <w:tcW w:w="89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001001</w:t>
            </w:r>
          </w:p>
        </w:tc>
        <w:tc>
          <w:tcPr>
            <w:tcW w:w="33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53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成员公司保险许可证号码</w:t>
            </w:r>
          </w:p>
        </w:tc>
        <w:tc>
          <w:tcPr>
            <w:tcW w:w="15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CY_BXXKZHM</w:t>
            </w:r>
          </w:p>
        </w:tc>
        <w:tc>
          <w:tcPr>
            <w:tcW w:w="89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001042</w:t>
            </w:r>
          </w:p>
        </w:tc>
        <w:tc>
          <w:tcPr>
            <w:tcW w:w="33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中国银保监会统一设计和印制，授权给保险机构经营保险业务的许可证上记录的机构编码。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3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成员公司统一社会信用代码</w:t>
            </w:r>
          </w:p>
        </w:tc>
        <w:tc>
          <w:tcPr>
            <w:tcW w:w="15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CY_TYSHXYDM</w:t>
            </w:r>
          </w:p>
        </w:tc>
        <w:tc>
          <w:tcPr>
            <w:tcW w:w="89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001003</w:t>
            </w:r>
          </w:p>
        </w:tc>
        <w:tc>
          <w:tcPr>
            <w:tcW w:w="33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境内成员公司填写统一社会信用代码，境外成员公司则填写企业注册码、税务号等有效代码。如无上述代码，机构可自行定义。</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53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成员公司名称</w:t>
            </w:r>
          </w:p>
        </w:tc>
        <w:tc>
          <w:tcPr>
            <w:tcW w:w="15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CY_MC</w:t>
            </w:r>
          </w:p>
        </w:tc>
        <w:tc>
          <w:tcPr>
            <w:tcW w:w="89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3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成员公司工商注册的名称。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53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成员公司员工代码</w:t>
            </w:r>
          </w:p>
        </w:tc>
        <w:tc>
          <w:tcPr>
            <w:tcW w:w="15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CY_YGDM</w:t>
            </w:r>
          </w:p>
        </w:tc>
        <w:tc>
          <w:tcPr>
            <w:tcW w:w="89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001034</w:t>
            </w:r>
          </w:p>
        </w:tc>
        <w:tc>
          <w:tcPr>
            <w:tcW w:w="33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指《员工信息表》中公司内部自行定义的员工代码，具有唯一性。</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53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成员公司员工法定名称</w:t>
            </w:r>
          </w:p>
        </w:tc>
        <w:tc>
          <w:tcPr>
            <w:tcW w:w="15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CY_YGFDMC</w:t>
            </w:r>
          </w:p>
        </w:tc>
        <w:tc>
          <w:tcPr>
            <w:tcW w:w="89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001011</w:t>
            </w:r>
          </w:p>
        </w:tc>
        <w:tc>
          <w:tcPr>
            <w:tcW w:w="33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员工有效身份证件上的姓名。隐私，保险集团（控股）公司变形。</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3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成员公司员工证件类型</w:t>
            </w:r>
          </w:p>
        </w:tc>
        <w:tc>
          <w:tcPr>
            <w:tcW w:w="15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CY_YGZJLX</w:t>
            </w:r>
          </w:p>
        </w:tc>
        <w:tc>
          <w:tcPr>
            <w:tcW w:w="89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001019</w:t>
            </w:r>
          </w:p>
        </w:tc>
        <w:tc>
          <w:tcPr>
            <w:tcW w:w="33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参照《业务代码表》中的“证件类型代码”，填报代码。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3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成员公司员工证件号码</w:t>
            </w:r>
          </w:p>
        </w:tc>
        <w:tc>
          <w:tcPr>
            <w:tcW w:w="15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CY_YGZJHM</w:t>
            </w:r>
          </w:p>
        </w:tc>
        <w:tc>
          <w:tcPr>
            <w:tcW w:w="89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001018</w:t>
            </w:r>
          </w:p>
        </w:tc>
        <w:tc>
          <w:tcPr>
            <w:tcW w:w="33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身份证号、护照号等有效证件号码，隐私，保险集团（控股）公司变形。</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3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成员公司员工证件到期日</w:t>
            </w:r>
          </w:p>
        </w:tc>
        <w:tc>
          <w:tcPr>
            <w:tcW w:w="15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CY_YGZJDQR</w:t>
            </w:r>
          </w:p>
        </w:tc>
        <w:tc>
          <w:tcPr>
            <w:tcW w:w="89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3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员工证件到期日。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3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处罚机关</w:t>
            </w:r>
          </w:p>
        </w:tc>
        <w:tc>
          <w:tcPr>
            <w:tcW w:w="15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CFJG</w:t>
            </w:r>
          </w:p>
        </w:tc>
        <w:tc>
          <w:tcPr>
            <w:tcW w:w="89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001015</w:t>
            </w:r>
          </w:p>
        </w:tc>
        <w:tc>
          <w:tcPr>
            <w:tcW w:w="33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发布该人员处罚决定的，依法有权或受托实施行政处罚的监管机构主体的规范全称；包括但不限于受到人民银行、银保监会、银保监局、政府执法部门等机关的行政处罚。</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3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处罚文号</w:t>
            </w:r>
          </w:p>
        </w:tc>
        <w:tc>
          <w:tcPr>
            <w:tcW w:w="15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CFWH</w:t>
            </w:r>
          </w:p>
        </w:tc>
        <w:tc>
          <w:tcPr>
            <w:tcW w:w="89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001023</w:t>
            </w:r>
          </w:p>
        </w:tc>
        <w:tc>
          <w:tcPr>
            <w:tcW w:w="33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填写行政处罚机关的处罚文号。</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53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开始日期</w:t>
            </w:r>
          </w:p>
        </w:tc>
        <w:tc>
          <w:tcPr>
            <w:tcW w:w="15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KSRQ</w:t>
            </w:r>
          </w:p>
        </w:tc>
        <w:tc>
          <w:tcPr>
            <w:tcW w:w="89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3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填报处罚开始日期。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3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结束日期</w:t>
            </w:r>
          </w:p>
        </w:tc>
        <w:tc>
          <w:tcPr>
            <w:tcW w:w="15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JSRQ</w:t>
            </w:r>
          </w:p>
        </w:tc>
        <w:tc>
          <w:tcPr>
            <w:tcW w:w="89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3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填报处罚结束日期，存在罚款等处罚无持续时间的情况，开始和结束日期填报同一天。</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3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处罚类型</w:t>
            </w:r>
          </w:p>
        </w:tc>
        <w:tc>
          <w:tcPr>
            <w:tcW w:w="15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cs="宋体"/>
                <w:color w:val="000000"/>
                <w:kern w:val="0"/>
                <w:sz w:val="21"/>
                <w:szCs w:val="21"/>
              </w:rPr>
              <w:t>CFLX</w:t>
            </w:r>
          </w:p>
        </w:tc>
        <w:tc>
          <w:tcPr>
            <w:tcW w:w="89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001038</w:t>
            </w:r>
          </w:p>
        </w:tc>
        <w:tc>
          <w:tcPr>
            <w:tcW w:w="33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参照《业务代码表》中的“处罚类型代码”，填报代码。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3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处罚原因</w:t>
            </w:r>
          </w:p>
        </w:tc>
        <w:tc>
          <w:tcPr>
            <w:tcW w:w="15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CFYY</w:t>
            </w:r>
          </w:p>
        </w:tc>
        <w:tc>
          <w:tcPr>
            <w:tcW w:w="89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001039</w:t>
            </w:r>
          </w:p>
        </w:tc>
        <w:tc>
          <w:tcPr>
            <w:tcW w:w="33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处罚原因的文字描述，若有处罚决定书，填写处罚决定书内容。</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3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处罚金额</w:t>
            </w:r>
          </w:p>
        </w:tc>
        <w:tc>
          <w:tcPr>
            <w:tcW w:w="15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CFJE</w:t>
            </w:r>
          </w:p>
        </w:tc>
        <w:tc>
          <w:tcPr>
            <w:tcW w:w="89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3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处罚金额，以人民币填报，单位：元。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3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采集日期</w:t>
            </w:r>
          </w:p>
        </w:tc>
        <w:tc>
          <w:tcPr>
            <w:tcW w:w="15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CJRQ</w:t>
            </w:r>
          </w:p>
        </w:tc>
        <w:tc>
          <w:tcPr>
            <w:tcW w:w="89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3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bl>
    <w:p>
      <w:pPr>
        <w:ind w:firstLine="0" w:firstLineChars="0"/>
      </w:pPr>
    </w:p>
    <w:p>
      <w:pPr>
        <w:keepNext/>
        <w:keepLines/>
        <w:numPr>
          <w:ilvl w:val="1"/>
          <w:numId w:val="7"/>
        </w:numPr>
        <w:ind w:firstLineChars="0"/>
        <w:outlineLvl w:val="3"/>
        <w:rPr>
          <w:rFonts w:ascii="仿宋" w:hAnsi="仿宋" w:eastAsia="仿宋"/>
          <w:b/>
        </w:rPr>
      </w:pPr>
      <w:r>
        <w:rPr>
          <w:rFonts w:hint="eastAsia" w:ascii="仿宋" w:hAnsi="仿宋" w:eastAsia="仿宋"/>
          <w:b/>
        </w:rPr>
        <w:t>成员公司管理人员信息表</w:t>
      </w:r>
    </w:p>
    <w:tbl>
      <w:tblPr>
        <w:tblStyle w:val="25"/>
        <w:tblW w:w="8824" w:type="dxa"/>
        <w:tblInd w:w="0" w:type="dxa"/>
        <w:tblLayout w:type="fixed"/>
        <w:tblCellMar>
          <w:top w:w="0" w:type="dxa"/>
          <w:left w:w="108" w:type="dxa"/>
          <w:bottom w:w="0" w:type="dxa"/>
          <w:right w:w="108" w:type="dxa"/>
        </w:tblCellMar>
      </w:tblPr>
      <w:tblGrid>
        <w:gridCol w:w="1549"/>
        <w:gridCol w:w="1558"/>
        <w:gridCol w:w="851"/>
        <w:gridCol w:w="3403"/>
        <w:gridCol w:w="709"/>
        <w:gridCol w:w="754"/>
      </w:tblGrid>
      <w:tr>
        <w:tblPrEx>
          <w:tblCellMar>
            <w:top w:w="0" w:type="dxa"/>
            <w:left w:w="108" w:type="dxa"/>
            <w:bottom w:w="0" w:type="dxa"/>
            <w:right w:w="108" w:type="dxa"/>
          </w:tblCellMar>
        </w:tblPrEx>
        <w:trPr>
          <w:trHeight w:val="290" w:hRule="atLeast"/>
        </w:trPr>
        <w:tc>
          <w:tcPr>
            <w:tcW w:w="15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55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851"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4866"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57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CYGSGLRYXXB</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成员公司管理人员信息表</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A030</w:t>
            </w:r>
            <w:r>
              <w:rPr>
                <w:rFonts w:ascii="宋体" w:hAnsi="宋体" w:eastAsia="宋体" w:cs="宋体"/>
                <w:color w:val="000000"/>
                <w:kern w:val="0"/>
                <w:sz w:val="21"/>
                <w:szCs w:val="21"/>
              </w:rPr>
              <w:t>6</w:t>
            </w:r>
          </w:p>
        </w:tc>
        <w:tc>
          <w:tcPr>
            <w:tcW w:w="4866"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本表报送成员公司（不含保险集团（控股）公司）所有与公司签订劳动合同或聘用合同的管理人员信息，包括董事、监事、高管、自行认定的中层管理人员等人员信息。</w:t>
            </w:r>
          </w:p>
        </w:tc>
      </w:tr>
      <w:tr>
        <w:tblPrEx>
          <w:tblCellMar>
            <w:top w:w="0" w:type="dxa"/>
            <w:left w:w="108" w:type="dxa"/>
            <w:bottom w:w="0" w:type="dxa"/>
            <w:right w:w="108" w:type="dxa"/>
          </w:tblCellMar>
        </w:tblPrEx>
        <w:trPr>
          <w:trHeight w:val="7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保险集团（控股）公司保险许可证号码</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JT_BXXKZHM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中国银保监会统一设计和印制，授权给保险机构经营保险业务的许可证上记录的机构编码。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保险集团（控股）公司统一社会信用代码</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JT_TYSHXYDM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7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保险集团（控股）公司名称</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流水号</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LSH</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001001</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成员公司保险许可证号码</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CY_BXXKZHM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中国银保监会统一设计和印制，授权给保险机构经营保险业务的许可证上记录的机构编码。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成员公司统一社会信用代码</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CY_TYSHXYDM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境内成员公司填写统一社会信用代码，境外成员公司则填写企业注册码、税务号等有效代码。如无上述代码，机构可自行定义。</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成员公司名称</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成员公司工商注册的名称。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成员公司员工代码</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CY_YGDM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001034</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成员公司自行定义的员工编号，具有唯一性。一般由英文字母、数字、常见字符组成。</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成员公司员工法定名称</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CY_YGFDMC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001011</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员工有效身份证件上的姓名。隐私，保险集团（控股）公司变形。</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成员公司员工证件类型</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CY_YGZJLX</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001019</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参照《业务代码表》中的“证件类型代码”，填报代码。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成员公司员工证件号码</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CY_YGZJHM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001018</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身份证号、护照号等有效证件号码，隐私，保险集团（控股）公司变形。</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成员公司员工证件到期日</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CY_YGZJDQR</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员工证件到期日。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性别</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XB</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001030</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参照《业务代码表》中的“性别代码”，填报代码。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民族</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MZ</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001047</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员工的民族。国家认可的在公安户籍管理部门正式登记注册的客户所属民族。参照《业务代码表》中的“民族代码”，填报代码。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出生日期</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CSRQ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员工出生日期。隐私，暂不取。保险集团（控股）公司需在本地保留原文数据，并报送99991231。</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政治面貌</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ZZMM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001031</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成员公司员工的政治面貌。参照《业务代码表》中的“政治面貌代码”，填报代码。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参加政党日期</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CJZDRQ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001041</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参加政党的日期。YYYYMM，默认值999912。</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员工状态</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YGZT</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001029</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参照《业务代码表》中的“员工状态代码”，填报代码。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员工编制</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YGBZ</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001028</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参照《业务代码表》中的“员工编制代码”，填报代码。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联系电话</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LXDH</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001032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员工联系电话，区号-座机电话/手机。隐私，暂不取。保险集团（控股）公司需在本地保留原文数据，并报送“隐私”。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学历</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XL</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001033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员工学历，参照《业务代码表》中的“学历代码”，填报代码。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董监高标志</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DJGBZ</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001010</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参照《业务代码表》中的“是否判断代码”，填报代码。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所属部门</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SSBM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“董监高标志”为“否”时必填。按公司内部规定名称填写。</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岗位名称</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GWMC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“董监高标志”为“否”时必填。按公司内部规定名称填写。</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入司日期</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RSRQ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“董监高标志”为“否”时必填。则填报最近一次签订劳动合同的日期，其他人员则填报任职开始日期。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离司日期</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LSRQ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如董监高标志为员工，则填报离司日期，其他人员则填报任职结束日期，若未离司或仍在任职期则填默认值99991231。</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采集日期</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CJRQ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bl>
    <w:p>
      <w:pPr>
        <w:ind w:firstLine="0" w:firstLineChars="0"/>
      </w:pPr>
    </w:p>
    <w:p>
      <w:pPr>
        <w:pStyle w:val="3"/>
        <w:numPr>
          <w:ilvl w:val="0"/>
          <w:numId w:val="6"/>
        </w:numPr>
        <w:ind w:left="0"/>
        <w:rPr>
          <w:szCs w:val="30"/>
        </w:rPr>
      </w:pPr>
      <w:bookmarkStart w:id="141" w:name="_Toc20605"/>
      <w:bookmarkStart w:id="142" w:name="_Toc57476899"/>
      <w:bookmarkStart w:id="143" w:name="_Toc24264"/>
      <w:bookmarkStart w:id="144" w:name="_Toc27372"/>
      <w:bookmarkStart w:id="145" w:name="_Toc73958570"/>
      <w:bookmarkStart w:id="146" w:name="_Toc2379"/>
      <w:bookmarkStart w:id="147" w:name="_Toc29689"/>
      <w:bookmarkStart w:id="148" w:name="_Toc9069"/>
      <w:bookmarkStart w:id="149" w:name="_Toc13678"/>
      <w:bookmarkStart w:id="150" w:name="_Toc23532"/>
      <w:bookmarkStart w:id="151" w:name="_Toc98147816"/>
      <w:bookmarkStart w:id="152" w:name="_Toc57538963"/>
      <w:bookmarkStart w:id="153" w:name="_Toc25316"/>
      <w:bookmarkStart w:id="154" w:name="_Toc23841"/>
      <w:r>
        <w:rPr>
          <w:rFonts w:hint="eastAsia"/>
          <w:szCs w:val="30"/>
        </w:rPr>
        <w:t>公司财务</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pPr>
        <w:pStyle w:val="4"/>
        <w:numPr>
          <w:ilvl w:val="0"/>
          <w:numId w:val="13"/>
        </w:numPr>
        <w:tabs>
          <w:tab w:val="left" w:pos="709"/>
          <w:tab w:val="left" w:pos="993"/>
        </w:tabs>
        <w:rPr>
          <w:rFonts w:ascii="仿宋" w:hAnsi="仿宋" w:eastAsia="仿宋"/>
          <w:szCs w:val="30"/>
        </w:rPr>
      </w:pPr>
      <w:bookmarkStart w:id="155" w:name="_Toc19174"/>
      <w:bookmarkStart w:id="156" w:name="_Toc25986"/>
      <w:bookmarkStart w:id="157" w:name="_Toc5966"/>
      <w:bookmarkStart w:id="158" w:name="_Toc73958571"/>
      <w:bookmarkStart w:id="159" w:name="_Toc30378"/>
      <w:bookmarkStart w:id="160" w:name="_Toc22970"/>
      <w:bookmarkStart w:id="161" w:name="_Toc11991"/>
      <w:r>
        <w:rPr>
          <w:rFonts w:hint="eastAsia" w:ascii="仿宋" w:hAnsi="仿宋" w:eastAsia="仿宋"/>
          <w:szCs w:val="30"/>
        </w:rPr>
        <w:t>集团合并</w:t>
      </w:r>
      <w:bookmarkEnd w:id="155"/>
      <w:bookmarkEnd w:id="156"/>
      <w:bookmarkEnd w:id="157"/>
      <w:bookmarkEnd w:id="158"/>
      <w:bookmarkEnd w:id="159"/>
      <w:bookmarkEnd w:id="160"/>
      <w:bookmarkEnd w:id="161"/>
    </w:p>
    <w:p>
      <w:pPr>
        <w:keepNext/>
        <w:keepLines/>
        <w:numPr>
          <w:ilvl w:val="1"/>
          <w:numId w:val="7"/>
        </w:numPr>
        <w:ind w:firstLineChars="0"/>
        <w:outlineLvl w:val="3"/>
        <w:rPr>
          <w:rFonts w:ascii="仿宋" w:hAnsi="仿宋" w:eastAsia="仿宋"/>
          <w:b/>
        </w:rPr>
      </w:pPr>
      <w:r>
        <w:rPr>
          <w:rFonts w:hint="eastAsia" w:ascii="仿宋" w:hAnsi="仿宋" w:eastAsia="仿宋"/>
          <w:b/>
        </w:rPr>
        <w:t>集团合并报表范围内被合并方信息表</w:t>
      </w:r>
    </w:p>
    <w:tbl>
      <w:tblPr>
        <w:tblStyle w:val="25"/>
        <w:tblW w:w="8824" w:type="dxa"/>
        <w:tblInd w:w="0" w:type="dxa"/>
        <w:tblLayout w:type="fixed"/>
        <w:tblCellMar>
          <w:top w:w="0" w:type="dxa"/>
          <w:left w:w="108" w:type="dxa"/>
          <w:bottom w:w="0" w:type="dxa"/>
          <w:right w:w="108" w:type="dxa"/>
        </w:tblCellMar>
      </w:tblPr>
      <w:tblGrid>
        <w:gridCol w:w="1896"/>
        <w:gridCol w:w="1579"/>
        <w:gridCol w:w="1052"/>
        <w:gridCol w:w="2834"/>
        <w:gridCol w:w="709"/>
        <w:gridCol w:w="754"/>
      </w:tblGrid>
      <w:tr>
        <w:tblPrEx>
          <w:tblCellMar>
            <w:top w:w="0" w:type="dxa"/>
            <w:left w:w="108" w:type="dxa"/>
            <w:bottom w:w="0" w:type="dxa"/>
            <w:right w:w="108" w:type="dxa"/>
          </w:tblCellMar>
        </w:tblPrEx>
        <w:trPr>
          <w:trHeight w:val="290" w:hRule="atLeast"/>
        </w:trPr>
        <w:tc>
          <w:tcPr>
            <w:tcW w:w="189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579"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1052"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4297"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570" w:hRule="atLeast"/>
        </w:trPr>
        <w:tc>
          <w:tcPr>
            <w:tcW w:w="189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JTHBBBFWNBHBFXXB</w:t>
            </w:r>
          </w:p>
        </w:tc>
        <w:tc>
          <w:tcPr>
            <w:tcW w:w="157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集团合并报表范围内被合并方信息表</w:t>
            </w:r>
          </w:p>
        </w:tc>
        <w:tc>
          <w:tcPr>
            <w:tcW w:w="10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B0101</w:t>
            </w:r>
          </w:p>
        </w:tc>
        <w:tc>
          <w:tcPr>
            <w:tcW w:w="4297"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本表报送集团合并财务信息统计表范围内公司或其他主体基本信息。</w:t>
            </w:r>
          </w:p>
        </w:tc>
      </w:tr>
      <w:tr>
        <w:tblPrEx>
          <w:tblCellMar>
            <w:top w:w="0" w:type="dxa"/>
            <w:left w:w="108" w:type="dxa"/>
            <w:bottom w:w="0" w:type="dxa"/>
            <w:right w:w="108" w:type="dxa"/>
          </w:tblCellMar>
        </w:tblPrEx>
        <w:trPr>
          <w:trHeight w:val="790" w:hRule="atLeast"/>
        </w:trPr>
        <w:tc>
          <w:tcPr>
            <w:tcW w:w="189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57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10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550" w:hRule="atLeast"/>
        </w:trPr>
        <w:tc>
          <w:tcPr>
            <w:tcW w:w="189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保险集团（控股）公司保险许可证号码</w:t>
            </w:r>
          </w:p>
        </w:tc>
        <w:tc>
          <w:tcPr>
            <w:tcW w:w="157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JT_BXXKZHM</w:t>
            </w:r>
          </w:p>
        </w:tc>
        <w:tc>
          <w:tcPr>
            <w:tcW w:w="10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001042</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中国银保监会统一设计和印制，授权给保险机构经营保险业务的许可证上记录的机构编码。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89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保险集团（控股）公司统一社会信用代码</w:t>
            </w:r>
          </w:p>
        </w:tc>
        <w:tc>
          <w:tcPr>
            <w:tcW w:w="157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JT_TYSHXYDM</w:t>
            </w:r>
          </w:p>
        </w:tc>
        <w:tc>
          <w:tcPr>
            <w:tcW w:w="10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001003</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790" w:hRule="atLeast"/>
        </w:trPr>
        <w:tc>
          <w:tcPr>
            <w:tcW w:w="189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保险集团（控股）公司名称</w:t>
            </w:r>
          </w:p>
        </w:tc>
        <w:tc>
          <w:tcPr>
            <w:tcW w:w="157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JT_MC</w:t>
            </w:r>
          </w:p>
        </w:tc>
        <w:tc>
          <w:tcPr>
            <w:tcW w:w="10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820" w:hRule="atLeast"/>
        </w:trPr>
        <w:tc>
          <w:tcPr>
            <w:tcW w:w="189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流水号</w:t>
            </w:r>
          </w:p>
        </w:tc>
        <w:tc>
          <w:tcPr>
            <w:tcW w:w="157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LSH</w:t>
            </w:r>
          </w:p>
        </w:tc>
        <w:tc>
          <w:tcPr>
            <w:tcW w:w="10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001001</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30" w:hRule="atLeast"/>
        </w:trPr>
        <w:tc>
          <w:tcPr>
            <w:tcW w:w="189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被合并方名称</w:t>
            </w:r>
          </w:p>
        </w:tc>
        <w:tc>
          <w:tcPr>
            <w:tcW w:w="157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GL_BHBFMC</w:t>
            </w:r>
          </w:p>
        </w:tc>
        <w:tc>
          <w:tcPr>
            <w:tcW w:w="10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填写被合并方公司或其他主体名称，如是公司应与工商注册一致。</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89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被合并方证件类型</w:t>
            </w:r>
          </w:p>
        </w:tc>
        <w:tc>
          <w:tcPr>
            <w:tcW w:w="157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GL_BHBFZJLX</w:t>
            </w:r>
          </w:p>
        </w:tc>
        <w:tc>
          <w:tcPr>
            <w:tcW w:w="10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001019</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被合并方公司或其他主体证件类型。参照《业务代码表》中的“证件类型代码”，填报代码。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530" w:hRule="atLeast"/>
        </w:trPr>
        <w:tc>
          <w:tcPr>
            <w:tcW w:w="189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被合并方证件号码</w:t>
            </w:r>
          </w:p>
        </w:tc>
        <w:tc>
          <w:tcPr>
            <w:tcW w:w="157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GL_BHBFZJHM</w:t>
            </w:r>
          </w:p>
        </w:tc>
        <w:tc>
          <w:tcPr>
            <w:tcW w:w="10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001018</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被合并方公司或其他主体证件号码。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90" w:hRule="atLeast"/>
        </w:trPr>
        <w:tc>
          <w:tcPr>
            <w:tcW w:w="189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被合并方证件到期日</w:t>
            </w:r>
          </w:p>
        </w:tc>
        <w:tc>
          <w:tcPr>
            <w:tcW w:w="157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GL_BHBFZJDQR</w:t>
            </w:r>
          </w:p>
        </w:tc>
        <w:tc>
          <w:tcPr>
            <w:tcW w:w="10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被合并方公司或其他主体证件到期日。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90" w:hRule="atLeast"/>
        </w:trPr>
        <w:tc>
          <w:tcPr>
            <w:tcW w:w="189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会计期间</w:t>
            </w:r>
          </w:p>
        </w:tc>
        <w:tc>
          <w:tcPr>
            <w:tcW w:w="157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KJQJ</w:t>
            </w:r>
          </w:p>
        </w:tc>
        <w:tc>
          <w:tcPr>
            <w:tcW w:w="10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002002</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归属期间。格式：</w:t>
            </w:r>
            <w:r>
              <w:rPr>
                <w:rFonts w:ascii="宋体" w:hAnsi="宋体" w:eastAsia="宋体"/>
                <w:sz w:val="21"/>
                <w:szCs w:val="21"/>
              </w:rPr>
              <w:t>YYYYMM，年度审计报告出具后报送审计报告被合并方。</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是</w:t>
            </w:r>
          </w:p>
        </w:tc>
      </w:tr>
      <w:tr>
        <w:tblPrEx>
          <w:tblCellMar>
            <w:top w:w="0" w:type="dxa"/>
            <w:left w:w="108" w:type="dxa"/>
            <w:bottom w:w="0" w:type="dxa"/>
            <w:right w:w="108" w:type="dxa"/>
          </w:tblCellMar>
        </w:tblPrEx>
        <w:trPr>
          <w:trHeight w:val="290" w:hRule="atLeast"/>
        </w:trPr>
        <w:tc>
          <w:tcPr>
            <w:tcW w:w="189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报送周期</w:t>
            </w:r>
          </w:p>
        </w:tc>
        <w:tc>
          <w:tcPr>
            <w:tcW w:w="157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BSZQ</w:t>
            </w:r>
          </w:p>
        </w:tc>
        <w:tc>
          <w:tcPr>
            <w:tcW w:w="10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002016</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参照《业务代码表》中的“报送周期类型代码”，填报代码。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820" w:hRule="atLeast"/>
        </w:trPr>
        <w:tc>
          <w:tcPr>
            <w:tcW w:w="189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采集日期</w:t>
            </w:r>
          </w:p>
        </w:tc>
        <w:tc>
          <w:tcPr>
            <w:tcW w:w="157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CJRQ</w:t>
            </w:r>
          </w:p>
        </w:tc>
        <w:tc>
          <w:tcPr>
            <w:tcW w:w="10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28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bl>
    <w:p>
      <w:pPr>
        <w:ind w:firstLine="0" w:firstLineChars="0"/>
      </w:pPr>
    </w:p>
    <w:p>
      <w:pPr>
        <w:keepNext/>
        <w:keepLines/>
        <w:numPr>
          <w:ilvl w:val="1"/>
          <w:numId w:val="7"/>
        </w:numPr>
        <w:ind w:firstLineChars="0"/>
        <w:outlineLvl w:val="3"/>
        <w:rPr>
          <w:rFonts w:ascii="仿宋" w:hAnsi="仿宋" w:eastAsia="仿宋"/>
          <w:b/>
        </w:rPr>
      </w:pPr>
      <w:r>
        <w:rPr>
          <w:rFonts w:hint="eastAsia" w:ascii="仿宋" w:hAnsi="仿宋" w:eastAsia="仿宋"/>
          <w:b/>
        </w:rPr>
        <w:t>集团合并财务信息统计表</w:t>
      </w:r>
    </w:p>
    <w:tbl>
      <w:tblPr>
        <w:tblStyle w:val="25"/>
        <w:tblW w:w="8824" w:type="dxa"/>
        <w:tblInd w:w="0" w:type="dxa"/>
        <w:tblLayout w:type="fixed"/>
        <w:tblCellMar>
          <w:top w:w="0" w:type="dxa"/>
          <w:left w:w="108" w:type="dxa"/>
          <w:bottom w:w="0" w:type="dxa"/>
          <w:right w:w="108" w:type="dxa"/>
        </w:tblCellMar>
      </w:tblPr>
      <w:tblGrid>
        <w:gridCol w:w="1549"/>
        <w:gridCol w:w="1507"/>
        <w:gridCol w:w="902"/>
        <w:gridCol w:w="3403"/>
        <w:gridCol w:w="709"/>
        <w:gridCol w:w="754"/>
      </w:tblGrid>
      <w:tr>
        <w:tblPrEx>
          <w:tblCellMar>
            <w:top w:w="0" w:type="dxa"/>
            <w:left w:w="108" w:type="dxa"/>
            <w:bottom w:w="0" w:type="dxa"/>
            <w:right w:w="108" w:type="dxa"/>
          </w:tblCellMar>
        </w:tblPrEx>
        <w:trPr>
          <w:trHeight w:val="290" w:hRule="atLeast"/>
        </w:trPr>
        <w:tc>
          <w:tcPr>
            <w:tcW w:w="15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50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902"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4866"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57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JTHBCWXXTJB</w:t>
            </w:r>
          </w:p>
        </w:tc>
        <w:tc>
          <w:tcPr>
            <w:tcW w:w="15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集团合并财务信息统计表</w:t>
            </w:r>
          </w:p>
        </w:tc>
        <w:tc>
          <w:tcPr>
            <w:tcW w:w="90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B0102</w:t>
            </w:r>
          </w:p>
        </w:tc>
        <w:tc>
          <w:tcPr>
            <w:tcW w:w="4866"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本表报送集团合并财务信息统计指标。</w:t>
            </w:r>
          </w:p>
        </w:tc>
      </w:tr>
      <w:tr>
        <w:tblPrEx>
          <w:tblCellMar>
            <w:top w:w="0" w:type="dxa"/>
            <w:left w:w="108" w:type="dxa"/>
            <w:bottom w:w="0" w:type="dxa"/>
            <w:right w:w="108" w:type="dxa"/>
          </w:tblCellMar>
        </w:tblPrEx>
        <w:trPr>
          <w:trHeight w:val="7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5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90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保险集团（控股）公司保险许可证号码</w:t>
            </w:r>
          </w:p>
        </w:tc>
        <w:tc>
          <w:tcPr>
            <w:tcW w:w="15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JT_BXXKZHM</w:t>
            </w:r>
          </w:p>
        </w:tc>
        <w:tc>
          <w:tcPr>
            <w:tcW w:w="90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中国银保监会统一设计和印制，授权给保险机构经营保险业务的许可证上记录的机构编码。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保险集团（控股）公司统一社会信用代码</w:t>
            </w:r>
          </w:p>
        </w:tc>
        <w:tc>
          <w:tcPr>
            <w:tcW w:w="15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JT_TYSHXYDM</w:t>
            </w:r>
          </w:p>
        </w:tc>
        <w:tc>
          <w:tcPr>
            <w:tcW w:w="90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7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保险集团（控股）公司名称</w:t>
            </w:r>
          </w:p>
        </w:tc>
        <w:tc>
          <w:tcPr>
            <w:tcW w:w="15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JT_MC</w:t>
            </w:r>
          </w:p>
        </w:tc>
        <w:tc>
          <w:tcPr>
            <w:tcW w:w="90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82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流水号</w:t>
            </w:r>
          </w:p>
        </w:tc>
        <w:tc>
          <w:tcPr>
            <w:tcW w:w="15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LSH</w:t>
            </w:r>
          </w:p>
        </w:tc>
        <w:tc>
          <w:tcPr>
            <w:tcW w:w="90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001001</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资产合计</w:t>
            </w:r>
          </w:p>
        </w:tc>
        <w:tc>
          <w:tcPr>
            <w:tcW w:w="15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ZCHJ</w:t>
            </w:r>
          </w:p>
        </w:tc>
        <w:tc>
          <w:tcPr>
            <w:tcW w:w="90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资产合计。单位：元。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53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负债合计</w:t>
            </w:r>
          </w:p>
        </w:tc>
        <w:tc>
          <w:tcPr>
            <w:tcW w:w="15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FZHJ</w:t>
            </w:r>
          </w:p>
        </w:tc>
        <w:tc>
          <w:tcPr>
            <w:tcW w:w="90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负债合计。单位：元。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所有者权益合计</w:t>
            </w:r>
          </w:p>
        </w:tc>
        <w:tc>
          <w:tcPr>
            <w:tcW w:w="15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SYZQYHJ</w:t>
            </w:r>
          </w:p>
        </w:tc>
        <w:tc>
          <w:tcPr>
            <w:tcW w:w="90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所有者权益合计。单位：元。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归属于母公司所有者权益合计</w:t>
            </w:r>
          </w:p>
        </w:tc>
        <w:tc>
          <w:tcPr>
            <w:tcW w:w="15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GSYMGSSYZQYHJ</w:t>
            </w:r>
          </w:p>
        </w:tc>
        <w:tc>
          <w:tcPr>
            <w:tcW w:w="90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归属于母公司所有者权益合计。单位：元。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当期营业收入</w:t>
            </w:r>
          </w:p>
        </w:tc>
        <w:tc>
          <w:tcPr>
            <w:tcW w:w="15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DQYYSR</w:t>
            </w:r>
          </w:p>
        </w:tc>
        <w:tc>
          <w:tcPr>
            <w:tcW w:w="90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当月发生额。单位：元。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w:t>
            </w:r>
          </w:p>
        </w:tc>
      </w:tr>
      <w:tr>
        <w:tblPrEx>
          <w:tblCellMar>
            <w:top w:w="0" w:type="dxa"/>
            <w:left w:w="108" w:type="dxa"/>
            <w:bottom w:w="0" w:type="dxa"/>
            <w:right w:w="108" w:type="dxa"/>
          </w:tblCellMar>
        </w:tblPrEx>
        <w:trPr>
          <w:trHeight w:val="53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当期营业支出</w:t>
            </w:r>
          </w:p>
        </w:tc>
        <w:tc>
          <w:tcPr>
            <w:tcW w:w="15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DQYYZC</w:t>
            </w:r>
          </w:p>
        </w:tc>
        <w:tc>
          <w:tcPr>
            <w:tcW w:w="90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当月发生额。单位：元。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当期营业利润</w:t>
            </w:r>
          </w:p>
        </w:tc>
        <w:tc>
          <w:tcPr>
            <w:tcW w:w="15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DQYYLR</w:t>
            </w:r>
          </w:p>
        </w:tc>
        <w:tc>
          <w:tcPr>
            <w:tcW w:w="90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当月发生额。单位：元。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当期利润总额</w:t>
            </w:r>
          </w:p>
        </w:tc>
        <w:tc>
          <w:tcPr>
            <w:tcW w:w="15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DQLRZE</w:t>
            </w:r>
          </w:p>
        </w:tc>
        <w:tc>
          <w:tcPr>
            <w:tcW w:w="90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当月发生额。单位：元。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当期净利润</w:t>
            </w:r>
          </w:p>
        </w:tc>
        <w:tc>
          <w:tcPr>
            <w:tcW w:w="15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DQJLR</w:t>
            </w:r>
          </w:p>
        </w:tc>
        <w:tc>
          <w:tcPr>
            <w:tcW w:w="90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当月发生额。单位：元。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当期归属于母公司所有者净利润</w:t>
            </w:r>
          </w:p>
        </w:tc>
        <w:tc>
          <w:tcPr>
            <w:tcW w:w="15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DQGSYMGSSYZJLR</w:t>
            </w:r>
          </w:p>
        </w:tc>
        <w:tc>
          <w:tcPr>
            <w:tcW w:w="90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当月发生额。单位：元。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年营业收入</w:t>
            </w:r>
          </w:p>
        </w:tc>
        <w:tc>
          <w:tcPr>
            <w:tcW w:w="15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NYYSR</w:t>
            </w:r>
          </w:p>
        </w:tc>
        <w:tc>
          <w:tcPr>
            <w:tcW w:w="90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当年累计发生额。单位：元。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年营业支出</w:t>
            </w:r>
          </w:p>
        </w:tc>
        <w:tc>
          <w:tcPr>
            <w:tcW w:w="15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NYYZC</w:t>
            </w:r>
          </w:p>
        </w:tc>
        <w:tc>
          <w:tcPr>
            <w:tcW w:w="90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当年累计发生额。单位：元。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年营业利润</w:t>
            </w:r>
          </w:p>
        </w:tc>
        <w:tc>
          <w:tcPr>
            <w:tcW w:w="15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NYYLR</w:t>
            </w:r>
          </w:p>
        </w:tc>
        <w:tc>
          <w:tcPr>
            <w:tcW w:w="90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当年累计发生额。单位：元。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年利润总额</w:t>
            </w:r>
          </w:p>
        </w:tc>
        <w:tc>
          <w:tcPr>
            <w:tcW w:w="15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NLRZE</w:t>
            </w:r>
          </w:p>
        </w:tc>
        <w:tc>
          <w:tcPr>
            <w:tcW w:w="90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当年累计发生额。单位：元。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年净利润</w:t>
            </w:r>
          </w:p>
        </w:tc>
        <w:tc>
          <w:tcPr>
            <w:tcW w:w="15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NJLR</w:t>
            </w:r>
          </w:p>
        </w:tc>
        <w:tc>
          <w:tcPr>
            <w:tcW w:w="90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当年累计发生额。单位：元。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年归属于母公司所有者净利润</w:t>
            </w:r>
          </w:p>
        </w:tc>
        <w:tc>
          <w:tcPr>
            <w:tcW w:w="15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NGSYMGSSYZJLR</w:t>
            </w:r>
          </w:p>
        </w:tc>
        <w:tc>
          <w:tcPr>
            <w:tcW w:w="90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当年累计发生额。单位：元。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会计期间</w:t>
            </w:r>
          </w:p>
        </w:tc>
        <w:tc>
          <w:tcPr>
            <w:tcW w:w="15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KJQJ</w:t>
            </w:r>
          </w:p>
        </w:tc>
        <w:tc>
          <w:tcPr>
            <w:tcW w:w="90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002002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归属期间。格式：</w:t>
            </w:r>
            <w:r>
              <w:rPr>
                <w:rFonts w:ascii="宋体" w:hAnsi="宋体" w:eastAsia="宋体" w:cs="宋体"/>
                <w:color w:val="000000"/>
                <w:kern w:val="0"/>
                <w:sz w:val="21"/>
                <w:szCs w:val="21"/>
              </w:rPr>
              <w:t>YYYYMM，年度审计报告出具后报送审计报告数据。</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报送周期</w:t>
            </w:r>
          </w:p>
        </w:tc>
        <w:tc>
          <w:tcPr>
            <w:tcW w:w="15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BSZQ</w:t>
            </w:r>
          </w:p>
        </w:tc>
        <w:tc>
          <w:tcPr>
            <w:tcW w:w="90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002016</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参照《业务代码表》中的“报送周期类型代码”，填报代码。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82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采集日期</w:t>
            </w:r>
          </w:p>
        </w:tc>
        <w:tc>
          <w:tcPr>
            <w:tcW w:w="150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CJRQ</w:t>
            </w:r>
          </w:p>
        </w:tc>
        <w:tc>
          <w:tcPr>
            <w:tcW w:w="90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bl>
    <w:p>
      <w:pPr>
        <w:ind w:firstLine="0" w:firstLineChars="0"/>
      </w:pPr>
    </w:p>
    <w:p>
      <w:pPr>
        <w:pStyle w:val="4"/>
        <w:numPr>
          <w:ilvl w:val="0"/>
          <w:numId w:val="13"/>
        </w:numPr>
        <w:tabs>
          <w:tab w:val="left" w:pos="709"/>
          <w:tab w:val="left" w:pos="993"/>
        </w:tabs>
        <w:rPr>
          <w:rFonts w:ascii="仿宋" w:hAnsi="仿宋" w:eastAsia="仿宋"/>
          <w:szCs w:val="30"/>
        </w:rPr>
      </w:pPr>
      <w:r>
        <w:rPr>
          <w:rFonts w:hint="eastAsia" w:ascii="仿宋" w:hAnsi="仿宋" w:eastAsia="仿宋"/>
          <w:szCs w:val="30"/>
        </w:rPr>
        <w:t>保险集团（控股）公司</w:t>
      </w:r>
    </w:p>
    <w:p>
      <w:pPr>
        <w:keepNext/>
        <w:keepLines/>
        <w:numPr>
          <w:ilvl w:val="1"/>
          <w:numId w:val="7"/>
        </w:numPr>
        <w:ind w:firstLineChars="0"/>
        <w:outlineLvl w:val="3"/>
        <w:rPr>
          <w:rFonts w:ascii="仿宋" w:hAnsi="仿宋" w:eastAsia="仿宋"/>
          <w:b/>
        </w:rPr>
      </w:pPr>
      <w:r>
        <w:rPr>
          <w:rFonts w:hint="eastAsia" w:ascii="仿宋" w:hAnsi="仿宋" w:eastAsia="仿宋"/>
          <w:b/>
        </w:rPr>
        <w:t>内部科目对照表</w:t>
      </w:r>
    </w:p>
    <w:tbl>
      <w:tblPr>
        <w:tblStyle w:val="25"/>
        <w:tblW w:w="8824" w:type="dxa"/>
        <w:tblInd w:w="0" w:type="dxa"/>
        <w:tblLayout w:type="fixed"/>
        <w:tblCellMar>
          <w:top w:w="0" w:type="dxa"/>
          <w:left w:w="108" w:type="dxa"/>
          <w:bottom w:w="0" w:type="dxa"/>
          <w:right w:w="108" w:type="dxa"/>
        </w:tblCellMar>
      </w:tblPr>
      <w:tblGrid>
        <w:gridCol w:w="1409"/>
        <w:gridCol w:w="1275"/>
        <w:gridCol w:w="992"/>
        <w:gridCol w:w="3685"/>
        <w:gridCol w:w="709"/>
        <w:gridCol w:w="754"/>
      </w:tblGrid>
      <w:tr>
        <w:tblPrEx>
          <w:tblCellMar>
            <w:top w:w="0" w:type="dxa"/>
            <w:left w:w="108" w:type="dxa"/>
            <w:bottom w:w="0" w:type="dxa"/>
            <w:right w:w="108" w:type="dxa"/>
          </w:tblCellMar>
        </w:tblPrEx>
        <w:trPr>
          <w:trHeight w:val="290" w:hRule="atLeast"/>
        </w:trPr>
        <w:tc>
          <w:tcPr>
            <w:tcW w:w="140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27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992"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14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57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NBKMDZB</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内部科目对照表</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B0201</w:t>
            </w:r>
          </w:p>
        </w:tc>
        <w:tc>
          <w:tcPr>
            <w:tcW w:w="514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本表报送保险集团（控股）公司总账会计全科目每一级科目由下级科目或明细账生成的关系，需要报送全量一级到最末级的会计科目。上级科目编号必须在该表中存在且具有唯一性。</w:t>
            </w:r>
          </w:p>
        </w:tc>
      </w:tr>
      <w:tr>
        <w:tblPrEx>
          <w:tblCellMar>
            <w:top w:w="0" w:type="dxa"/>
            <w:left w:w="108" w:type="dxa"/>
            <w:bottom w:w="0" w:type="dxa"/>
            <w:right w:w="108" w:type="dxa"/>
          </w:tblCellMar>
        </w:tblPrEx>
        <w:trPr>
          <w:trHeight w:val="79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55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保险集团（控股）公司保险许可证号码</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JT_BXXKZHM</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001042</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中国银保监会统一设计和印制，授权给保险机构经营保险业务的许可证上记录的机构编码。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保险集团（控股）公司统一社会信用代码</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JT_TYSHXYDM</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001003</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79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保险集团（控股）公司名称</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JT_MC</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流水号</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LSH</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001001</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会计科目体系名称</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KJKMTXMC</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002015</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会计科目体系名称，应具有唯一标识。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会计科目体系代码</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KJKMTXDM</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002014</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会计科目体系代码，应具有唯一标识。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会计核算方法</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KJHSFF</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002003</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适用会计准则。参照《业务代码表》中的“会计核算方法代码”，填报代码。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总账会计科目编号</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KMBH</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002006</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机构实际使用的会计科目编码。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总账会计科目名称</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KMMC</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002007</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机构实际使用的会计科目名称。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会计科目级次</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KMJC</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002005</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总账会计科目编号在科目结构中所对应的级次。未设置科目层级默认一级科目。“1-一级科目；2-二级科目；3-三级科目；4-四级科目；5-五级科目；6-六级科目”，以此类推，填报数字。</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上级科目编号</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SJKMBH</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002006</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机构实际使用的总账会计科目编码。“会计科目级次”非一级时必填。</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上级科目名称</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SJKMMC</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002007</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机构实际使用的总账会计科目编码对应的名称。“会计科目级次”非一级时必填。</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会计科目类型</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KMLX</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002004</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总账会计科目分类。参照《业务代码表》中的“会计科目类型代码”，填报代码。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会计期间</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KJQJ</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002002</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归属期间。格式：YYYYMM。</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r>
      <w:tr>
        <w:tblPrEx>
          <w:tblCellMar>
            <w:top w:w="0" w:type="dxa"/>
            <w:left w:w="108" w:type="dxa"/>
            <w:bottom w:w="0" w:type="dxa"/>
            <w:right w:w="108" w:type="dxa"/>
          </w:tblCellMar>
        </w:tblPrEx>
        <w:trPr>
          <w:trHeight w:val="82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报送周期</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BSZQ</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002016</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参照《业务代码表》中的“报送周期类型代码”，填报代码。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r>
      <w:tr>
        <w:tblPrEx>
          <w:tblCellMar>
            <w:top w:w="0" w:type="dxa"/>
            <w:left w:w="108" w:type="dxa"/>
            <w:bottom w:w="0" w:type="dxa"/>
            <w:right w:w="108" w:type="dxa"/>
          </w:tblCellMar>
        </w:tblPrEx>
        <w:trPr>
          <w:trHeight w:val="82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采集日期</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CJRQ</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bl>
    <w:p>
      <w:pPr>
        <w:ind w:firstLine="0" w:firstLineChars="0"/>
      </w:pPr>
    </w:p>
    <w:p>
      <w:pPr>
        <w:keepNext/>
        <w:keepLines/>
        <w:numPr>
          <w:ilvl w:val="1"/>
          <w:numId w:val="7"/>
        </w:numPr>
        <w:ind w:firstLineChars="0"/>
        <w:outlineLvl w:val="3"/>
        <w:rPr>
          <w:rFonts w:ascii="仿宋" w:hAnsi="仿宋" w:eastAsia="仿宋"/>
          <w:b/>
        </w:rPr>
      </w:pPr>
      <w:r>
        <w:rPr>
          <w:rFonts w:hint="eastAsia" w:ascii="仿宋" w:hAnsi="仿宋" w:eastAsia="仿宋"/>
          <w:b/>
        </w:rPr>
        <w:t>总账会计全科目表</w:t>
      </w:r>
    </w:p>
    <w:tbl>
      <w:tblPr>
        <w:tblStyle w:val="25"/>
        <w:tblW w:w="8824" w:type="dxa"/>
        <w:tblInd w:w="0" w:type="dxa"/>
        <w:tblLayout w:type="fixed"/>
        <w:tblCellMar>
          <w:top w:w="0" w:type="dxa"/>
          <w:left w:w="108" w:type="dxa"/>
          <w:bottom w:w="0" w:type="dxa"/>
          <w:right w:w="108" w:type="dxa"/>
        </w:tblCellMar>
      </w:tblPr>
      <w:tblGrid>
        <w:gridCol w:w="1409"/>
        <w:gridCol w:w="1416"/>
        <w:gridCol w:w="851"/>
        <w:gridCol w:w="3685"/>
        <w:gridCol w:w="709"/>
        <w:gridCol w:w="754"/>
      </w:tblGrid>
      <w:tr>
        <w:tblPrEx>
          <w:tblCellMar>
            <w:top w:w="0" w:type="dxa"/>
            <w:left w:w="108" w:type="dxa"/>
            <w:bottom w:w="0" w:type="dxa"/>
            <w:right w:w="108" w:type="dxa"/>
          </w:tblCellMar>
        </w:tblPrEx>
        <w:trPr>
          <w:trHeight w:val="290" w:hRule="atLeast"/>
        </w:trPr>
        <w:tc>
          <w:tcPr>
            <w:tcW w:w="140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41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851"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14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57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ZZKJQKMB</w:t>
            </w:r>
          </w:p>
        </w:tc>
        <w:tc>
          <w:tcPr>
            <w:tcW w:w="14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总账会计全科目表</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B0202</w:t>
            </w:r>
          </w:p>
        </w:tc>
        <w:tc>
          <w:tcPr>
            <w:tcW w:w="514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本表报送保险集团（控股）公司全科目报表数据，币种包括人民币汇总、外币分币种汇总。此表与内部科目对照表关系一致。</w:t>
            </w:r>
          </w:p>
        </w:tc>
      </w:tr>
      <w:tr>
        <w:tblPrEx>
          <w:tblCellMar>
            <w:top w:w="0" w:type="dxa"/>
            <w:left w:w="108" w:type="dxa"/>
            <w:bottom w:w="0" w:type="dxa"/>
            <w:right w:w="108" w:type="dxa"/>
          </w:tblCellMar>
        </w:tblPrEx>
        <w:trPr>
          <w:trHeight w:val="79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4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55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保险集团（控股）公司保险许可证号码</w:t>
            </w:r>
          </w:p>
        </w:tc>
        <w:tc>
          <w:tcPr>
            <w:tcW w:w="14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JT_BXXKZHM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001042</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中国银保监会统一设计和印制，授权给保险机构经营保险业务的许可证上记录的机构编码。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保险集团（控股）公司统一社会信用代码</w:t>
            </w:r>
          </w:p>
        </w:tc>
        <w:tc>
          <w:tcPr>
            <w:tcW w:w="14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JT_TYSHXYDM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001003</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79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保险集团（控股）公司名称</w:t>
            </w:r>
          </w:p>
        </w:tc>
        <w:tc>
          <w:tcPr>
            <w:tcW w:w="14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流水号</w:t>
            </w:r>
          </w:p>
        </w:tc>
        <w:tc>
          <w:tcPr>
            <w:tcW w:w="14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LSH</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001001</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会计科目体系名称</w:t>
            </w:r>
          </w:p>
        </w:tc>
        <w:tc>
          <w:tcPr>
            <w:tcW w:w="14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KJKMTXMC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002015</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会计科目体系名称，应具有唯一标识。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会计科目体系代码</w:t>
            </w:r>
          </w:p>
        </w:tc>
        <w:tc>
          <w:tcPr>
            <w:tcW w:w="14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KJKMTXDM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002014</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会计科目体系代码，应具有唯一标识。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交易币种</w:t>
            </w:r>
          </w:p>
        </w:tc>
        <w:tc>
          <w:tcPr>
            <w:tcW w:w="14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BZ</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002001</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参照《业务代码表》中的“币种代码”，填报代码。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总账会计科目编号</w:t>
            </w:r>
          </w:p>
        </w:tc>
        <w:tc>
          <w:tcPr>
            <w:tcW w:w="14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KMBH</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002006</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机构实际使用的总账会计科目编码。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总账会计科目名称</w:t>
            </w:r>
          </w:p>
        </w:tc>
        <w:tc>
          <w:tcPr>
            <w:tcW w:w="14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KMMC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002007</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机构实际使用的总账会计科目编码对应的名称。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总账会计科目级次</w:t>
            </w:r>
          </w:p>
        </w:tc>
        <w:tc>
          <w:tcPr>
            <w:tcW w:w="14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KMJC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002005</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总账会计科目编号在科目结构中所对应的级次。未设置科目层级默认一级科目。“1-一级科目；2-二级科目；3-三级科目；4-四级科目；5-五级科目；6-六级科目”，以此类推，填报数字。</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会计科目类型</w:t>
            </w:r>
          </w:p>
        </w:tc>
        <w:tc>
          <w:tcPr>
            <w:tcW w:w="14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KMLX</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002004</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总账会计科目分类。参照《业务代码表》中的“会计科目类型代码”，填报代码。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期初借方余额</w:t>
            </w:r>
          </w:p>
        </w:tc>
        <w:tc>
          <w:tcPr>
            <w:tcW w:w="14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QCJFYE</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002022</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本年期初借方余额。若金额涉及到外币，由机构自行转换成人民币进行填报。单位：元。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期初贷方余额</w:t>
            </w:r>
          </w:p>
        </w:tc>
        <w:tc>
          <w:tcPr>
            <w:tcW w:w="14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QCDFYE</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002022</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本年期初贷方余额。若金额涉及到外币，由机构自行转换成人民币进行填报。单位：元。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本期借方发生额</w:t>
            </w:r>
          </w:p>
        </w:tc>
        <w:tc>
          <w:tcPr>
            <w:tcW w:w="14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BQJFFSE</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002023</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本年借方发生额。若金额涉及到外币，由机构自行转换成人民币进行填报。单位：元。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本期贷方发生额</w:t>
            </w:r>
          </w:p>
        </w:tc>
        <w:tc>
          <w:tcPr>
            <w:tcW w:w="14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BQDFFSE</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002023</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本年贷方发生额。若金额涉及到外币，由机构自行转换成人民币进行填报。单位：元。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期末借方余额</w:t>
            </w:r>
          </w:p>
        </w:tc>
        <w:tc>
          <w:tcPr>
            <w:tcW w:w="14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QMJFYE</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002022</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截止本期末借方余额。若金额涉及到外币，由机构自行转换成人民币进行填报。单位：元。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期末贷方余额</w:t>
            </w:r>
          </w:p>
        </w:tc>
        <w:tc>
          <w:tcPr>
            <w:tcW w:w="14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QMDFYE</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002022</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截止本期末贷方余额。若金额涉及到外币，由机构自行转换成人民币进行填报。单位：元。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409" w:type="dxa"/>
            <w:tcBorders>
              <w:top w:val="nil"/>
              <w:left w:val="single" w:color="auto" w:sz="8" w:space="0"/>
              <w:bottom w:val="single" w:color="auto" w:sz="8" w:space="0"/>
              <w:right w:val="single" w:color="auto" w:sz="8" w:space="0"/>
            </w:tcBorders>
            <w:shd w:val="clear" w:color="auto" w:fill="auto"/>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会计期间</w:t>
            </w:r>
          </w:p>
        </w:tc>
        <w:tc>
          <w:tcPr>
            <w:tcW w:w="1416" w:type="dxa"/>
            <w:tcBorders>
              <w:top w:val="nil"/>
              <w:left w:val="nil"/>
              <w:bottom w:val="single" w:color="auto" w:sz="8" w:space="0"/>
              <w:right w:val="single" w:color="auto" w:sz="8" w:space="0"/>
            </w:tcBorders>
            <w:shd w:val="clear" w:color="auto" w:fill="auto"/>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KJQJ</w:t>
            </w:r>
          </w:p>
        </w:tc>
        <w:tc>
          <w:tcPr>
            <w:tcW w:w="851" w:type="dxa"/>
            <w:tcBorders>
              <w:top w:val="nil"/>
              <w:left w:val="nil"/>
              <w:bottom w:val="single" w:color="auto" w:sz="8" w:space="0"/>
              <w:right w:val="single" w:color="auto" w:sz="8" w:space="0"/>
            </w:tcBorders>
            <w:shd w:val="clear" w:color="auto" w:fill="auto"/>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002002</w:t>
            </w:r>
          </w:p>
        </w:tc>
        <w:tc>
          <w:tcPr>
            <w:tcW w:w="3685" w:type="dxa"/>
            <w:tcBorders>
              <w:top w:val="nil"/>
              <w:left w:val="nil"/>
              <w:bottom w:val="single" w:color="auto" w:sz="8" w:space="0"/>
              <w:right w:val="single" w:color="auto" w:sz="8" w:space="0"/>
            </w:tcBorders>
            <w:shd w:val="clear" w:color="auto" w:fill="auto"/>
          </w:tcPr>
          <w:p>
            <w:pPr>
              <w:widowControl/>
              <w:spacing w:line="240" w:lineRule="auto"/>
              <w:ind w:firstLine="0" w:firstLineChars="0"/>
              <w:jc w:val="left"/>
              <w:rPr>
                <w:rFonts w:ascii="宋体" w:hAnsi="宋体" w:eastAsia="宋体" w:cs="宋体"/>
                <w:color w:val="000000"/>
                <w:kern w:val="0"/>
                <w:sz w:val="21"/>
                <w:szCs w:val="21"/>
              </w:rPr>
            </w:pPr>
            <w:r>
              <w:rPr>
                <w:rFonts w:ascii="宋体" w:hAnsi="宋体" w:eastAsia="宋体"/>
                <w:sz w:val="21"/>
                <w:szCs w:val="21"/>
              </w:rPr>
              <w:t>归属期间。格式：YYYYMM，年度审计报告出具后报送审计调整后数据。</w:t>
            </w:r>
          </w:p>
        </w:tc>
        <w:tc>
          <w:tcPr>
            <w:tcW w:w="709" w:type="dxa"/>
            <w:tcBorders>
              <w:top w:val="nil"/>
              <w:left w:val="nil"/>
              <w:bottom w:val="single" w:color="auto" w:sz="8" w:space="0"/>
              <w:right w:val="single" w:color="auto" w:sz="8" w:space="0"/>
            </w:tcBorders>
            <w:shd w:val="clear" w:color="auto" w:fill="auto"/>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是</w:t>
            </w:r>
          </w:p>
        </w:tc>
        <w:tc>
          <w:tcPr>
            <w:tcW w:w="754" w:type="dxa"/>
            <w:tcBorders>
              <w:top w:val="nil"/>
              <w:left w:val="nil"/>
              <w:bottom w:val="single" w:color="auto" w:sz="8" w:space="0"/>
              <w:right w:val="single" w:color="auto" w:sz="8" w:space="0"/>
            </w:tcBorders>
            <w:shd w:val="clear" w:color="auto" w:fill="auto"/>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是</w:t>
            </w:r>
          </w:p>
        </w:tc>
      </w:tr>
      <w:tr>
        <w:tblPrEx>
          <w:tblCellMar>
            <w:top w:w="0" w:type="dxa"/>
            <w:left w:w="108" w:type="dxa"/>
            <w:bottom w:w="0" w:type="dxa"/>
            <w:right w:w="108" w:type="dxa"/>
          </w:tblCellMar>
        </w:tblPrEx>
        <w:trPr>
          <w:trHeight w:val="820" w:hRule="atLeast"/>
        </w:trPr>
        <w:tc>
          <w:tcPr>
            <w:tcW w:w="1409" w:type="dxa"/>
            <w:tcBorders>
              <w:top w:val="nil"/>
              <w:left w:val="single" w:color="auto" w:sz="8" w:space="0"/>
              <w:bottom w:val="single" w:color="auto" w:sz="8" w:space="0"/>
              <w:right w:val="single" w:color="auto" w:sz="8" w:space="0"/>
            </w:tcBorders>
            <w:shd w:val="clear" w:color="auto" w:fill="auto"/>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报送周期</w:t>
            </w:r>
          </w:p>
        </w:tc>
        <w:tc>
          <w:tcPr>
            <w:tcW w:w="1416" w:type="dxa"/>
            <w:tcBorders>
              <w:top w:val="nil"/>
              <w:left w:val="nil"/>
              <w:bottom w:val="single" w:color="auto" w:sz="8" w:space="0"/>
              <w:right w:val="single" w:color="auto" w:sz="8" w:space="0"/>
            </w:tcBorders>
            <w:shd w:val="clear" w:color="auto" w:fill="auto"/>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BSZQ</w:t>
            </w:r>
          </w:p>
        </w:tc>
        <w:tc>
          <w:tcPr>
            <w:tcW w:w="851" w:type="dxa"/>
            <w:tcBorders>
              <w:top w:val="nil"/>
              <w:left w:val="nil"/>
              <w:bottom w:val="single" w:color="auto" w:sz="8" w:space="0"/>
              <w:right w:val="single" w:color="auto" w:sz="8" w:space="0"/>
            </w:tcBorders>
            <w:shd w:val="clear" w:color="auto" w:fill="auto"/>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002016</w:t>
            </w:r>
          </w:p>
        </w:tc>
        <w:tc>
          <w:tcPr>
            <w:tcW w:w="3685" w:type="dxa"/>
            <w:tcBorders>
              <w:top w:val="nil"/>
              <w:left w:val="nil"/>
              <w:bottom w:val="single" w:color="auto" w:sz="8" w:space="0"/>
              <w:right w:val="single" w:color="auto" w:sz="8" w:space="0"/>
            </w:tcBorders>
            <w:shd w:val="clear" w:color="auto" w:fill="auto"/>
          </w:tcPr>
          <w:p>
            <w:pPr>
              <w:widowControl/>
              <w:spacing w:line="240" w:lineRule="auto"/>
              <w:ind w:firstLine="0" w:firstLineChars="0"/>
              <w:jc w:val="left"/>
              <w:rPr>
                <w:rFonts w:ascii="宋体" w:hAnsi="宋体" w:eastAsia="宋体" w:cs="宋体"/>
                <w:color w:val="000000"/>
                <w:kern w:val="0"/>
                <w:sz w:val="21"/>
                <w:szCs w:val="21"/>
              </w:rPr>
            </w:pPr>
            <w:r>
              <w:rPr>
                <w:rFonts w:ascii="宋体" w:hAnsi="宋体" w:eastAsia="宋体"/>
                <w:sz w:val="21"/>
                <w:szCs w:val="21"/>
              </w:rPr>
              <w:t>参照《业务代码表》中的“报送周期类型代码”，填报代码。</w:t>
            </w:r>
          </w:p>
        </w:tc>
        <w:tc>
          <w:tcPr>
            <w:tcW w:w="709" w:type="dxa"/>
            <w:tcBorders>
              <w:top w:val="nil"/>
              <w:left w:val="nil"/>
              <w:bottom w:val="single" w:color="auto" w:sz="8" w:space="0"/>
              <w:right w:val="single" w:color="auto" w:sz="8" w:space="0"/>
            </w:tcBorders>
            <w:shd w:val="clear" w:color="auto" w:fill="auto"/>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是</w:t>
            </w:r>
          </w:p>
        </w:tc>
        <w:tc>
          <w:tcPr>
            <w:tcW w:w="754" w:type="dxa"/>
            <w:tcBorders>
              <w:top w:val="nil"/>
              <w:left w:val="nil"/>
              <w:bottom w:val="single" w:color="auto" w:sz="8" w:space="0"/>
              <w:right w:val="single" w:color="auto" w:sz="8" w:space="0"/>
            </w:tcBorders>
            <w:shd w:val="clear" w:color="auto" w:fill="auto"/>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是</w:t>
            </w:r>
          </w:p>
        </w:tc>
      </w:tr>
      <w:tr>
        <w:tblPrEx>
          <w:tblCellMar>
            <w:top w:w="0" w:type="dxa"/>
            <w:left w:w="108" w:type="dxa"/>
            <w:bottom w:w="0" w:type="dxa"/>
            <w:right w:w="108" w:type="dxa"/>
          </w:tblCellMar>
        </w:tblPrEx>
        <w:trPr>
          <w:trHeight w:val="820" w:hRule="atLeast"/>
        </w:trPr>
        <w:tc>
          <w:tcPr>
            <w:tcW w:w="140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采集日期</w:t>
            </w:r>
          </w:p>
        </w:tc>
        <w:tc>
          <w:tcPr>
            <w:tcW w:w="141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CJRQ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bl>
    <w:p>
      <w:pPr>
        <w:ind w:firstLine="0" w:firstLineChars="0"/>
      </w:pPr>
    </w:p>
    <w:p>
      <w:pPr>
        <w:keepNext/>
        <w:keepLines/>
        <w:numPr>
          <w:ilvl w:val="1"/>
          <w:numId w:val="7"/>
        </w:numPr>
        <w:ind w:firstLineChars="0"/>
        <w:outlineLvl w:val="3"/>
        <w:rPr>
          <w:rFonts w:ascii="仿宋" w:hAnsi="仿宋" w:eastAsia="仿宋"/>
          <w:b/>
        </w:rPr>
      </w:pPr>
      <w:r>
        <w:rPr>
          <w:rFonts w:hint="eastAsia" w:ascii="仿宋" w:hAnsi="仿宋" w:eastAsia="仿宋"/>
          <w:b/>
        </w:rPr>
        <w:t>会计凭证信息表</w:t>
      </w:r>
    </w:p>
    <w:tbl>
      <w:tblPr>
        <w:tblStyle w:val="25"/>
        <w:tblW w:w="8824" w:type="dxa"/>
        <w:tblInd w:w="0" w:type="dxa"/>
        <w:tblLayout w:type="fixed"/>
        <w:tblCellMar>
          <w:top w:w="0" w:type="dxa"/>
          <w:left w:w="108" w:type="dxa"/>
          <w:bottom w:w="0" w:type="dxa"/>
          <w:right w:w="108" w:type="dxa"/>
        </w:tblCellMar>
      </w:tblPr>
      <w:tblGrid>
        <w:gridCol w:w="1406"/>
        <w:gridCol w:w="1214"/>
        <w:gridCol w:w="911"/>
        <w:gridCol w:w="3830"/>
        <w:gridCol w:w="709"/>
        <w:gridCol w:w="754"/>
      </w:tblGrid>
      <w:tr>
        <w:tblPrEx>
          <w:tblCellMar>
            <w:top w:w="0" w:type="dxa"/>
            <w:left w:w="108" w:type="dxa"/>
            <w:bottom w:w="0" w:type="dxa"/>
            <w:right w:w="108" w:type="dxa"/>
          </w:tblCellMar>
        </w:tblPrEx>
        <w:trPr>
          <w:trHeight w:val="290" w:hRule="atLeast"/>
        </w:trPr>
        <w:tc>
          <w:tcPr>
            <w:tcW w:w="140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21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911"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293"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570" w:hRule="atLeast"/>
        </w:trPr>
        <w:tc>
          <w:tcPr>
            <w:tcW w:w="14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KJPZXXB</w:t>
            </w:r>
          </w:p>
        </w:tc>
        <w:tc>
          <w:tcPr>
            <w:tcW w:w="121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会计凭证信息表</w:t>
            </w:r>
          </w:p>
        </w:tc>
        <w:tc>
          <w:tcPr>
            <w:tcW w:w="9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B0203</w:t>
            </w:r>
          </w:p>
        </w:tc>
        <w:tc>
          <w:tcPr>
            <w:tcW w:w="5293"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本表报送保险集团（控股）公司当期所有会计凭证。填报全科目凭证信息。</w:t>
            </w:r>
          </w:p>
        </w:tc>
      </w:tr>
      <w:tr>
        <w:tblPrEx>
          <w:tblCellMar>
            <w:top w:w="0" w:type="dxa"/>
            <w:left w:w="108" w:type="dxa"/>
            <w:bottom w:w="0" w:type="dxa"/>
            <w:right w:w="108" w:type="dxa"/>
          </w:tblCellMar>
        </w:tblPrEx>
        <w:trPr>
          <w:trHeight w:val="790" w:hRule="atLeast"/>
        </w:trPr>
        <w:tc>
          <w:tcPr>
            <w:tcW w:w="14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21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9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8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rPr>
          <w:trHeight w:val="550" w:hRule="atLeast"/>
        </w:trPr>
        <w:tc>
          <w:tcPr>
            <w:tcW w:w="14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保险集团（控股）公司保险许可证号码</w:t>
            </w:r>
          </w:p>
        </w:tc>
        <w:tc>
          <w:tcPr>
            <w:tcW w:w="121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JT_BXXKZHM</w:t>
            </w:r>
          </w:p>
        </w:tc>
        <w:tc>
          <w:tcPr>
            <w:tcW w:w="9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001042</w:t>
            </w:r>
          </w:p>
        </w:tc>
        <w:tc>
          <w:tcPr>
            <w:tcW w:w="38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中国银保监会统一设计和印制，授权给保险机构经营保险业务的许可证上记录的机构编码。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4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保险集团（控股）公司统一社会信用代码</w:t>
            </w:r>
          </w:p>
        </w:tc>
        <w:tc>
          <w:tcPr>
            <w:tcW w:w="121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JT_TYSHXYDM</w:t>
            </w:r>
          </w:p>
        </w:tc>
        <w:tc>
          <w:tcPr>
            <w:tcW w:w="9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001003</w:t>
            </w:r>
          </w:p>
        </w:tc>
        <w:tc>
          <w:tcPr>
            <w:tcW w:w="38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790" w:hRule="atLeast"/>
        </w:trPr>
        <w:tc>
          <w:tcPr>
            <w:tcW w:w="14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保险集团（控股）公司名称</w:t>
            </w:r>
          </w:p>
        </w:tc>
        <w:tc>
          <w:tcPr>
            <w:tcW w:w="121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JT_MC</w:t>
            </w:r>
          </w:p>
        </w:tc>
        <w:tc>
          <w:tcPr>
            <w:tcW w:w="9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8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4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流水号</w:t>
            </w:r>
          </w:p>
        </w:tc>
        <w:tc>
          <w:tcPr>
            <w:tcW w:w="121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LSH</w:t>
            </w:r>
          </w:p>
        </w:tc>
        <w:tc>
          <w:tcPr>
            <w:tcW w:w="9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001001</w:t>
            </w:r>
          </w:p>
        </w:tc>
        <w:tc>
          <w:tcPr>
            <w:tcW w:w="38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rPr>
          <w:trHeight w:val="290" w:hRule="atLeast"/>
        </w:trPr>
        <w:tc>
          <w:tcPr>
            <w:tcW w:w="14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会计科目体系名称</w:t>
            </w:r>
          </w:p>
        </w:tc>
        <w:tc>
          <w:tcPr>
            <w:tcW w:w="121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KJKMTXMC</w:t>
            </w:r>
          </w:p>
        </w:tc>
        <w:tc>
          <w:tcPr>
            <w:tcW w:w="9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002015</w:t>
            </w:r>
          </w:p>
        </w:tc>
        <w:tc>
          <w:tcPr>
            <w:tcW w:w="38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会计科目体系名称，应具有唯一标识。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4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会计科目体系代码</w:t>
            </w:r>
          </w:p>
        </w:tc>
        <w:tc>
          <w:tcPr>
            <w:tcW w:w="121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KJKMTXDM</w:t>
            </w:r>
          </w:p>
        </w:tc>
        <w:tc>
          <w:tcPr>
            <w:tcW w:w="9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002014</w:t>
            </w:r>
          </w:p>
        </w:tc>
        <w:tc>
          <w:tcPr>
            <w:tcW w:w="38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会计科目体系代码，应具有唯一标识。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30" w:hRule="atLeast"/>
        </w:trPr>
        <w:tc>
          <w:tcPr>
            <w:tcW w:w="14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记账日期</w:t>
            </w:r>
          </w:p>
        </w:tc>
        <w:tc>
          <w:tcPr>
            <w:tcW w:w="121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JZRQ</w:t>
            </w:r>
          </w:p>
        </w:tc>
        <w:tc>
          <w:tcPr>
            <w:tcW w:w="9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8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会计记账日期。格式：YYYYMMDD。</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凭证编号</w:t>
            </w:r>
          </w:p>
        </w:tc>
        <w:tc>
          <w:tcPr>
            <w:tcW w:w="121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PZBH</w:t>
            </w:r>
          </w:p>
        </w:tc>
        <w:tc>
          <w:tcPr>
            <w:tcW w:w="9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002013</w:t>
            </w:r>
          </w:p>
        </w:tc>
        <w:tc>
          <w:tcPr>
            <w:tcW w:w="38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凭证编号。</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rPr>
          <w:trHeight w:val="530" w:hRule="atLeast"/>
        </w:trPr>
        <w:tc>
          <w:tcPr>
            <w:tcW w:w="14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总账会计科目编号</w:t>
            </w:r>
          </w:p>
        </w:tc>
        <w:tc>
          <w:tcPr>
            <w:tcW w:w="121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KMBH</w:t>
            </w:r>
          </w:p>
        </w:tc>
        <w:tc>
          <w:tcPr>
            <w:tcW w:w="9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002006</w:t>
            </w:r>
          </w:p>
        </w:tc>
        <w:tc>
          <w:tcPr>
            <w:tcW w:w="38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机构实际使用的总账会计科目编码。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4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总账会计科目名称</w:t>
            </w:r>
          </w:p>
        </w:tc>
        <w:tc>
          <w:tcPr>
            <w:tcW w:w="121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KMMC</w:t>
            </w:r>
          </w:p>
        </w:tc>
        <w:tc>
          <w:tcPr>
            <w:tcW w:w="9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002007</w:t>
            </w:r>
          </w:p>
        </w:tc>
        <w:tc>
          <w:tcPr>
            <w:tcW w:w="38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机构实际使用的总账会计科目编码对应的名称。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摘要</w:t>
            </w:r>
          </w:p>
        </w:tc>
        <w:tc>
          <w:tcPr>
            <w:tcW w:w="121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ZY</w:t>
            </w:r>
          </w:p>
        </w:tc>
        <w:tc>
          <w:tcPr>
            <w:tcW w:w="9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002011</w:t>
            </w:r>
          </w:p>
        </w:tc>
        <w:tc>
          <w:tcPr>
            <w:tcW w:w="38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凭证摘要。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交易币种</w:t>
            </w:r>
          </w:p>
        </w:tc>
        <w:tc>
          <w:tcPr>
            <w:tcW w:w="121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BZ</w:t>
            </w:r>
          </w:p>
        </w:tc>
        <w:tc>
          <w:tcPr>
            <w:tcW w:w="9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002001</w:t>
            </w:r>
          </w:p>
        </w:tc>
        <w:tc>
          <w:tcPr>
            <w:tcW w:w="38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参照《业务代码表》中的“币种代码”，填报代码。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rPr>
          <w:trHeight w:val="290" w:hRule="atLeast"/>
        </w:trPr>
        <w:tc>
          <w:tcPr>
            <w:tcW w:w="14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交易币借方</w:t>
            </w:r>
          </w:p>
        </w:tc>
        <w:tc>
          <w:tcPr>
            <w:tcW w:w="121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JYBJF</w:t>
            </w:r>
          </w:p>
        </w:tc>
        <w:tc>
          <w:tcPr>
            <w:tcW w:w="9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002023</w:t>
            </w:r>
          </w:p>
        </w:tc>
        <w:tc>
          <w:tcPr>
            <w:tcW w:w="38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交易币借方发生金额。</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交易币贷方</w:t>
            </w:r>
          </w:p>
        </w:tc>
        <w:tc>
          <w:tcPr>
            <w:tcW w:w="121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JYBDF</w:t>
            </w:r>
          </w:p>
        </w:tc>
        <w:tc>
          <w:tcPr>
            <w:tcW w:w="9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002023</w:t>
            </w:r>
          </w:p>
        </w:tc>
        <w:tc>
          <w:tcPr>
            <w:tcW w:w="38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交易币贷方发生金额。</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本位币借方</w:t>
            </w:r>
          </w:p>
        </w:tc>
        <w:tc>
          <w:tcPr>
            <w:tcW w:w="121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BWBJF</w:t>
            </w:r>
          </w:p>
        </w:tc>
        <w:tc>
          <w:tcPr>
            <w:tcW w:w="9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002023</w:t>
            </w:r>
          </w:p>
        </w:tc>
        <w:tc>
          <w:tcPr>
            <w:tcW w:w="38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交易币按照既定规则的汇率折成的本位币借方发生金额。单位：元。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本位币贷方</w:t>
            </w:r>
          </w:p>
        </w:tc>
        <w:tc>
          <w:tcPr>
            <w:tcW w:w="121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BWBDF</w:t>
            </w:r>
          </w:p>
        </w:tc>
        <w:tc>
          <w:tcPr>
            <w:tcW w:w="9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002023</w:t>
            </w:r>
          </w:p>
        </w:tc>
        <w:tc>
          <w:tcPr>
            <w:tcW w:w="38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交易币按照既定规则的汇率折成的本位币贷方发生金额。单位：元。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rPr>
          <w:trHeight w:val="820" w:hRule="atLeast"/>
        </w:trPr>
        <w:tc>
          <w:tcPr>
            <w:tcW w:w="14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会计期间</w:t>
            </w:r>
          </w:p>
        </w:tc>
        <w:tc>
          <w:tcPr>
            <w:tcW w:w="121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KJQJ</w:t>
            </w:r>
          </w:p>
        </w:tc>
        <w:tc>
          <w:tcPr>
            <w:tcW w:w="9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002002</w:t>
            </w:r>
          </w:p>
        </w:tc>
        <w:tc>
          <w:tcPr>
            <w:tcW w:w="38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归属期间。格式：YYYYMM，年度审计报告出具后报送审计调整数据。</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r>
      <w:tr>
        <w:tblPrEx>
          <w:tblCellMar>
            <w:top w:w="0" w:type="dxa"/>
            <w:left w:w="108" w:type="dxa"/>
            <w:bottom w:w="0" w:type="dxa"/>
            <w:right w:w="108" w:type="dxa"/>
          </w:tblCellMar>
        </w:tblPrEx>
        <w:trPr>
          <w:trHeight w:val="820" w:hRule="atLeast"/>
        </w:trPr>
        <w:tc>
          <w:tcPr>
            <w:tcW w:w="14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报送周期</w:t>
            </w:r>
          </w:p>
        </w:tc>
        <w:tc>
          <w:tcPr>
            <w:tcW w:w="121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BSZQ</w:t>
            </w:r>
          </w:p>
        </w:tc>
        <w:tc>
          <w:tcPr>
            <w:tcW w:w="9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002016</w:t>
            </w:r>
          </w:p>
        </w:tc>
        <w:tc>
          <w:tcPr>
            <w:tcW w:w="38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参照《业务代码表》中的“报送周期类型代码”，填报代码。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r>
      <w:tr>
        <w:tblPrEx>
          <w:tblCellMar>
            <w:top w:w="0" w:type="dxa"/>
            <w:left w:w="108" w:type="dxa"/>
            <w:bottom w:w="0" w:type="dxa"/>
            <w:right w:w="108" w:type="dxa"/>
          </w:tblCellMar>
        </w:tblPrEx>
        <w:trPr>
          <w:trHeight w:val="820" w:hRule="atLeast"/>
        </w:trPr>
        <w:tc>
          <w:tcPr>
            <w:tcW w:w="14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采集日期</w:t>
            </w:r>
          </w:p>
        </w:tc>
        <w:tc>
          <w:tcPr>
            <w:tcW w:w="121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CJRQ</w:t>
            </w:r>
          </w:p>
        </w:tc>
        <w:tc>
          <w:tcPr>
            <w:tcW w:w="91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8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bl>
    <w:p>
      <w:pPr>
        <w:ind w:firstLine="0" w:firstLineChars="0"/>
      </w:pPr>
    </w:p>
    <w:p>
      <w:pPr>
        <w:keepNext/>
        <w:keepLines/>
        <w:numPr>
          <w:ilvl w:val="1"/>
          <w:numId w:val="7"/>
        </w:numPr>
        <w:ind w:firstLineChars="0"/>
        <w:outlineLvl w:val="3"/>
        <w:rPr>
          <w:rFonts w:ascii="仿宋" w:hAnsi="仿宋" w:eastAsia="仿宋"/>
          <w:b/>
        </w:rPr>
      </w:pPr>
      <w:r>
        <w:rPr>
          <w:rFonts w:hint="eastAsia" w:ascii="仿宋" w:hAnsi="仿宋" w:eastAsia="仿宋"/>
          <w:b/>
        </w:rPr>
        <w:t>银行账户信息表</w:t>
      </w:r>
    </w:p>
    <w:tbl>
      <w:tblPr>
        <w:tblStyle w:val="25"/>
        <w:tblW w:w="8824" w:type="dxa"/>
        <w:tblInd w:w="0" w:type="dxa"/>
        <w:tblLayout w:type="fixed"/>
        <w:tblCellMar>
          <w:top w:w="0" w:type="dxa"/>
          <w:left w:w="108" w:type="dxa"/>
          <w:bottom w:w="0" w:type="dxa"/>
          <w:right w:w="108" w:type="dxa"/>
        </w:tblCellMar>
      </w:tblPr>
      <w:tblGrid>
        <w:gridCol w:w="1550"/>
        <w:gridCol w:w="1275"/>
        <w:gridCol w:w="851"/>
        <w:gridCol w:w="3685"/>
        <w:gridCol w:w="709"/>
        <w:gridCol w:w="754"/>
      </w:tblGrid>
      <w:tr>
        <w:tblPrEx>
          <w:tblCellMar>
            <w:top w:w="0" w:type="dxa"/>
            <w:left w:w="108" w:type="dxa"/>
            <w:bottom w:w="0" w:type="dxa"/>
            <w:right w:w="108" w:type="dxa"/>
          </w:tblCellMar>
        </w:tblPrEx>
        <w:trPr>
          <w:trHeight w:val="290" w:hRule="atLeast"/>
        </w:trPr>
        <w:tc>
          <w:tcPr>
            <w:tcW w:w="155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27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851"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14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57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YHZHXXB</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银行账户信息表</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B0204</w:t>
            </w:r>
          </w:p>
        </w:tc>
        <w:tc>
          <w:tcPr>
            <w:tcW w:w="514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本表报送保险集团（控股）公司所有银行账户信息。</w:t>
            </w:r>
          </w:p>
        </w:tc>
      </w:tr>
      <w:tr>
        <w:tblPrEx>
          <w:tblCellMar>
            <w:top w:w="0" w:type="dxa"/>
            <w:left w:w="108" w:type="dxa"/>
            <w:bottom w:w="0" w:type="dxa"/>
            <w:right w:w="108" w:type="dxa"/>
          </w:tblCellMar>
        </w:tblPrEx>
        <w:trPr>
          <w:trHeight w:val="7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保险集团（控股）公司保险许可证号码</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JT_BXXKZHM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001042</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中国银保监会统一设计和印制，授权给保险机构经营保险业务的许可证上记录的机构编码。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保险集团（控股）公司统一社会信用代码</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JT_TYSHXYDM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001003</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7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保险集团（控股）公司名称</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流水号</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LSH</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001001</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银行法定名称</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GL_YHFDMC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开户行名称。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银行证件类型</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GL_YHZJLX</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001019</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银行证件类型，参照《业务代码表》中的“证件类型代码”，填报代码。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银行证件号码</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GL_YHZJHM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001018</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境内银行填写统一社会信用代码。境外银行填写企业注册码、税务号等有效代码。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银行证件到期日</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GL_YHZJDQR</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银行证件到期日。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银行LEI编码</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YHLEIBM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001004</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境外银行填写。</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银行境内外标识</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YHJNWBS</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002017</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是否为境外银行。参照《业务代码表》中的“境内外标识代码”，填报代码。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银行账户号码</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YHZHHM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002018</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银行账号。</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银行账户名称</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YHZHMC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002019</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银行账户名称。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银行账户类型</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YHZHLX</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002008</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参照《业务代码表》中的“银行账户类型代码”，填报代码。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银行账户状态</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YHZHZT</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002009</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机构银行账户的目前状态。参照《业务代码表》中的“银行账户状态代码”，填报代码。如状态为“其他”应填写备注。</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货币代码</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HBDM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002001</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参照《业务代码表》中的“币种代码”，填报代码。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开户日期</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KHRQ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机构银行开户日期。格式：YYYYMMDD。</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销户日期</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XHRQ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机构银行销户日期。如未销户，填写默认值99991231。格式：YYYYMMDD。</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账户境内外标识</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ZHJNWBS</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002017</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是否为境外账户。参照《业务代码表》中的“境内外标识代码”，填报代码。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资金标识</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ZJBS</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002010</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参照《业务代码表》中的“资金标识代码”，填报代码。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投资账户名称</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TZZHMC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002021</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投资账户名称。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投资账户代码</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TZZHDM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002020</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投资账户代码。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备注</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BZ</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002011</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补充说明情况。</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会计期间</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KJQJ</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002002</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归属期间。格式：YYYYMM。</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r>
      <w:tr>
        <w:tblPrEx>
          <w:tblCellMar>
            <w:top w:w="0" w:type="dxa"/>
            <w:left w:w="108" w:type="dxa"/>
            <w:bottom w:w="0" w:type="dxa"/>
            <w:right w:w="108" w:type="dxa"/>
          </w:tblCellMar>
        </w:tblPrEx>
        <w:trPr>
          <w:trHeight w:val="82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报送周期</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BSZQ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002016</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参照《业务代码表》中的“报送周期类型代码”，填报代码。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r>
      <w:tr>
        <w:tblPrEx>
          <w:tblCellMar>
            <w:top w:w="0" w:type="dxa"/>
            <w:left w:w="108" w:type="dxa"/>
            <w:bottom w:w="0" w:type="dxa"/>
            <w:right w:w="108" w:type="dxa"/>
          </w:tblCellMar>
        </w:tblPrEx>
        <w:trPr>
          <w:trHeight w:val="82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采集日期</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CJRQ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bl>
    <w:p>
      <w:pPr>
        <w:ind w:firstLine="0" w:firstLineChars="0"/>
      </w:pPr>
    </w:p>
    <w:p>
      <w:pPr>
        <w:keepNext/>
        <w:keepLines/>
        <w:numPr>
          <w:ilvl w:val="1"/>
          <w:numId w:val="7"/>
        </w:numPr>
        <w:ind w:firstLineChars="0"/>
        <w:outlineLvl w:val="3"/>
        <w:rPr>
          <w:rFonts w:ascii="仿宋" w:hAnsi="仿宋" w:eastAsia="仿宋"/>
          <w:b/>
        </w:rPr>
      </w:pPr>
      <w:r>
        <w:rPr>
          <w:rFonts w:hint="eastAsia" w:ascii="仿宋" w:hAnsi="仿宋" w:eastAsia="仿宋"/>
          <w:b/>
        </w:rPr>
        <w:t>财务信息统计表</w:t>
      </w:r>
    </w:p>
    <w:tbl>
      <w:tblPr>
        <w:tblStyle w:val="25"/>
        <w:tblW w:w="8824" w:type="dxa"/>
        <w:tblInd w:w="0" w:type="dxa"/>
        <w:tblLayout w:type="fixed"/>
        <w:tblCellMar>
          <w:top w:w="0" w:type="dxa"/>
          <w:left w:w="108" w:type="dxa"/>
          <w:bottom w:w="0" w:type="dxa"/>
          <w:right w:w="108" w:type="dxa"/>
        </w:tblCellMar>
      </w:tblPr>
      <w:tblGrid>
        <w:gridCol w:w="1550"/>
        <w:gridCol w:w="1275"/>
        <w:gridCol w:w="851"/>
        <w:gridCol w:w="3685"/>
        <w:gridCol w:w="709"/>
        <w:gridCol w:w="754"/>
      </w:tblGrid>
      <w:tr>
        <w:tblPrEx>
          <w:tblCellMar>
            <w:top w:w="0" w:type="dxa"/>
            <w:left w:w="108" w:type="dxa"/>
            <w:bottom w:w="0" w:type="dxa"/>
            <w:right w:w="108" w:type="dxa"/>
          </w:tblCellMar>
        </w:tblPrEx>
        <w:trPr>
          <w:trHeight w:val="290" w:hRule="atLeast"/>
        </w:trPr>
        <w:tc>
          <w:tcPr>
            <w:tcW w:w="155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27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851"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14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57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CWXXTJB</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财务信息统计表</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B0205</w:t>
            </w:r>
          </w:p>
        </w:tc>
        <w:tc>
          <w:tcPr>
            <w:tcW w:w="514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本表报送保险集团（控股）公司当年财务信息统计指标。</w:t>
            </w:r>
          </w:p>
        </w:tc>
      </w:tr>
      <w:tr>
        <w:tblPrEx>
          <w:tblCellMar>
            <w:top w:w="0" w:type="dxa"/>
            <w:left w:w="108" w:type="dxa"/>
            <w:bottom w:w="0" w:type="dxa"/>
            <w:right w:w="108" w:type="dxa"/>
          </w:tblCellMar>
        </w:tblPrEx>
        <w:trPr>
          <w:trHeight w:val="7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保险集团（控股）公司保险许可证号码</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JT_BXXKZHM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001042</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中国银保监会统一设计和印制，授权给保险机构经营保险业务的许可证上记录的机构编码。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保险集团（控股）公司统一社会信用代码</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JT_TYSHXYDM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001003</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7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保险集团（控股）公司名称</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流水号</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LSH</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001001</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资产合计</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ZCHJ</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资产合计。单位：元。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负债合计</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FZHJ</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负债合计。单位：元。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所有者权益合计</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SYZQYHJ</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所有者权益合计。单位：元。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当期营业收入</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DQYYSR</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002023</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当月发生额。单位：元。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当期营业支出</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DQYYZC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002023</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当月发生额。单位：元。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当期营业利润</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DQYYLR</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002023</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当月发生额。单位：元。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当期利润总额</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DQLRZE</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002023</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当月发生额。单位：元。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当期净利润</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DQJLR</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002023</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当月发生额。单位：元。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年营业收入</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NYYSR</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002023</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当年累计发生额。单位：元。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年营业支出</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NYYZC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002023</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当年累计发生额。单位：元。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年营业利润</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NYYLR</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002023</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当年累计发生额。单位：元。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年利润总额</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NLRZE</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002023</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当年累计发生额。单位：元。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年净利润</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NJLR</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002023</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当年累计发生额。单位：元。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会计期间</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KJQJ</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002002</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归属期间。格式：</w:t>
            </w:r>
            <w:r>
              <w:rPr>
                <w:rFonts w:ascii="宋体" w:hAnsi="宋体" w:eastAsia="宋体" w:cs="宋体"/>
                <w:color w:val="000000"/>
                <w:kern w:val="0"/>
                <w:sz w:val="21"/>
                <w:szCs w:val="21"/>
              </w:rPr>
              <w:t>YYYYMM，年度审计报告出具后报送审计报告数据。</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报送周期</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BSZQ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002016</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参照《业务代码表》中的“报送周期类型代码”，填报代码。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82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采集日期</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CJRQ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bl>
    <w:p>
      <w:pPr>
        <w:ind w:firstLine="0" w:firstLineChars="0"/>
      </w:pPr>
    </w:p>
    <w:p>
      <w:pPr>
        <w:pStyle w:val="4"/>
        <w:numPr>
          <w:ilvl w:val="0"/>
          <w:numId w:val="13"/>
        </w:numPr>
        <w:tabs>
          <w:tab w:val="left" w:pos="709"/>
          <w:tab w:val="left" w:pos="993"/>
        </w:tabs>
        <w:rPr>
          <w:rFonts w:ascii="仿宋" w:hAnsi="仿宋" w:eastAsia="仿宋"/>
          <w:szCs w:val="30"/>
        </w:rPr>
      </w:pPr>
      <w:r>
        <w:rPr>
          <w:rFonts w:hint="eastAsia" w:ascii="仿宋" w:hAnsi="仿宋" w:eastAsia="仿宋"/>
        </w:rPr>
        <w:t>成员公司（不含保险集团（控股）公司）</w:t>
      </w:r>
    </w:p>
    <w:p>
      <w:pPr>
        <w:keepNext/>
        <w:keepLines/>
        <w:numPr>
          <w:ilvl w:val="1"/>
          <w:numId w:val="7"/>
        </w:numPr>
        <w:ind w:firstLineChars="0"/>
        <w:outlineLvl w:val="3"/>
        <w:rPr>
          <w:rFonts w:ascii="仿宋" w:hAnsi="仿宋" w:eastAsia="仿宋"/>
          <w:b/>
        </w:rPr>
      </w:pPr>
      <w:r>
        <w:rPr>
          <w:rFonts w:hint="eastAsia" w:ascii="仿宋" w:hAnsi="仿宋" w:eastAsia="仿宋"/>
          <w:b/>
        </w:rPr>
        <w:t>成员公司内部科目对照表</w:t>
      </w:r>
    </w:p>
    <w:tbl>
      <w:tblPr>
        <w:tblStyle w:val="25"/>
        <w:tblW w:w="8824" w:type="dxa"/>
        <w:tblInd w:w="0" w:type="dxa"/>
        <w:tblLayout w:type="fixed"/>
        <w:tblCellMar>
          <w:top w:w="0" w:type="dxa"/>
          <w:left w:w="108" w:type="dxa"/>
          <w:bottom w:w="0" w:type="dxa"/>
          <w:right w:w="108" w:type="dxa"/>
        </w:tblCellMar>
      </w:tblPr>
      <w:tblGrid>
        <w:gridCol w:w="1549"/>
        <w:gridCol w:w="1558"/>
        <w:gridCol w:w="851"/>
        <w:gridCol w:w="3403"/>
        <w:gridCol w:w="709"/>
        <w:gridCol w:w="754"/>
      </w:tblGrid>
      <w:tr>
        <w:tblPrEx>
          <w:tblCellMar>
            <w:top w:w="0" w:type="dxa"/>
            <w:left w:w="108" w:type="dxa"/>
            <w:bottom w:w="0" w:type="dxa"/>
            <w:right w:w="108" w:type="dxa"/>
          </w:tblCellMar>
        </w:tblPrEx>
        <w:trPr>
          <w:trHeight w:val="290" w:hRule="atLeast"/>
        </w:trPr>
        <w:tc>
          <w:tcPr>
            <w:tcW w:w="15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55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851"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4866"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57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CYGSNBKMDZB</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成员公司内部科目对照表</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B0301</w:t>
            </w:r>
          </w:p>
        </w:tc>
        <w:tc>
          <w:tcPr>
            <w:tcW w:w="4866"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集团合并财务信息统计表范围内成员公司（不含保险集团（控股）公司、境外公司），总账会计全科目每一级科目由下级科目或明细账生成的关系，需要报送全量一级到最末级的会计科目。上级科目编号必须在该表中存在且具有唯一性。</w:t>
            </w:r>
          </w:p>
        </w:tc>
      </w:tr>
      <w:tr>
        <w:tblPrEx>
          <w:tblCellMar>
            <w:top w:w="0" w:type="dxa"/>
            <w:left w:w="108" w:type="dxa"/>
            <w:bottom w:w="0" w:type="dxa"/>
            <w:right w:w="108" w:type="dxa"/>
          </w:tblCellMar>
        </w:tblPrEx>
        <w:trPr>
          <w:trHeight w:val="7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保险集团（控股）公司保险许可证号码</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JT_BXXKZHM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中国银保监会统一设计和印制，授权给保险机构经营保险业务的许可证上记录的机构编码。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保险集团（控股）公司统一社会信用代码</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JT_TYSHXYDM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7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保险集团（控股）公司名称</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流水号</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LSH</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001001</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成员公司保险许可证号码</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CY_BXXKZHM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中国银保监会统一设计和印制，授权给保险机构经营保险业务的许可证上记录的机构编码。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成员公司统一社会信用代码</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CY_TYSHXYDM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境内成员公司填写统一社会信用代码，境外成员公司则填写企业注册码、税务号等有效代码。如无上述代码，机构可自行定义。</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成员公司名称</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成员公司工商注册的名称。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会计科目体系名称</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KJKMTXMC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002015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会计科目体系名称，应具有唯一标识。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会计科目体系代码</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KJKMTXDM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002014</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会计科目体系代码，应具有唯一标识。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会计核算方法</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KJHSFF</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002003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适用会计准则。参照《业务代码表》中的“会计核算方法代码”，填报代码。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总账会计科目编号</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KMBH</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002006</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机构实际使用的会计科目编码。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总账会计科目名称</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KMMC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002007</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机构实际使用的会计科目名称。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会计科目级次</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KMJC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002005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总账会计科目编号在科目结构中所对应的级次。未设置科目层级默认一级科目。“1-一级科目；2-二级科目；3-三级科目；4-四级科目；5-五级科目；6-六级科目”，以此类推，填报数字。</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上级科目编号</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SJKMBH</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002006</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机构实际使用的总账会计科目编码。“会计科目级次”非一级时必填。</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上级科目名称</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SJKMMC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002007</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机构实际使用的总账会计科目编码对应的名称。“会计科目级次”非一级时必填。</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会计科目类型</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KMLX</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002004</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总账会计科目分类。参照《业务代码表》中的“会计科目类型代码”，填报代码。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会计期间</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KJQJ</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002002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归属期间。格式：YYYYMM。</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r>
      <w:tr>
        <w:tblPrEx>
          <w:tblCellMar>
            <w:top w:w="0" w:type="dxa"/>
            <w:left w:w="108" w:type="dxa"/>
            <w:bottom w:w="0" w:type="dxa"/>
            <w:right w:w="108" w:type="dxa"/>
          </w:tblCellMar>
        </w:tblPrEx>
        <w:trPr>
          <w:trHeight w:val="82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报送周期</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BSZQ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002016</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参照《业务代码表》中的“报送周期类型代码”，填报代码。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r>
      <w:tr>
        <w:tblPrEx>
          <w:tblCellMar>
            <w:top w:w="0" w:type="dxa"/>
            <w:left w:w="108" w:type="dxa"/>
            <w:bottom w:w="0" w:type="dxa"/>
            <w:right w:w="108" w:type="dxa"/>
          </w:tblCellMar>
        </w:tblPrEx>
        <w:trPr>
          <w:trHeight w:val="82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采集日期</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CJRQ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bl>
    <w:p>
      <w:pPr>
        <w:ind w:firstLine="0" w:firstLineChars="0"/>
      </w:pPr>
    </w:p>
    <w:p>
      <w:pPr>
        <w:keepNext/>
        <w:keepLines/>
        <w:numPr>
          <w:ilvl w:val="1"/>
          <w:numId w:val="7"/>
        </w:numPr>
        <w:ind w:firstLineChars="0"/>
        <w:outlineLvl w:val="3"/>
        <w:rPr>
          <w:rFonts w:ascii="仿宋" w:hAnsi="仿宋" w:eastAsia="仿宋"/>
          <w:b/>
        </w:rPr>
      </w:pPr>
      <w:r>
        <w:rPr>
          <w:rFonts w:hint="eastAsia" w:ascii="仿宋" w:hAnsi="仿宋" w:eastAsia="仿宋"/>
          <w:b/>
        </w:rPr>
        <w:t>成员公司总账会计全科目表</w:t>
      </w:r>
    </w:p>
    <w:tbl>
      <w:tblPr>
        <w:tblStyle w:val="25"/>
        <w:tblW w:w="8824" w:type="dxa"/>
        <w:tblInd w:w="0" w:type="dxa"/>
        <w:tblLayout w:type="fixed"/>
        <w:tblCellMar>
          <w:top w:w="0" w:type="dxa"/>
          <w:left w:w="108" w:type="dxa"/>
          <w:bottom w:w="0" w:type="dxa"/>
          <w:right w:w="108" w:type="dxa"/>
        </w:tblCellMar>
      </w:tblPr>
      <w:tblGrid>
        <w:gridCol w:w="1534"/>
        <w:gridCol w:w="1579"/>
        <w:gridCol w:w="849"/>
        <w:gridCol w:w="3401"/>
        <w:gridCol w:w="709"/>
        <w:gridCol w:w="752"/>
      </w:tblGrid>
      <w:tr>
        <w:tblPrEx>
          <w:tblCellMar>
            <w:top w:w="0" w:type="dxa"/>
            <w:left w:w="108" w:type="dxa"/>
            <w:bottom w:w="0" w:type="dxa"/>
            <w:right w:w="108" w:type="dxa"/>
          </w:tblCellMar>
        </w:tblPrEx>
        <w:trPr>
          <w:trHeight w:val="290" w:hRule="atLeast"/>
        </w:trPr>
        <w:tc>
          <w:tcPr>
            <w:tcW w:w="153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579"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849"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4862"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570" w:hRule="atLeast"/>
        </w:trPr>
        <w:tc>
          <w:tcPr>
            <w:tcW w:w="1534"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CYGSZZKJQKMB</w:t>
            </w:r>
          </w:p>
        </w:tc>
        <w:tc>
          <w:tcPr>
            <w:tcW w:w="157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成员公司总账会计全科目表</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B0302</w:t>
            </w:r>
          </w:p>
        </w:tc>
        <w:tc>
          <w:tcPr>
            <w:tcW w:w="4862"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本表报送集团合并财务信息统计表范围内成员公司（不含保险集团（控股）公司、境外公司）全科目报表数据，币种包括人民币汇总、外币分币种汇总。此表与内部科目对照表关系一致。</w:t>
            </w:r>
          </w:p>
        </w:tc>
      </w:tr>
      <w:tr>
        <w:tblPrEx>
          <w:tblCellMar>
            <w:top w:w="0" w:type="dxa"/>
            <w:left w:w="108" w:type="dxa"/>
            <w:bottom w:w="0" w:type="dxa"/>
            <w:right w:w="108" w:type="dxa"/>
          </w:tblCellMar>
        </w:tblPrEx>
        <w:trPr>
          <w:trHeight w:val="790" w:hRule="atLeast"/>
        </w:trPr>
        <w:tc>
          <w:tcPr>
            <w:tcW w:w="1534"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57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550" w:hRule="atLeast"/>
        </w:trPr>
        <w:tc>
          <w:tcPr>
            <w:tcW w:w="1534"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保险集团（控股）公司保险许可证号码</w:t>
            </w:r>
          </w:p>
        </w:tc>
        <w:tc>
          <w:tcPr>
            <w:tcW w:w="157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JT_BXXKZHM</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001042</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中国银保监会统一设计和印制，授权给保险机构经营保险业务的许可证上记录的机构编码。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534"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保险集团（控股）公司统一社会信用代码</w:t>
            </w:r>
          </w:p>
        </w:tc>
        <w:tc>
          <w:tcPr>
            <w:tcW w:w="157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JT_TYSHXYDM</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001003</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790" w:hRule="atLeast"/>
        </w:trPr>
        <w:tc>
          <w:tcPr>
            <w:tcW w:w="1534"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保险集团（控股）公司名称</w:t>
            </w:r>
          </w:p>
        </w:tc>
        <w:tc>
          <w:tcPr>
            <w:tcW w:w="157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JT_MC</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34"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流水号</w:t>
            </w:r>
          </w:p>
        </w:tc>
        <w:tc>
          <w:tcPr>
            <w:tcW w:w="157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LSH</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001001</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534"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成员公司保险许可证号码</w:t>
            </w:r>
          </w:p>
        </w:tc>
        <w:tc>
          <w:tcPr>
            <w:tcW w:w="157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CY_BXXKZHM</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001042</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中国银保监会统一设计和印制，授权给保险机构经营保险业务的许可证上记录的机构编码。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34"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成员公司统一社会信用代码</w:t>
            </w:r>
          </w:p>
        </w:tc>
        <w:tc>
          <w:tcPr>
            <w:tcW w:w="157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CY_TYSHXYDM</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001003</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境内成员公司填写统一社会信用代码，境外成员公司则填写企业注册码、税务号等有效代码。如无上述代码，机构可自行定义。</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534"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成员公司名称</w:t>
            </w:r>
          </w:p>
        </w:tc>
        <w:tc>
          <w:tcPr>
            <w:tcW w:w="157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CY_MC</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成员公司工商注册的名称。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534"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会计科目体系名称</w:t>
            </w:r>
          </w:p>
        </w:tc>
        <w:tc>
          <w:tcPr>
            <w:tcW w:w="157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KJKMTXMC</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002015</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会计科目体系名称，应具有唯一标识。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34"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会计科目体系代码</w:t>
            </w:r>
          </w:p>
        </w:tc>
        <w:tc>
          <w:tcPr>
            <w:tcW w:w="157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KJKMTXDM</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002014</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会计科目体系代码，应具有唯一标识。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534"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交易币种</w:t>
            </w:r>
          </w:p>
        </w:tc>
        <w:tc>
          <w:tcPr>
            <w:tcW w:w="157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BZ</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002001</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参照《业务代码表》中的“币种代码”，填报代码。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534"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总账会计科目编号</w:t>
            </w:r>
          </w:p>
        </w:tc>
        <w:tc>
          <w:tcPr>
            <w:tcW w:w="157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KMBH</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002006</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机构实际使用的总账会计科目编码。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534"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总账会计科目名称</w:t>
            </w:r>
          </w:p>
        </w:tc>
        <w:tc>
          <w:tcPr>
            <w:tcW w:w="157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KMMC</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002007</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机构实际使用的总账会计科目编码对应的名称。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34"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总账会计科目级次</w:t>
            </w:r>
          </w:p>
        </w:tc>
        <w:tc>
          <w:tcPr>
            <w:tcW w:w="157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KMJC</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002005</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总账会计科目编号在科目结构中所对应的级次。未设置科目层级默认一级科目。“1-一级科目；2-二级科目；3-三级科目；4-四级科目；5-五级科目；6-六级科目”，以此类推，填报数字。</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34"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会计科目类型</w:t>
            </w:r>
          </w:p>
        </w:tc>
        <w:tc>
          <w:tcPr>
            <w:tcW w:w="157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KMLX</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002004</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总账会计科目分类。参照《业务代码表》中的“会计科目类型代码”，填报代码。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34"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期初借方余额</w:t>
            </w:r>
          </w:p>
        </w:tc>
        <w:tc>
          <w:tcPr>
            <w:tcW w:w="157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QCJFYE</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002022</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本年期初借方余额。若金额涉及到外币，由机构自行转换成人民币进行填报。单位：元。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34"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期初贷方余额</w:t>
            </w:r>
          </w:p>
        </w:tc>
        <w:tc>
          <w:tcPr>
            <w:tcW w:w="157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QCDFYE</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002022</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本年期初贷方余额。若金额涉及到外币，由机构自行转换成人民币进行填报。单位：元。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34"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本期借方发生额</w:t>
            </w:r>
          </w:p>
        </w:tc>
        <w:tc>
          <w:tcPr>
            <w:tcW w:w="157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BQJFFSE</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002023</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本年借方发生额。若金额涉及到外币，由机构自行转换成人民币进行填报。单位：元。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34"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本期贷方发生额</w:t>
            </w:r>
          </w:p>
        </w:tc>
        <w:tc>
          <w:tcPr>
            <w:tcW w:w="157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BQDFFSE</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002023</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本年贷方发生额。若金额涉及到外币，由机构自行转换成人民币进行填报。单位：元。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34"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期末借方余额</w:t>
            </w:r>
          </w:p>
        </w:tc>
        <w:tc>
          <w:tcPr>
            <w:tcW w:w="157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QMJFYE</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002022</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截止本期末借方余额。若金额涉及到外币，由机构自行转换成人民币进行填报。单位：元。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34"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期末贷方余额</w:t>
            </w:r>
          </w:p>
        </w:tc>
        <w:tc>
          <w:tcPr>
            <w:tcW w:w="157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QMDFYE</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002022</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截止本期末贷方余额。若金额涉及到外币，由机构自行转换成人民币进行填报。单位：元。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34"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会计期间</w:t>
            </w:r>
          </w:p>
        </w:tc>
        <w:tc>
          <w:tcPr>
            <w:tcW w:w="157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KJQJ</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002002</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归属期间。格式：YYYYMM，年度审计报告出具后报送审计调整后数据。</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r>
      <w:tr>
        <w:tblPrEx>
          <w:tblCellMar>
            <w:top w:w="0" w:type="dxa"/>
            <w:left w:w="108" w:type="dxa"/>
            <w:bottom w:w="0" w:type="dxa"/>
            <w:right w:w="108" w:type="dxa"/>
          </w:tblCellMar>
        </w:tblPrEx>
        <w:trPr>
          <w:trHeight w:val="820" w:hRule="atLeast"/>
        </w:trPr>
        <w:tc>
          <w:tcPr>
            <w:tcW w:w="1534"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报送周期</w:t>
            </w:r>
          </w:p>
        </w:tc>
        <w:tc>
          <w:tcPr>
            <w:tcW w:w="157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BSZQ</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002016</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参照《业务代码表》中的“报送周期类型代码”，填报代码。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r>
      <w:tr>
        <w:tblPrEx>
          <w:tblCellMar>
            <w:top w:w="0" w:type="dxa"/>
            <w:left w:w="108" w:type="dxa"/>
            <w:bottom w:w="0" w:type="dxa"/>
            <w:right w:w="108" w:type="dxa"/>
          </w:tblCellMar>
        </w:tblPrEx>
        <w:trPr>
          <w:trHeight w:val="820" w:hRule="atLeast"/>
        </w:trPr>
        <w:tc>
          <w:tcPr>
            <w:tcW w:w="1534"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采集日期</w:t>
            </w:r>
          </w:p>
        </w:tc>
        <w:tc>
          <w:tcPr>
            <w:tcW w:w="157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CJRQ</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4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bl>
    <w:p>
      <w:pPr>
        <w:ind w:firstLine="0" w:firstLineChars="0"/>
      </w:pPr>
    </w:p>
    <w:p>
      <w:pPr>
        <w:keepNext/>
        <w:keepLines/>
        <w:numPr>
          <w:ilvl w:val="1"/>
          <w:numId w:val="7"/>
        </w:numPr>
        <w:ind w:firstLineChars="0"/>
        <w:outlineLvl w:val="3"/>
        <w:rPr>
          <w:rFonts w:ascii="仿宋" w:hAnsi="仿宋" w:eastAsia="仿宋"/>
          <w:b/>
        </w:rPr>
      </w:pPr>
      <w:r>
        <w:rPr>
          <w:rFonts w:hint="eastAsia" w:ascii="仿宋" w:hAnsi="仿宋" w:eastAsia="仿宋"/>
          <w:b/>
        </w:rPr>
        <w:t>成员公司银行账户信息表</w:t>
      </w:r>
    </w:p>
    <w:tbl>
      <w:tblPr>
        <w:tblStyle w:val="25"/>
        <w:tblW w:w="8824" w:type="dxa"/>
        <w:tblInd w:w="0" w:type="dxa"/>
        <w:tblLayout w:type="fixed"/>
        <w:tblCellMar>
          <w:top w:w="0" w:type="dxa"/>
          <w:left w:w="108" w:type="dxa"/>
          <w:bottom w:w="0" w:type="dxa"/>
          <w:right w:w="108" w:type="dxa"/>
        </w:tblCellMar>
      </w:tblPr>
      <w:tblGrid>
        <w:gridCol w:w="1549"/>
        <w:gridCol w:w="1558"/>
        <w:gridCol w:w="851"/>
        <w:gridCol w:w="3403"/>
        <w:gridCol w:w="709"/>
        <w:gridCol w:w="754"/>
      </w:tblGrid>
      <w:tr>
        <w:tblPrEx>
          <w:tblCellMar>
            <w:top w:w="0" w:type="dxa"/>
            <w:left w:w="108" w:type="dxa"/>
            <w:bottom w:w="0" w:type="dxa"/>
            <w:right w:w="108" w:type="dxa"/>
          </w:tblCellMar>
        </w:tblPrEx>
        <w:trPr>
          <w:trHeight w:val="290" w:hRule="atLeast"/>
        </w:trPr>
        <w:tc>
          <w:tcPr>
            <w:tcW w:w="15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55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851"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4866"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57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CYGSYHZHXXB</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成员公司银行账户信息表</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B0303</w:t>
            </w:r>
          </w:p>
        </w:tc>
        <w:tc>
          <w:tcPr>
            <w:tcW w:w="4866"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本表报送集团合并财务信息统计表范围内成员公司（不含保险集团（控股）公司、境外公司）所有银行账户信息。</w:t>
            </w:r>
          </w:p>
        </w:tc>
      </w:tr>
      <w:tr>
        <w:tblPrEx>
          <w:tblCellMar>
            <w:top w:w="0" w:type="dxa"/>
            <w:left w:w="108" w:type="dxa"/>
            <w:bottom w:w="0" w:type="dxa"/>
            <w:right w:w="108" w:type="dxa"/>
          </w:tblCellMar>
        </w:tblPrEx>
        <w:trPr>
          <w:trHeight w:val="7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保险集团（控股）公司保险许可证号码</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JT_BXXKZHM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中国银保监会统一设计和印制，授权给保险机构经营保险业务的许可证上记录的机构编码。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保险集团（控股）公司统一社会信用代码</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JT_TYSHXYDM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7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保险集团（控股）公司名称</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流水号</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LSH</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001001</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成员公司保险许可证号码</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CY_BXXKZHM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中国银保监会统一设计和印制，授权给保险机构经营保险业务的许可证上记录的机构编码。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成员公司统一社会信用代码</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CY_TYSHXYDM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境内成员公司填写统一社会信用代码，境外成员公司则填写企业注册码、税务号等有效代码。如无上述代码，机构可自行定义。</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成员公司名称</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成员公司工商注册的名称。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银行法定名称</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GL_YHFDMC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开户行名称。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银行证件类型</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GL_YHZJLX</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001019</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银行证件类型，参照《业务代码表》中的“证件类型代码”，填报代码。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银行证件号码</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GL_YHZJHM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001018</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境内银行填写统一社会信用代码。境外银行填写企业注册码、税务号等有效代码。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银行证件到期日</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GL_YHZJDQR</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银行证件到期日。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银行LEI编码</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YHLEIBM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001004</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境外银行填写。</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银行境内外标识</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YHJNWBS</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002017</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是否为境外银行。参照《业务代码表》中的“境内外标识代码”，填报代码。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银行账户号码</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YHZHHM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002018</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银行账号。</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银行账户名称</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YHZHMC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002019</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银行账户名称。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银行账户类型</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YHZHLX</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002008</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参照《业务代码表》中的“银行账户类型代码”，填报代码。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银行账户状态</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YHZHZT</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002009</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机构银行账户的目前状态。参照《业务代码表》中的“银行账户状态代码”，填报代码。如状态为“其他”应填写备注。</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货币代码</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HBDM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002001</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参照《业务代码表》中的“币种代码”，填报代码。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开户日期</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KHRQ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机构银行开户日期。格式：YYYYMMDD。</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销户日期</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XHRQ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机构银行销户日期。如未销户，填写默认值99991231。格式：YYYYMMDD。</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账户境内外标识</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ZHJNWBS</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002017</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是否为境外账户。参照《业务代码表》中的“境内外标识代码”，填报代码。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会计期间</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KJQJ</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002002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归属期间。格式：YYYYMM。</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r>
      <w:tr>
        <w:tblPrEx>
          <w:tblCellMar>
            <w:top w:w="0" w:type="dxa"/>
            <w:left w:w="108" w:type="dxa"/>
            <w:bottom w:w="0" w:type="dxa"/>
            <w:right w:w="108" w:type="dxa"/>
          </w:tblCellMar>
        </w:tblPrEx>
        <w:trPr>
          <w:trHeight w:val="82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报送周期</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BSZQ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002016</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参照《业务代码表》中的“报送周期类型代码”，填报代码。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r>
      <w:tr>
        <w:tblPrEx>
          <w:tblCellMar>
            <w:top w:w="0" w:type="dxa"/>
            <w:left w:w="108" w:type="dxa"/>
            <w:bottom w:w="0" w:type="dxa"/>
            <w:right w:w="108" w:type="dxa"/>
          </w:tblCellMar>
        </w:tblPrEx>
        <w:trPr>
          <w:trHeight w:val="82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采集日期</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CJRQ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bl>
    <w:p>
      <w:pPr>
        <w:ind w:firstLine="0" w:firstLineChars="0"/>
      </w:pPr>
    </w:p>
    <w:p>
      <w:pPr>
        <w:keepNext/>
        <w:keepLines/>
        <w:numPr>
          <w:ilvl w:val="1"/>
          <w:numId w:val="7"/>
        </w:numPr>
        <w:ind w:firstLineChars="0"/>
        <w:outlineLvl w:val="3"/>
        <w:rPr>
          <w:rFonts w:ascii="仿宋" w:hAnsi="仿宋" w:eastAsia="仿宋"/>
          <w:b/>
        </w:rPr>
      </w:pPr>
      <w:r>
        <w:rPr>
          <w:rFonts w:hint="eastAsia" w:ascii="仿宋" w:hAnsi="仿宋" w:eastAsia="仿宋"/>
          <w:b/>
        </w:rPr>
        <w:t>成员公司财务信息统计表</w:t>
      </w:r>
    </w:p>
    <w:tbl>
      <w:tblPr>
        <w:tblStyle w:val="25"/>
        <w:tblW w:w="8824" w:type="dxa"/>
        <w:tblInd w:w="0" w:type="dxa"/>
        <w:tblLayout w:type="fixed"/>
        <w:tblCellMar>
          <w:top w:w="0" w:type="dxa"/>
          <w:left w:w="108" w:type="dxa"/>
          <w:bottom w:w="0" w:type="dxa"/>
          <w:right w:w="108" w:type="dxa"/>
        </w:tblCellMar>
      </w:tblPr>
      <w:tblGrid>
        <w:gridCol w:w="1549"/>
        <w:gridCol w:w="1558"/>
        <w:gridCol w:w="851"/>
        <w:gridCol w:w="3403"/>
        <w:gridCol w:w="709"/>
        <w:gridCol w:w="754"/>
      </w:tblGrid>
      <w:tr>
        <w:tblPrEx>
          <w:tblCellMar>
            <w:top w:w="0" w:type="dxa"/>
            <w:left w:w="108" w:type="dxa"/>
            <w:bottom w:w="0" w:type="dxa"/>
            <w:right w:w="108" w:type="dxa"/>
          </w:tblCellMar>
        </w:tblPrEx>
        <w:trPr>
          <w:trHeight w:val="290" w:hRule="atLeast"/>
        </w:trPr>
        <w:tc>
          <w:tcPr>
            <w:tcW w:w="15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55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851"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4866"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57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CYGSCWXXTJB</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成员公司财务信息统计表</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B0304</w:t>
            </w:r>
          </w:p>
        </w:tc>
        <w:tc>
          <w:tcPr>
            <w:tcW w:w="4866"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本表报送集团合并财务信息统计表范围内成员公司（不含保险集团（控股）公司、境外公司）财务信息统计指标。</w:t>
            </w:r>
          </w:p>
        </w:tc>
      </w:tr>
      <w:tr>
        <w:tblPrEx>
          <w:tblCellMar>
            <w:top w:w="0" w:type="dxa"/>
            <w:left w:w="108" w:type="dxa"/>
            <w:bottom w:w="0" w:type="dxa"/>
            <w:right w:w="108" w:type="dxa"/>
          </w:tblCellMar>
        </w:tblPrEx>
        <w:trPr>
          <w:trHeight w:val="7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保险集团（控股）公司保险许可证号码</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JT_BXXKZHM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中国银保监会统一设计和印制，授权给保险机构经营保险业务的许可证上记录的机构编码。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保险集团（控股）公司统一社会信用代码</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JT_TYSHXYDM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7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保险集团（控股）公司名称</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流水号</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LSH</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001001</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成员公司保险许可证号码</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CY_BXXKZHM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中国银保监会统一设计和印制，授权给保险机构经营保险业务的许可证上记录的机构编码。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成员公司统一社会信用代码</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CY_TYSHXYDM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境内成员公司填写统一社会信用代码，境外成员公司则填写企业注册码、税务号等有效代码。如无上述代码，机构可自行定义。</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成员公司名称</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CY_MC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成员公司工商注册的名称。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资产合计</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ZCHJ</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资产合计。单位：元。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负债合计</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FZHJ</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负债合计。单位：元。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所有者权益合计</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SYZQYHJ</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所有者权益合计。单位：元。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当期营业收入</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DQYYSR</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当月发生额。单位：元。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当期营业支出</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DQYYZC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当月发生额。单位：元。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当期营业利润</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DQYYLR</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当月发生额。单位：元。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当期利润总额</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DQLRZE</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当月发生额。单位：元。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当期净利润</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DQJLR</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当月发生额。单位：元。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年营业收入</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NYYSR</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当年累计发生额。单位：元。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年营业支出</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NYYZC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当年累计发生额。单位：元。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年营业利润</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NYYLR</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当年累计发生额。单位：元。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年利润总额</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NLRZE</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当年累计发生额。单位：元。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年净利润</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NJLR</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当年累计发生额。单位：元。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会计期间</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KJQJ</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002002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归属期间。格式：</w:t>
            </w:r>
            <w:r>
              <w:rPr>
                <w:rFonts w:ascii="宋体" w:hAnsi="宋体" w:eastAsia="宋体" w:cs="宋体"/>
                <w:color w:val="000000"/>
                <w:kern w:val="0"/>
                <w:sz w:val="21"/>
                <w:szCs w:val="21"/>
              </w:rPr>
              <w:t>YYYYMM，年度审计报告出具后报送审计报告数据。</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报送周期</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BSZQ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002016</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参照《业务代码表》中的“报送周期类型代码”，填报代码。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82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采集日期</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CJRQ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bl>
    <w:p>
      <w:pPr>
        <w:ind w:firstLine="0" w:firstLineChars="0"/>
      </w:pPr>
    </w:p>
    <w:p>
      <w:pPr>
        <w:pStyle w:val="3"/>
        <w:numPr>
          <w:ilvl w:val="0"/>
          <w:numId w:val="6"/>
        </w:numPr>
        <w:ind w:left="0"/>
        <w:rPr>
          <w:szCs w:val="30"/>
        </w:rPr>
      </w:pPr>
      <w:bookmarkStart w:id="162" w:name="_Toc14206"/>
      <w:bookmarkStart w:id="163" w:name="_Toc73958576"/>
      <w:bookmarkStart w:id="164" w:name="_Toc26556"/>
      <w:bookmarkStart w:id="165" w:name="_Toc12115"/>
      <w:bookmarkStart w:id="166" w:name="_Toc26623"/>
      <w:bookmarkStart w:id="167" w:name="_Toc9972"/>
      <w:bookmarkStart w:id="168" w:name="_Toc14559"/>
      <w:bookmarkStart w:id="169" w:name="_Toc7561"/>
      <w:bookmarkStart w:id="170" w:name="_Toc3773"/>
      <w:bookmarkStart w:id="171" w:name="_Toc9078"/>
      <w:bookmarkStart w:id="172" w:name="_Toc98147817"/>
      <w:bookmarkStart w:id="173" w:name="_Toc32748"/>
      <w:bookmarkStart w:id="174" w:name="_Toc16245"/>
      <w:bookmarkStart w:id="175" w:name="_Toc28801"/>
      <w:bookmarkStart w:id="176" w:name="_Toc13436"/>
      <w:bookmarkStart w:id="177" w:name="_Toc5317"/>
      <w:bookmarkStart w:id="178" w:name="_Toc17978"/>
      <w:bookmarkStart w:id="179" w:name="_Toc22853"/>
      <w:bookmarkStart w:id="180" w:name="_Toc26278"/>
      <w:bookmarkStart w:id="181" w:name="_Toc5318"/>
      <w:bookmarkStart w:id="182" w:name="_Toc2337"/>
      <w:bookmarkStart w:id="183" w:name="_Toc18037"/>
      <w:bookmarkStart w:id="184" w:name="_Toc29676"/>
      <w:bookmarkStart w:id="185" w:name="_Toc27190"/>
      <w:bookmarkStart w:id="186" w:name="_Toc8421"/>
      <w:bookmarkStart w:id="187" w:name="_Toc25918"/>
      <w:bookmarkStart w:id="188" w:name="_Toc4111"/>
      <w:bookmarkStart w:id="189" w:name="_Toc12450"/>
      <w:bookmarkStart w:id="190" w:name="_Toc12482"/>
      <w:bookmarkStart w:id="191" w:name="_Toc21322"/>
      <w:bookmarkStart w:id="192" w:name="_Toc22578"/>
      <w:bookmarkStart w:id="193" w:name="_Toc7834"/>
      <w:bookmarkStart w:id="194" w:name="_Toc10709"/>
      <w:bookmarkStart w:id="195" w:name="_Toc57477337"/>
      <w:bookmarkStart w:id="196" w:name="_Toc16608"/>
      <w:bookmarkStart w:id="197" w:name="_Toc22890"/>
      <w:bookmarkStart w:id="198" w:name="_Toc20805"/>
      <w:bookmarkStart w:id="199" w:name="_Toc3768"/>
      <w:bookmarkStart w:id="200" w:name="_Toc1894"/>
      <w:bookmarkStart w:id="201" w:name="_Toc20079"/>
      <w:bookmarkStart w:id="202" w:name="_Toc11209"/>
      <w:r>
        <w:rPr>
          <w:rFonts w:hint="eastAsia"/>
          <w:szCs w:val="30"/>
        </w:rPr>
        <w:t>保险集团（控股）公司业务</w:t>
      </w:r>
      <w:bookmarkEnd w:id="162"/>
      <w:bookmarkEnd w:id="163"/>
      <w:bookmarkEnd w:id="164"/>
      <w:bookmarkEnd w:id="165"/>
      <w:bookmarkEnd w:id="166"/>
      <w:bookmarkEnd w:id="167"/>
      <w:bookmarkEnd w:id="168"/>
      <w:bookmarkEnd w:id="169"/>
      <w:bookmarkEnd w:id="170"/>
      <w:bookmarkEnd w:id="171"/>
      <w:bookmarkEnd w:id="172"/>
      <w:bookmarkEnd w:id="173"/>
    </w:p>
    <w:p>
      <w:pPr>
        <w:pStyle w:val="4"/>
        <w:numPr>
          <w:ilvl w:val="0"/>
          <w:numId w:val="14"/>
        </w:numPr>
        <w:tabs>
          <w:tab w:val="left" w:pos="709"/>
          <w:tab w:val="left" w:pos="993"/>
        </w:tabs>
        <w:rPr>
          <w:rFonts w:ascii="仿宋" w:hAnsi="仿宋" w:eastAsia="仿宋"/>
        </w:rPr>
      </w:pPr>
      <w:bookmarkStart w:id="203" w:name="_Toc30674"/>
      <w:bookmarkStart w:id="204" w:name="_Toc12655"/>
      <w:bookmarkStart w:id="205" w:name="_Toc23355"/>
      <w:bookmarkStart w:id="206" w:name="_Toc22371"/>
      <w:bookmarkStart w:id="207" w:name="_Toc73958577"/>
      <w:bookmarkStart w:id="208" w:name="_Toc24933"/>
      <w:bookmarkStart w:id="209" w:name="_Toc291"/>
      <w:r>
        <w:rPr>
          <w:rFonts w:hint="eastAsia" w:ascii="仿宋" w:hAnsi="仿宋" w:eastAsia="仿宋"/>
        </w:rPr>
        <w:t>自主投资</w:t>
      </w:r>
      <w:bookmarkEnd w:id="203"/>
      <w:bookmarkEnd w:id="204"/>
      <w:bookmarkEnd w:id="205"/>
      <w:bookmarkEnd w:id="206"/>
      <w:bookmarkEnd w:id="207"/>
      <w:bookmarkEnd w:id="208"/>
      <w:bookmarkEnd w:id="209"/>
    </w:p>
    <w:p>
      <w:pPr>
        <w:keepNext/>
        <w:keepLines/>
        <w:numPr>
          <w:ilvl w:val="1"/>
          <w:numId w:val="7"/>
        </w:numPr>
        <w:ind w:firstLineChars="0"/>
        <w:outlineLvl w:val="3"/>
        <w:rPr>
          <w:rFonts w:ascii="仿宋" w:hAnsi="仿宋" w:eastAsia="仿宋"/>
          <w:b/>
        </w:rPr>
      </w:pPr>
      <w:r>
        <w:rPr>
          <w:rFonts w:hint="eastAsia" w:ascii="仿宋" w:hAnsi="仿宋" w:eastAsia="仿宋"/>
          <w:b/>
        </w:rPr>
        <w:t>自主投资账户信息表</w:t>
      </w:r>
    </w:p>
    <w:tbl>
      <w:tblPr>
        <w:tblStyle w:val="25"/>
        <w:tblW w:w="8824" w:type="dxa"/>
        <w:tblInd w:w="0" w:type="dxa"/>
        <w:tblLayout w:type="fixed"/>
        <w:tblCellMar>
          <w:top w:w="0" w:type="dxa"/>
          <w:left w:w="108" w:type="dxa"/>
          <w:bottom w:w="0" w:type="dxa"/>
          <w:right w:w="108" w:type="dxa"/>
        </w:tblCellMar>
      </w:tblPr>
      <w:tblGrid>
        <w:gridCol w:w="1406"/>
        <w:gridCol w:w="1274"/>
        <w:gridCol w:w="851"/>
        <w:gridCol w:w="3830"/>
        <w:gridCol w:w="709"/>
        <w:gridCol w:w="754"/>
      </w:tblGrid>
      <w:tr>
        <w:tblPrEx>
          <w:tblCellMar>
            <w:top w:w="0" w:type="dxa"/>
            <w:left w:w="108" w:type="dxa"/>
            <w:bottom w:w="0" w:type="dxa"/>
            <w:right w:w="108" w:type="dxa"/>
          </w:tblCellMar>
        </w:tblPrEx>
        <w:trPr>
          <w:trHeight w:val="290" w:hRule="atLeast"/>
        </w:trPr>
        <w:tc>
          <w:tcPr>
            <w:tcW w:w="140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27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851"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293"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570" w:hRule="atLeast"/>
        </w:trPr>
        <w:tc>
          <w:tcPr>
            <w:tcW w:w="14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ZZTZZHXXB</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自主投资账户信息表</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C0101</w:t>
            </w:r>
          </w:p>
        </w:tc>
        <w:tc>
          <w:tcPr>
            <w:tcW w:w="5293"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本表报送保险集团（控股）公司自主投资账户信息，包括账户性质、账户基本信息、账户运作信息、账户收入信息、账户费用等信息。</w:t>
            </w:r>
          </w:p>
        </w:tc>
      </w:tr>
      <w:tr>
        <w:tblPrEx>
          <w:tblCellMar>
            <w:top w:w="0" w:type="dxa"/>
            <w:left w:w="108" w:type="dxa"/>
            <w:bottom w:w="0" w:type="dxa"/>
            <w:right w:w="108" w:type="dxa"/>
          </w:tblCellMar>
        </w:tblPrEx>
        <w:trPr>
          <w:trHeight w:val="790" w:hRule="atLeast"/>
        </w:trPr>
        <w:tc>
          <w:tcPr>
            <w:tcW w:w="14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8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550" w:hRule="atLeast"/>
        </w:trPr>
        <w:tc>
          <w:tcPr>
            <w:tcW w:w="14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保险集团（控股）公司保险许可证号码</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JT_BXXKZHM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001042</w:t>
            </w:r>
          </w:p>
        </w:tc>
        <w:tc>
          <w:tcPr>
            <w:tcW w:w="38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中国银保监会统一设计和印制，授权给保险机构经营保险业务的许可证上记录的机构编码。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4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保险集团（控股）公司统一社会信用代码</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JT_TYSHXYDM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001003</w:t>
            </w:r>
          </w:p>
        </w:tc>
        <w:tc>
          <w:tcPr>
            <w:tcW w:w="38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790" w:hRule="atLeast"/>
        </w:trPr>
        <w:tc>
          <w:tcPr>
            <w:tcW w:w="14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保险集团（控股）公司名称</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8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4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流水号</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LSH</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001001</w:t>
            </w:r>
          </w:p>
        </w:tc>
        <w:tc>
          <w:tcPr>
            <w:tcW w:w="38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4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账户起始运作日</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ZHQSYZR</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8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账户初始运作日期。格式：YYYYMMDD。</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4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账户名称</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ZHMC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002021</w:t>
            </w:r>
          </w:p>
        </w:tc>
        <w:tc>
          <w:tcPr>
            <w:tcW w:w="38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机构投资账户名称，应具有唯一标识。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账户代码</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ZHDM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002020</w:t>
            </w:r>
          </w:p>
        </w:tc>
        <w:tc>
          <w:tcPr>
            <w:tcW w:w="38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机构投资账户代码，应具有唯一标识。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4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账户币种</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BZ</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002001</w:t>
            </w:r>
          </w:p>
        </w:tc>
        <w:tc>
          <w:tcPr>
            <w:tcW w:w="38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参照《业务代码表》中的“币种代码”，填报代码。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4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采集日期</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CJRQ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8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bl>
    <w:p>
      <w:pPr>
        <w:ind w:firstLine="0" w:firstLineChars="0"/>
      </w:pPr>
    </w:p>
    <w:p>
      <w:pPr>
        <w:keepNext/>
        <w:keepLines/>
        <w:numPr>
          <w:ilvl w:val="1"/>
          <w:numId w:val="7"/>
        </w:numPr>
        <w:ind w:firstLineChars="0"/>
        <w:outlineLvl w:val="3"/>
        <w:rPr>
          <w:rFonts w:ascii="仿宋" w:hAnsi="仿宋" w:eastAsia="仿宋"/>
          <w:b/>
        </w:rPr>
      </w:pPr>
      <w:r>
        <w:rPr>
          <w:rFonts w:hint="eastAsia" w:ascii="仿宋" w:hAnsi="仿宋" w:eastAsia="仿宋"/>
          <w:b/>
        </w:rPr>
        <w:t>自主投资交易流水表</w:t>
      </w:r>
    </w:p>
    <w:tbl>
      <w:tblPr>
        <w:tblStyle w:val="25"/>
        <w:tblW w:w="8824" w:type="dxa"/>
        <w:tblInd w:w="0" w:type="dxa"/>
        <w:tblLayout w:type="fixed"/>
        <w:tblCellMar>
          <w:top w:w="0" w:type="dxa"/>
          <w:left w:w="108" w:type="dxa"/>
          <w:bottom w:w="0" w:type="dxa"/>
          <w:right w:w="108" w:type="dxa"/>
        </w:tblCellMar>
      </w:tblPr>
      <w:tblGrid>
        <w:gridCol w:w="1550"/>
        <w:gridCol w:w="1417"/>
        <w:gridCol w:w="849"/>
        <w:gridCol w:w="3545"/>
        <w:gridCol w:w="709"/>
        <w:gridCol w:w="754"/>
      </w:tblGrid>
      <w:tr>
        <w:tblPrEx>
          <w:tblCellMar>
            <w:top w:w="0" w:type="dxa"/>
            <w:left w:w="108" w:type="dxa"/>
            <w:bottom w:w="0" w:type="dxa"/>
            <w:right w:w="108" w:type="dxa"/>
          </w:tblCellMar>
        </w:tblPrEx>
        <w:trPr>
          <w:trHeight w:val="290" w:hRule="atLeast"/>
        </w:trPr>
        <w:tc>
          <w:tcPr>
            <w:tcW w:w="155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41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849"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00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57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ZZTZJYLSB</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自主投资交易流水表</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C010</w:t>
            </w:r>
            <w:r>
              <w:rPr>
                <w:rFonts w:ascii="宋体" w:hAnsi="宋体" w:eastAsia="宋体" w:cs="宋体"/>
                <w:color w:val="000000"/>
                <w:kern w:val="0"/>
                <w:sz w:val="21"/>
                <w:szCs w:val="21"/>
              </w:rPr>
              <w:t>2</w:t>
            </w:r>
          </w:p>
        </w:tc>
        <w:tc>
          <w:tcPr>
            <w:tcW w:w="500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本表报送保险集团（控股）公司当期自主投资交易流水，包括投资资产类型、投资资产名称、交易对手、交易金额等信息。</w:t>
            </w:r>
          </w:p>
        </w:tc>
      </w:tr>
      <w:tr>
        <w:tblPrEx>
          <w:tblCellMar>
            <w:top w:w="0" w:type="dxa"/>
            <w:left w:w="108" w:type="dxa"/>
            <w:bottom w:w="0" w:type="dxa"/>
            <w:right w:w="108" w:type="dxa"/>
          </w:tblCellMar>
        </w:tblPrEx>
        <w:trPr>
          <w:trHeight w:val="7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保险集团（控股）公司保险许可证号码</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JT_BXXKZHM</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001042</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中国银保监会统一设计和印制，授权给保险机构经营保险业务的许可证上记录的机构编码。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保险集团（控股）公司统一社会信用代码</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JT_TYSHXYDM</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001003</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7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保险集团（控股）公司名称</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JT_MC</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流水号</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LSH</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001001</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账户名称</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ZHMC</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002021</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机构投资账户名称，应具有唯一标识。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账户代码</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ZHDM</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002020</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机构投资账户代码，应具有唯一标识。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交易编号</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JYBH</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001023</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公司自行定义的交易编号，在同一账户下应具有唯一标识。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3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资产类型</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ZCLX</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00300</w:t>
            </w:r>
            <w:r>
              <w:rPr>
                <w:rFonts w:ascii="宋体" w:hAnsi="宋体" w:eastAsia="宋体" w:cs="宋体"/>
                <w:color w:val="000000"/>
                <w:kern w:val="0"/>
                <w:sz w:val="21"/>
                <w:szCs w:val="21"/>
              </w:rPr>
              <w:t>3</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参照《业务代码表》中的“资产负债统计科目代码”，填报代码。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资产名称</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ZCMC</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003008</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有公开市场的资产填写公开市场资产名称，或填写合同上的资产名称。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资产代码</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ZCDM</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003002</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有公开市场代码的资产填写公开市场代码，无公开市场代码的资产需要机构自定义代码。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交易对手法定名称</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GL_JYDSFDMC</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001015</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交易对手名称，包括中央对手方。</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交易对手证件类型</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GL_JYDSZJLX</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001019</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交易对手证件类型，参照《业务代码表》中的“证件类型代码”，填报代码。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交易对手证件号码</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GL_JYDSZJHM</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001018</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交易对手证件号码。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交易对手证件到期日</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GL_JYDSZJDQR</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交易对手证件到期日。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交易对手LEI编码</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JYDSLEIBM</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001004</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填写交易对手全球法人识别编码。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交易币种</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BZ</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002001</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参照《业务代码表》中的“币种代码”，填报代码。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交易市场类型</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JYSCLX</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003009</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参照《业务代码表》中的“交易市场类型代码”，填报代码。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交易日期</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JYRQ</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交易行为发生日期。格式：YYYYMMDD。</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交易摘要</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JYZY</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002011</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交易情况描述。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资金流向</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ZJLX</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003005</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参照《业务代码表》中的“资金流向代码”，填报代码。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交易币成交金额</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JYBCJJE</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买卖资产的成交金额。</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交易币结算金额</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JYBJSJE</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资产最终结算的金额，以实际收付金额为准。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本位币成交金额</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BWBCJJE</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买卖资产的成交金额。单位：元。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本位币结算金额</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BWBJSJE</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资产最终结算的金额，以实际收付金额为准。单位：元。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银行账户号码</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YHZHHM</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002018</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本笔交易对应的银行账号。</w:t>
            </w:r>
            <w:r>
              <w:rPr>
                <w:rFonts w:hint="eastAsia" w:ascii="宋体" w:hAnsi="宋体" w:eastAsia="宋体"/>
                <w:color w:val="000000"/>
                <w:sz w:val="21"/>
                <w:szCs w:val="21"/>
              </w:rPr>
              <w:t>需与保险集团（控股）公司银行账户信息表中的银行账户号码匹配。</w:t>
            </w:r>
          </w:p>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如是通过第三方支付交易，填报本笔交易所对应的第三方支付账号关联银行账号，并在备注项内填报第三方支付信息。</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交易对手银行法定名称</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GL_JYDSYHFDMC</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交易对手银行开户行名称。如是场内交易，填报本机构关联交易所名称，如果交易对手通过第三方支付机构交易，则填报第三方支付机构法定名称。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交易对手银行证件类型</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GL_JYDSYHZJLX</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001019</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交易对手银行证件类型，参照《业务代码表》中的“证件类型代码”，填报代码。</w:t>
            </w:r>
          </w:p>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如果是第三方支付机构，则填报第三方支付机构经营许可证件类型。</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交易对手银行证件号码</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GL_JYDSYHZJHM</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001018</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交易对手银行证件号码。如果交易对手通过第三方支付机构交易，则填报第三方支付机构经营许可证件号码。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交易对手银行证件到期日</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GL_JYDSYHZJDQR</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交易对手银行证件到期日。</w:t>
            </w:r>
          </w:p>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如果交易对手通过第三方支付机构交易，则填报第三方支付机构经营许可证件到期日。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交易对手银行账户号码</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JYDSYHZHHM</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002018</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交易对手银行账户号码。如是场内交易，填报本机构关联交易所的账户号码。如果交易对手通过第三方支付机构交易，则填报交易对手在第三方支付机构的账户号码。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备注</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BZ</w:t>
            </w:r>
            <w:r>
              <w:rPr>
                <w:rFonts w:ascii="宋体" w:hAnsi="宋体" w:eastAsia="宋体" w:cs="宋体"/>
                <w:color w:val="000000"/>
                <w:kern w:val="0"/>
                <w:sz w:val="21"/>
                <w:szCs w:val="21"/>
              </w:rPr>
              <w:t>2</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003007</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补充说明情况。</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采集日期</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CJRQ</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bl>
    <w:p>
      <w:pPr>
        <w:ind w:firstLine="0" w:firstLineChars="0"/>
      </w:pPr>
    </w:p>
    <w:p>
      <w:pPr>
        <w:keepNext/>
        <w:keepLines/>
        <w:numPr>
          <w:ilvl w:val="1"/>
          <w:numId w:val="7"/>
        </w:numPr>
        <w:ind w:firstLineChars="0"/>
        <w:outlineLvl w:val="3"/>
        <w:rPr>
          <w:rFonts w:ascii="仿宋" w:hAnsi="仿宋" w:eastAsia="仿宋"/>
          <w:b/>
        </w:rPr>
      </w:pPr>
      <w:r>
        <w:rPr>
          <w:rFonts w:hint="eastAsia" w:ascii="仿宋" w:hAnsi="仿宋" w:eastAsia="仿宋"/>
          <w:b/>
        </w:rPr>
        <w:t>自主投资持仓表</w:t>
      </w:r>
    </w:p>
    <w:tbl>
      <w:tblPr>
        <w:tblStyle w:val="25"/>
        <w:tblW w:w="8824" w:type="dxa"/>
        <w:tblInd w:w="0" w:type="dxa"/>
        <w:tblLayout w:type="fixed"/>
        <w:tblCellMar>
          <w:top w:w="0" w:type="dxa"/>
          <w:left w:w="108" w:type="dxa"/>
          <w:bottom w:w="0" w:type="dxa"/>
          <w:right w:w="108" w:type="dxa"/>
        </w:tblCellMar>
      </w:tblPr>
      <w:tblGrid>
        <w:gridCol w:w="1549"/>
        <w:gridCol w:w="1417"/>
        <w:gridCol w:w="992"/>
        <w:gridCol w:w="3403"/>
        <w:gridCol w:w="709"/>
        <w:gridCol w:w="754"/>
      </w:tblGrid>
      <w:tr>
        <w:tblPrEx>
          <w:tblCellMar>
            <w:top w:w="0" w:type="dxa"/>
            <w:left w:w="108" w:type="dxa"/>
            <w:bottom w:w="0" w:type="dxa"/>
            <w:right w:w="108" w:type="dxa"/>
          </w:tblCellMar>
        </w:tblPrEx>
        <w:trPr>
          <w:trHeight w:val="290" w:hRule="atLeast"/>
        </w:trPr>
        <w:tc>
          <w:tcPr>
            <w:tcW w:w="15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41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992"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4866"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57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ZZTZCCB</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自主投资持仓表</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C010</w:t>
            </w:r>
            <w:r>
              <w:rPr>
                <w:rFonts w:ascii="宋体" w:hAnsi="宋体" w:eastAsia="宋体" w:cs="宋体"/>
                <w:color w:val="000000"/>
                <w:kern w:val="0"/>
                <w:sz w:val="21"/>
                <w:szCs w:val="21"/>
              </w:rPr>
              <w:t>3</w:t>
            </w:r>
          </w:p>
        </w:tc>
        <w:tc>
          <w:tcPr>
            <w:tcW w:w="4866"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本表报送保险集团（控股）公司本年自主投资持仓信息。</w:t>
            </w:r>
          </w:p>
        </w:tc>
      </w:tr>
      <w:tr>
        <w:tblPrEx>
          <w:tblCellMar>
            <w:top w:w="0" w:type="dxa"/>
            <w:left w:w="108" w:type="dxa"/>
            <w:bottom w:w="0" w:type="dxa"/>
            <w:right w:w="108" w:type="dxa"/>
          </w:tblCellMar>
        </w:tblPrEx>
        <w:trPr>
          <w:trHeight w:val="7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保险集团（控股）公司保险许可证号码</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JT_BXXKZHM</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中国银保监会统一设计和印制，授权给保险机构经营保险业务的许可证上记录的机构编码。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保险集团（控股）公司统一社会信用代码</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JT_TYSHXYDM</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7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保险集团（控股）公司名称</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JT_MC</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流水号</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LSH</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001001</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账户名称</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ZHMC</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002021</w:t>
            </w:r>
          </w:p>
        </w:tc>
        <w:tc>
          <w:tcPr>
            <w:tcW w:w="3403" w:type="dxa"/>
            <w:tcBorders>
              <w:top w:val="nil"/>
              <w:left w:val="nil"/>
              <w:bottom w:val="single" w:color="auto" w:sz="8" w:space="0"/>
              <w:right w:val="single" w:color="auto" w:sz="8" w:space="0"/>
            </w:tcBorders>
            <w:shd w:val="clear" w:color="auto" w:fill="auto"/>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机构投资账户名称，应具有唯一标识。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账户代码</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ZHDM</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002020</w:t>
            </w:r>
          </w:p>
        </w:tc>
        <w:tc>
          <w:tcPr>
            <w:tcW w:w="3403" w:type="dxa"/>
            <w:tcBorders>
              <w:top w:val="nil"/>
              <w:left w:val="nil"/>
              <w:bottom w:val="single" w:color="auto" w:sz="8" w:space="0"/>
              <w:right w:val="single" w:color="auto" w:sz="8" w:space="0"/>
            </w:tcBorders>
            <w:shd w:val="clear" w:color="auto" w:fill="auto"/>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机构投资账户代码，应具有唯一标识。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资产名称</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ZCMC</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003008</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填写确权登记等有关机构登记的资产名称，若无填写合同上的资产名称。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资产代码</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ZCDM</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003002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填写确权登记等有关机构登记的资产代码，若无填写机构自定义代码。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资产类型</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ZCLX</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00300</w:t>
            </w:r>
            <w:r>
              <w:rPr>
                <w:rFonts w:ascii="宋体" w:hAnsi="宋体" w:eastAsia="宋体" w:cs="宋体"/>
                <w:color w:val="000000"/>
                <w:kern w:val="0"/>
                <w:sz w:val="21"/>
                <w:szCs w:val="21"/>
              </w:rPr>
              <w:t>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参照《业务代码表》中的“资产负债统计科目代码”，填报代码。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资产到期日</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ZCDQR</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资产到期日期，如无明确到期日，填写默认值99991231。格式：YYYYMMDD。</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占账户净资产比重</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ZZHJZCBZ</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001049</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资产占账户净资产的比例。填数字，不填百分比，最少保留两位小数，比如12.34%填写为12.34。</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估值方法</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GZFF</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003011</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参照《业务代码表》中的“估值方法代码”，填报代码。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会计核算方法</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KJHSFF</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002003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适用会计准则。参照《业务代码表》中的“会计核算方法代码”，填报代码。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会计分类</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KJFL</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003006</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参照《业务代码表》中的“会计分类代码”，填报代码。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成本</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CB</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初始购置成本、历史（净价）成本或摊余（净价）成本。适用金融工具确认和计量（</w:t>
            </w:r>
            <w:r>
              <w:rPr>
                <w:rFonts w:ascii="宋体" w:hAnsi="宋体" w:eastAsia="宋体" w:cs="宋体"/>
                <w:color w:val="000000"/>
                <w:kern w:val="0"/>
                <w:sz w:val="21"/>
                <w:szCs w:val="21"/>
              </w:rPr>
              <w:t>2017</w:t>
            </w:r>
            <w:r>
              <w:rPr>
                <w:rFonts w:hint="eastAsia" w:ascii="宋体" w:hAnsi="宋体" w:eastAsia="宋体" w:cs="宋体"/>
                <w:color w:val="000000"/>
                <w:kern w:val="0"/>
                <w:sz w:val="21"/>
                <w:szCs w:val="21"/>
              </w:rPr>
              <w:t>）的金融资产初始成本按公允价值计量。单位：元。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账面余额</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ZMYE</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指没有扣除减值准备的账面余额。单位：元。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减值准备</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JZZB</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按持有该资产对应的“减值准备”科目余额填列。单位：元。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账面价值</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ZMJZ</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指扣除减值准备后的账面余额，等于该资产账面余额与减值准备之差。单位：元。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公允价值</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GYJZ</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指市场参与者在计量日发生的有序交易中，出售一项资产所能收到或者转移一项负债所需支付的价格。单位：元。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公允价值变动</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GYJZBD</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001008</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指持有该资产对应的“公允价值变动”当年累计发生额。单位：元。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公允价值变动损益</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GYJZBDSY</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001008</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指持有该资产对应的“公允价值变动损益”当年累计发生额。单位：元。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已实现收益</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YSXSY</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001008</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金融工具确认和计量（2006）包括各项投资产生的利息收入、价差收入、股利红利收入和相关交易费用等当年累计发生额，不包括减值准备。单位：元。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其他收益</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QTSY</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001008</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填写除“投资收益”、“利息收入”、“公允价值变动损益”之外的资金运用收益当年累计发生额，包括投资性房地产出租净收益（租金减去成本）、长期股权投资“营业外收入”等。单位：元。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10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资产减值损失</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ZCJZSS</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001008</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金融工具确认和计量（2006）指持有该资产对应的“资产减值损失”当年累计发生额。单位：元。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信用减值损失</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XYJZSS</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001008</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金融工具确认和计量（2017）：金融工具信用损失当年累计发生额。单位：元。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其他资产减值损失</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QTZCJZSS</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001008</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金融工具确认和计量（2017）：除“信用减值损失”外，其他资产减值损失当年累计发生额。单位：元。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利息收入</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LXSR</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003012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金融工具确认和计量（2017）：以摊余成本计量的金融资产和分类为以公允价值计量且其变动计入其他综合收益的金融资产按照实际利率法计算的利息收入当年累计发生额。其他项目的利息收入不得计入本项目。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投资收益</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TZSY</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001008</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金融工具确认和计量（2017）：对外投资收益或损失当年累计发生额。单位：元。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以公允价值计量且其变动计入其他综合收益</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YGYJZJLQQBDJRQTZHSY</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001008</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金融工具确认和计量（2017）：以公允价值计量且其变动计入其他综合收益的金融资产当年累计发生额。单位：元。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五级分类</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WJFL</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003010</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参照《业务代码表》中的“五级分类代码”，填报代码。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会计期间</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KJQJ</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002002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归属期间。格式：YYYYMM，年度审计报告出具后报送审计调整后数据。</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r>
      <w:tr>
        <w:tblPrEx>
          <w:tblCellMar>
            <w:top w:w="0" w:type="dxa"/>
            <w:left w:w="108" w:type="dxa"/>
            <w:bottom w:w="0" w:type="dxa"/>
            <w:right w:w="108" w:type="dxa"/>
          </w:tblCellMar>
        </w:tblPrEx>
        <w:trPr>
          <w:trHeight w:val="82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报送周期</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BSZQ</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002016</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参照《业务代码表》中的“报送周期类型代码”，填报代码。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r>
      <w:tr>
        <w:tblPrEx>
          <w:tblCellMar>
            <w:top w:w="0" w:type="dxa"/>
            <w:left w:w="108" w:type="dxa"/>
            <w:bottom w:w="0" w:type="dxa"/>
            <w:right w:w="108" w:type="dxa"/>
          </w:tblCellMar>
        </w:tblPrEx>
        <w:trPr>
          <w:trHeight w:val="82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采集日期</w:t>
            </w:r>
          </w:p>
        </w:tc>
        <w:tc>
          <w:tcPr>
            <w:tcW w:w="141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CJRQ</w:t>
            </w:r>
          </w:p>
        </w:tc>
        <w:tc>
          <w:tcPr>
            <w:tcW w:w="9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bl>
    <w:p>
      <w:pPr>
        <w:ind w:firstLine="0" w:firstLineChars="0"/>
      </w:pPr>
    </w:p>
    <w:p>
      <w:pPr>
        <w:keepNext/>
        <w:keepLines/>
        <w:numPr>
          <w:ilvl w:val="1"/>
          <w:numId w:val="15"/>
        </w:numPr>
        <w:ind w:firstLineChars="0"/>
        <w:outlineLvl w:val="3"/>
        <w:rPr>
          <w:rFonts w:ascii="仿宋" w:hAnsi="仿宋" w:eastAsia="仿宋"/>
          <w:b/>
        </w:rPr>
      </w:pPr>
      <w:r>
        <w:rPr>
          <w:rFonts w:hint="eastAsia" w:ascii="仿宋" w:hAnsi="仿宋" w:eastAsia="仿宋"/>
          <w:b/>
        </w:rPr>
        <w:t>信托计划基本信息表</w:t>
      </w:r>
    </w:p>
    <w:tbl>
      <w:tblPr>
        <w:tblStyle w:val="25"/>
        <w:tblW w:w="8824" w:type="dxa"/>
        <w:tblInd w:w="0" w:type="dxa"/>
        <w:tblLayout w:type="fixed"/>
        <w:tblCellMar>
          <w:top w:w="0" w:type="dxa"/>
          <w:left w:w="108" w:type="dxa"/>
          <w:bottom w:w="0" w:type="dxa"/>
          <w:right w:w="108" w:type="dxa"/>
        </w:tblCellMar>
      </w:tblPr>
      <w:tblGrid>
        <w:gridCol w:w="1550"/>
        <w:gridCol w:w="1275"/>
        <w:gridCol w:w="851"/>
        <w:gridCol w:w="3685"/>
        <w:gridCol w:w="709"/>
        <w:gridCol w:w="754"/>
      </w:tblGrid>
      <w:tr>
        <w:tblPrEx>
          <w:tblCellMar>
            <w:top w:w="0" w:type="dxa"/>
            <w:left w:w="108" w:type="dxa"/>
            <w:bottom w:w="0" w:type="dxa"/>
            <w:right w:w="108" w:type="dxa"/>
          </w:tblCellMar>
        </w:tblPrEx>
        <w:trPr>
          <w:trHeight w:val="290" w:hRule="atLeast"/>
        </w:trPr>
        <w:tc>
          <w:tcPr>
            <w:tcW w:w="155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27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851"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14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57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XTJHJBXXB</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信托计划基本信息表</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C0</w:t>
            </w:r>
            <w:r>
              <w:rPr>
                <w:rFonts w:ascii="宋体" w:hAnsi="宋体" w:eastAsia="宋体" w:cs="宋体"/>
                <w:color w:val="000000"/>
                <w:kern w:val="0"/>
                <w:sz w:val="21"/>
                <w:szCs w:val="21"/>
              </w:rPr>
              <w:t>1</w:t>
            </w:r>
            <w:r>
              <w:rPr>
                <w:rFonts w:hint="eastAsia" w:ascii="宋体" w:hAnsi="宋体" w:eastAsia="宋体" w:cs="宋体"/>
                <w:color w:val="000000"/>
                <w:kern w:val="0"/>
                <w:sz w:val="21"/>
                <w:szCs w:val="21"/>
              </w:rPr>
              <w:t>0</w:t>
            </w:r>
            <w:r>
              <w:rPr>
                <w:rFonts w:ascii="宋体" w:hAnsi="宋体" w:eastAsia="宋体" w:cs="宋体"/>
                <w:color w:val="000000"/>
                <w:kern w:val="0"/>
                <w:sz w:val="21"/>
                <w:szCs w:val="21"/>
              </w:rPr>
              <w:t>4</w:t>
            </w:r>
          </w:p>
        </w:tc>
        <w:tc>
          <w:tcPr>
            <w:tcW w:w="514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本表报送保险集团（控股）公司持有信托计划基本信息。</w:t>
            </w:r>
          </w:p>
        </w:tc>
      </w:tr>
      <w:tr>
        <w:tblPrEx>
          <w:tblCellMar>
            <w:top w:w="0" w:type="dxa"/>
            <w:left w:w="108" w:type="dxa"/>
            <w:bottom w:w="0" w:type="dxa"/>
            <w:right w:w="108" w:type="dxa"/>
          </w:tblCellMar>
        </w:tblPrEx>
        <w:trPr>
          <w:trHeight w:val="7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保险集团（控股）公司保险许可证号码</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JT_BXXKZHM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001042</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中国银保监会统一设计和印制，授权给保险机构经营保险业务的许可证上记录的机构编码。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保险集团（控股）公司统一社会信用代码</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JT_TYSHXYDM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001003</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7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保险集团（控股）公司名称</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流水号</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LSH</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001001</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信托产品全称</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XTCPQC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003045</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信托计划全称。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产品登记编号</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CPDJBH</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003046</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信托产品登记编码是指在中国信登所登记的信托产品唯一编码。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信托产品代码</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XTCPDM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003047</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信托公司内部产品代码或编号。信托公司自定义，信托产品的内部唯一编号。</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信托产品存续标识</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XTCPCXBS</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003048</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枚举值为“存续(正常)；存续(展期)；存续(逾期)；终止”。终止在此表示信托产品已终止但还未出具清算报告。</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信托功能分类</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XTGNFL</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003049</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枚举值为“融资类；投资类；事务管理类”。</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资管产品类型</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ZGCPLX</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003018</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枚举值为“固定收益类；权益类；商品及金融衍生品类；混合类”。</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136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信托财产运用方式</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XTCCYYFS</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003050</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枚举值为“股票投资；债券投资；金融衍生品；信托贷款；信贷资产转让；资产收（受）益权；资产支持证券化；准资产支持证券化；特定目的载体份额；应收账款转让；其他非标准化债权投资；其他股权投资；非私募基金类有限合伙份额；固定资产投资；另类资产投资；出售；出租；持有并管理；其他”。</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10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管理方式</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GLFS</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003051</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枚举值为“单一；集合”。根据同一信托中委托人的数量而进行的分类。单一：设立信托时委托人为单个人的信托，其中财产共有人以共有财产设立的信托属于单一信托。集合：设立信托时委托人为两个人以上（含两个）的信托。</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管理责任</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GLZR</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003015</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信托合同中约定的信托公司应承担的责任（合同约定责任），枚举值为“主动管理；非主动管理”。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产品成立日期</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CPCLRQ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产品实际成立日期，YYYYMMDD。</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预计到期日期</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YJDQRQ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根据信托合同约定计算的产品预计到期日期，YYYYMMDD，未规定到期日期或永久信托，填写99991231。</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结构化属性</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JGHSX</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003019</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枚举值为“分级；非分级”。</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10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优先劣后受益权比例</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YXLHSYQBL</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001049</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结构化属性”为“分级”时必填。根据合同按实际认购和申购情况填写，本信托产品所有优先受益权份额与劣后受益权份额之比。如分为优先、中间、劣后，则将中间层填报至优先级。填数字，不填百分比，最少保留两位小数，比如12.34%填写为12.34。</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还本付息方式</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HBFXFS</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003024</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参照《业务代码表》中的“还本付息方式代码”，填报代码。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付息周期</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FXZQ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003025</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枚举值为“按月；按季；按半年；按年；其他”。</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当前产品存续规模</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DQCPCXGM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截至填报期存续的受托规模。若金额涉及到外币，自行转换成人民币进行填报。按实际金额填写，单位：元。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投资收益率</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TZSYL</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001012</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信托计划产品的投资收益率，填数字，不填百分比，最少保留四位小数，比如12.34%填写为0.1234。如无具体费率选填“99999”。</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资金运用方式</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ZJYYFS</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002011</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信托资金运用方式描述。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资金投向</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ZJTX</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003053</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枚举值为“基础设施；工商企业；房地产；金融机构；证券类；其他”。</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投向行业明细</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TXHYMX</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001024</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参照《业务代码表》中的“行业类型代码”，填报代码。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信托财产运用地区</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XTCCYYDQ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001017</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填写信托财产运用地区，涉及多地的，填报主要地区。参照《业务代码表》中的“行政区划代码”，填报代码。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信用增级安排</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XYZJAP</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003054</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枚举值为“保证担保；抵押担保；质押担保；流动性支持；回购承诺；差额补足；无；其他”。可多选，以“;”隔开。</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抵质押物账面价值</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DZYWZMJZ</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抵质押物的原有价值，按实际金额填写。若涉及到外币，自行转换成人民币进行填报。单位：元。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评估机构名称</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PGJGMC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抵质押物价值评估时的评估机构名称，名称应与公章所使用的名称完全一致。如为内部评估，填写机构本身名称。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评估价值</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PGJZ</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评估机构对抵质押物的评估价值，按实际金额填写。若金额涉及到外币，自行转换成人民币进行填报。单位：元。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评估日期</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PGRQ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评估机构对抵质押物的评估日期，YYYYMMDD。</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抵质押率</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DZYL</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001049</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押品担保本金余额/押品评估价值。按合同内整体押品计算的抵质押率，不是单件押品计算出来的抵质押率。填数字，不填百分比，最少保留两位小数，比如12.34%填写为12.34。</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受托人LEI编码</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STRLEIBM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001004</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填写受托人全球法人识别编码。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受托人法定名称</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GL_STRFDMC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001015</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受托人法定名称。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受托人证件类型</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GL_STRZJLX</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001019</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受托人证件类型，参照《业务代码表》中的“证件类型代码”，填报代码。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受托人证件号码</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GL_STRZJHM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001018</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受托人证件号码。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受托人证件到期日</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GL_STRZJDQR</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受托人证件到期日。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托管人LEI编码</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TGRLEIBM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001004</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填写托管人全球法人识别编码。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托管人法定名称</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GL_TGRFDMC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001015</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托管人法定名称。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托管人证件类型</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GL_TGRZJLX</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001019</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托管人证件类型，参照《业务代码表》中的“证件类型代码”，填报代码。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托管人证件号码</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GL_TGRZJHM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001018</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托管人证件号码。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托管人证件到期日</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GL_TGRZJDQR</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托管人证件到期日。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投资账户名称</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TZZHMC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002021</w:t>
            </w:r>
          </w:p>
        </w:tc>
        <w:tc>
          <w:tcPr>
            <w:tcW w:w="3685" w:type="dxa"/>
            <w:tcBorders>
              <w:top w:val="nil"/>
              <w:left w:val="nil"/>
              <w:bottom w:val="single" w:color="auto" w:sz="8" w:space="0"/>
              <w:right w:val="single" w:color="auto" w:sz="8" w:space="0"/>
            </w:tcBorders>
            <w:shd w:val="clear" w:color="auto" w:fill="auto"/>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机构投资账户名称，应具有唯一标识。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投资账户代码</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TZZHDM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002020</w:t>
            </w:r>
          </w:p>
        </w:tc>
        <w:tc>
          <w:tcPr>
            <w:tcW w:w="3685" w:type="dxa"/>
            <w:tcBorders>
              <w:top w:val="nil"/>
              <w:left w:val="nil"/>
              <w:bottom w:val="single" w:color="auto" w:sz="8" w:space="0"/>
              <w:right w:val="single" w:color="auto" w:sz="8" w:space="0"/>
            </w:tcBorders>
            <w:shd w:val="clear" w:color="auto" w:fill="auto"/>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机构投资账户代码，应具有唯一标识。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持有份额起息日</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CYFEQXR</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产品募集份额起息日期。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期末持有规模</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QMCYGM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受益人期末持有金额，单位：元。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所属分级</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SSFJ</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003027</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参照《业务代码表》中的“产品分级类别代码”，填报代码。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本级存续规模</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BJCXGM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以报送时点计算，本级存续规模，单位：元。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收益率计提方式</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SYLJTFS</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003055</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枚举值为“固定收益率；浮动收益率；固定+浮动收益率；其他”。</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持有人预期收益率</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CYRYQSYL</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001012</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填写持有人预期收益率。不带百分号，按小数形式填写，保留小数点后6位，如3.1234%填写为0.031234。</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收益率描述</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SYLMS</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003007</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收益率具体描述。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退出方式</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TCFS</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003080</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全部份额实际退出时必填。枚举值为“正常持有到期；提前赎回；转让第三方；信托计划提前终止；其他”。</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实际退出日期</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SJTCRQ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持有人实际退出日期。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实际收益率</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SJSYL</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001012</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全部份额实际退出时必填。不带百分号，按小数形式填写，保留小数点后6位，如3.1234%填写为0.031234。</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备注</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BZ</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003007</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信托产品信息及投资人信息备注。</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采集日期</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CJRQ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bl>
    <w:p>
      <w:pPr>
        <w:ind w:firstLine="0" w:firstLineChars="0"/>
      </w:pPr>
    </w:p>
    <w:p>
      <w:pPr>
        <w:keepNext/>
        <w:keepLines/>
        <w:numPr>
          <w:ilvl w:val="1"/>
          <w:numId w:val="16"/>
        </w:numPr>
        <w:ind w:firstLineChars="0"/>
        <w:outlineLvl w:val="3"/>
        <w:rPr>
          <w:rFonts w:ascii="仿宋" w:hAnsi="仿宋" w:eastAsia="仿宋"/>
          <w:b/>
        </w:rPr>
      </w:pPr>
      <w:r>
        <w:rPr>
          <w:rFonts w:hint="eastAsia" w:ascii="仿宋" w:hAnsi="仿宋" w:eastAsia="仿宋"/>
          <w:b/>
        </w:rPr>
        <w:t>信托计划融资人信息表</w:t>
      </w:r>
    </w:p>
    <w:tbl>
      <w:tblPr>
        <w:tblStyle w:val="25"/>
        <w:tblW w:w="8824" w:type="dxa"/>
        <w:tblInd w:w="0" w:type="dxa"/>
        <w:tblLayout w:type="fixed"/>
        <w:tblCellMar>
          <w:top w:w="0" w:type="dxa"/>
          <w:left w:w="108" w:type="dxa"/>
          <w:bottom w:w="0" w:type="dxa"/>
          <w:right w:w="108" w:type="dxa"/>
        </w:tblCellMar>
      </w:tblPr>
      <w:tblGrid>
        <w:gridCol w:w="1476"/>
        <w:gridCol w:w="1371"/>
        <w:gridCol w:w="969"/>
        <w:gridCol w:w="3545"/>
        <w:gridCol w:w="709"/>
        <w:gridCol w:w="754"/>
      </w:tblGrid>
      <w:tr>
        <w:tblPrEx>
          <w:tblCellMar>
            <w:top w:w="0" w:type="dxa"/>
            <w:left w:w="108" w:type="dxa"/>
            <w:bottom w:w="0" w:type="dxa"/>
            <w:right w:w="108" w:type="dxa"/>
          </w:tblCellMar>
        </w:tblPrEx>
        <w:trPr>
          <w:trHeight w:val="290" w:hRule="atLeast"/>
        </w:trPr>
        <w:tc>
          <w:tcPr>
            <w:tcW w:w="14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371"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969"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00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57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XTJHRZRXXB</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信托计划融资人信息表</w:t>
            </w:r>
          </w:p>
        </w:tc>
        <w:tc>
          <w:tcPr>
            <w:tcW w:w="96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C0</w:t>
            </w:r>
            <w:r>
              <w:rPr>
                <w:rFonts w:ascii="宋体" w:hAnsi="宋体" w:eastAsia="宋体" w:cs="宋体"/>
                <w:color w:val="000000"/>
                <w:kern w:val="0"/>
                <w:sz w:val="21"/>
                <w:szCs w:val="21"/>
              </w:rPr>
              <w:t>1</w:t>
            </w:r>
            <w:r>
              <w:rPr>
                <w:rFonts w:hint="eastAsia" w:ascii="宋体" w:hAnsi="宋体" w:eastAsia="宋体" w:cs="宋体"/>
                <w:color w:val="000000"/>
                <w:kern w:val="0"/>
                <w:sz w:val="21"/>
                <w:szCs w:val="21"/>
              </w:rPr>
              <w:t>0</w:t>
            </w:r>
            <w:r>
              <w:rPr>
                <w:rFonts w:ascii="宋体" w:hAnsi="宋体" w:eastAsia="宋体" w:cs="宋体"/>
                <w:color w:val="000000"/>
                <w:kern w:val="0"/>
                <w:sz w:val="21"/>
                <w:szCs w:val="21"/>
              </w:rPr>
              <w:t>5</w:t>
            </w:r>
          </w:p>
        </w:tc>
        <w:tc>
          <w:tcPr>
            <w:tcW w:w="500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本表报送保险集团（控股）公司持有信托计划融资人相关信息。</w:t>
            </w:r>
          </w:p>
        </w:tc>
      </w:tr>
      <w:tr>
        <w:tblPrEx>
          <w:tblCellMar>
            <w:top w:w="0" w:type="dxa"/>
            <w:left w:w="108" w:type="dxa"/>
            <w:bottom w:w="0" w:type="dxa"/>
            <w:right w:w="108" w:type="dxa"/>
          </w:tblCellMar>
        </w:tblPrEx>
        <w:trPr>
          <w:trHeight w:val="79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96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55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保险集团（控股）公司保险许可证号码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JT_BXXKZHM</w:t>
            </w:r>
          </w:p>
        </w:tc>
        <w:tc>
          <w:tcPr>
            <w:tcW w:w="96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001042</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中国银保监会统一设计和印制，授权给保险机构经营保险业务的许可证上记录的机构编码。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保险集团（控股）公司统一社会信用代码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JT_TYSHXYDM</w:t>
            </w:r>
          </w:p>
        </w:tc>
        <w:tc>
          <w:tcPr>
            <w:tcW w:w="96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001003</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79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JT_MC</w:t>
            </w:r>
          </w:p>
        </w:tc>
        <w:tc>
          <w:tcPr>
            <w:tcW w:w="96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流水号</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LSH</w:t>
            </w:r>
          </w:p>
        </w:tc>
        <w:tc>
          <w:tcPr>
            <w:tcW w:w="96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001001</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信托产品全称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XTCPQC</w:t>
            </w:r>
          </w:p>
        </w:tc>
        <w:tc>
          <w:tcPr>
            <w:tcW w:w="96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003045</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信托计划全称。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产品登记编号</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CPDJBH</w:t>
            </w:r>
          </w:p>
        </w:tc>
        <w:tc>
          <w:tcPr>
            <w:tcW w:w="96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003046</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信托产品登记编码是指在中国信登所登记的信托产品唯一编码。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信托产品代码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XTCPDM</w:t>
            </w:r>
          </w:p>
        </w:tc>
        <w:tc>
          <w:tcPr>
            <w:tcW w:w="96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003047</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信托公司内部产品代码或编号。信托公司自定义，信托产品的内部唯一编号。</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3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受托人法定名称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GL_STRFDMC</w:t>
            </w:r>
          </w:p>
        </w:tc>
        <w:tc>
          <w:tcPr>
            <w:tcW w:w="96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001015</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受托人法定名称。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受托人证件类型</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GL_STRZJLX</w:t>
            </w:r>
          </w:p>
        </w:tc>
        <w:tc>
          <w:tcPr>
            <w:tcW w:w="96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001019</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受托人证件类型，参照《业务代码表》中的“证件类型代码”，填报代码。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受托人证件号码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GL_STRZJHM</w:t>
            </w:r>
          </w:p>
        </w:tc>
        <w:tc>
          <w:tcPr>
            <w:tcW w:w="96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001018</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受托人证件号码。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受托人证件到期日</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GL_STRZJDQR</w:t>
            </w:r>
          </w:p>
        </w:tc>
        <w:tc>
          <w:tcPr>
            <w:tcW w:w="96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受托人证件到期日。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融资人法定名称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GL_RZRFDMC</w:t>
            </w:r>
          </w:p>
        </w:tc>
        <w:tc>
          <w:tcPr>
            <w:tcW w:w="96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001015</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填写融资人全称。若为自然人姓名，隐私，保险集团（控股）公司变形。</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融资人证件类型</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GL_RZRZJLX</w:t>
            </w:r>
          </w:p>
        </w:tc>
        <w:tc>
          <w:tcPr>
            <w:tcW w:w="96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001019</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融资人证件类型，参照《业务代码表》中的“证件类型代码”，填报代码。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融资人证件号码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GL_RZRZJHM</w:t>
            </w:r>
          </w:p>
        </w:tc>
        <w:tc>
          <w:tcPr>
            <w:tcW w:w="96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001018</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融资人证件号码。若为自然人证件号码，隐私，保险集团（控股）公司变形</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融资人证件到期日</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GL_RZRZJDQR</w:t>
            </w:r>
          </w:p>
        </w:tc>
        <w:tc>
          <w:tcPr>
            <w:tcW w:w="96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融资人证件到期日。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融资人类型</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RZRLX</w:t>
            </w:r>
          </w:p>
        </w:tc>
        <w:tc>
          <w:tcPr>
            <w:tcW w:w="96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003079</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枚举值为“自然人；个体工商户；广义政府；非金融企业；金融机构（实体）；特定目的载体；境外”。</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融资人所属地区</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RZRSSDQ</w:t>
            </w:r>
          </w:p>
        </w:tc>
        <w:tc>
          <w:tcPr>
            <w:tcW w:w="96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001017</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参照《业务代码表》中的“行政区划代码”，填报代码。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融资人所属行业</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RZRSSHY</w:t>
            </w:r>
          </w:p>
        </w:tc>
        <w:tc>
          <w:tcPr>
            <w:tcW w:w="96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001024</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参照《业务代码表》中的“行业类型代码”，填报代码。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采集日期</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CJRQ</w:t>
            </w:r>
          </w:p>
        </w:tc>
        <w:tc>
          <w:tcPr>
            <w:tcW w:w="96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bl>
    <w:p>
      <w:pPr>
        <w:ind w:firstLine="0" w:firstLineChars="0"/>
      </w:pPr>
    </w:p>
    <w:p>
      <w:pPr>
        <w:keepNext/>
        <w:keepLines/>
        <w:numPr>
          <w:ilvl w:val="1"/>
          <w:numId w:val="17"/>
        </w:numPr>
        <w:ind w:firstLineChars="0"/>
        <w:outlineLvl w:val="3"/>
        <w:rPr>
          <w:rFonts w:ascii="仿宋" w:hAnsi="仿宋" w:eastAsia="仿宋"/>
          <w:b/>
        </w:rPr>
      </w:pPr>
      <w:r>
        <w:rPr>
          <w:rFonts w:hint="eastAsia" w:ascii="仿宋" w:hAnsi="仿宋" w:eastAsia="仿宋"/>
          <w:b/>
        </w:rPr>
        <w:t>存款证实书信息表</w:t>
      </w:r>
    </w:p>
    <w:tbl>
      <w:tblPr>
        <w:tblStyle w:val="25"/>
        <w:tblW w:w="8824" w:type="dxa"/>
        <w:tblInd w:w="0" w:type="dxa"/>
        <w:tblLayout w:type="fixed"/>
        <w:tblCellMar>
          <w:top w:w="0" w:type="dxa"/>
          <w:left w:w="108" w:type="dxa"/>
          <w:bottom w:w="0" w:type="dxa"/>
          <w:right w:w="108" w:type="dxa"/>
        </w:tblCellMar>
      </w:tblPr>
      <w:tblGrid>
        <w:gridCol w:w="1551"/>
        <w:gridCol w:w="1274"/>
        <w:gridCol w:w="851"/>
        <w:gridCol w:w="3685"/>
        <w:gridCol w:w="709"/>
        <w:gridCol w:w="754"/>
      </w:tblGrid>
      <w:tr>
        <w:tblPrEx>
          <w:tblCellMar>
            <w:top w:w="0" w:type="dxa"/>
            <w:left w:w="108" w:type="dxa"/>
            <w:bottom w:w="0" w:type="dxa"/>
            <w:right w:w="108" w:type="dxa"/>
          </w:tblCellMar>
        </w:tblPrEx>
        <w:trPr>
          <w:trHeight w:val="290" w:hRule="atLeast"/>
        </w:trPr>
        <w:tc>
          <w:tcPr>
            <w:tcW w:w="155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27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851"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14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57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CKZSSXXB</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bookmarkStart w:id="210" w:name="_Hlk85803627"/>
            <w:r>
              <w:rPr>
                <w:rFonts w:hint="eastAsia" w:ascii="宋体" w:hAnsi="宋体" w:eastAsia="宋体" w:cs="宋体"/>
                <w:color w:val="000000"/>
                <w:kern w:val="0"/>
                <w:sz w:val="21"/>
                <w:szCs w:val="21"/>
              </w:rPr>
              <w:t>存款证实书信息表</w:t>
            </w:r>
            <w:bookmarkEnd w:id="210"/>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C0</w:t>
            </w:r>
            <w:r>
              <w:rPr>
                <w:rFonts w:ascii="宋体" w:hAnsi="宋体" w:eastAsia="宋体" w:cs="宋体"/>
                <w:color w:val="000000"/>
                <w:kern w:val="0"/>
                <w:sz w:val="21"/>
                <w:szCs w:val="21"/>
              </w:rPr>
              <w:t>1</w:t>
            </w:r>
            <w:r>
              <w:rPr>
                <w:rFonts w:hint="eastAsia" w:ascii="宋体" w:hAnsi="宋体" w:eastAsia="宋体" w:cs="宋体"/>
                <w:color w:val="000000"/>
                <w:kern w:val="0"/>
                <w:sz w:val="21"/>
                <w:szCs w:val="21"/>
              </w:rPr>
              <w:t>0</w:t>
            </w:r>
            <w:r>
              <w:rPr>
                <w:rFonts w:ascii="宋体" w:hAnsi="宋体" w:eastAsia="宋体" w:cs="宋体"/>
                <w:color w:val="000000"/>
                <w:kern w:val="0"/>
                <w:sz w:val="21"/>
                <w:szCs w:val="21"/>
              </w:rPr>
              <w:t>6</w:t>
            </w:r>
          </w:p>
        </w:tc>
        <w:tc>
          <w:tcPr>
            <w:tcW w:w="514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本表报送保险集团（控股）公司持有银行存款证实书基本信息、信用风险、交易规模以及质押相关信息。不包含活期存款。</w:t>
            </w:r>
          </w:p>
        </w:tc>
      </w:tr>
      <w:tr>
        <w:tblPrEx>
          <w:tblCellMar>
            <w:top w:w="0" w:type="dxa"/>
            <w:left w:w="108" w:type="dxa"/>
            <w:bottom w:w="0" w:type="dxa"/>
            <w:right w:w="108" w:type="dxa"/>
          </w:tblCellMar>
        </w:tblPrEx>
        <w:trPr>
          <w:trHeight w:val="79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55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保险集团（控股）公司保险许可证号码</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JT_BXXKZHM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001042</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中国银保监会统一设计和印制，授权给保险机构经营保险业务的许可证上记录的机构编码。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保险集团（控股）公司统一社会信用代码</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JT_TYSHXYDM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001003</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79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保险集团（控股）公司名称</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流水号</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LSH</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001001</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投资账户名称</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TZZHMC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002021</w:t>
            </w:r>
          </w:p>
        </w:tc>
        <w:tc>
          <w:tcPr>
            <w:tcW w:w="3685" w:type="dxa"/>
            <w:tcBorders>
              <w:top w:val="nil"/>
              <w:left w:val="nil"/>
              <w:bottom w:val="single" w:color="auto" w:sz="8" w:space="0"/>
              <w:right w:val="single" w:color="auto" w:sz="8" w:space="0"/>
            </w:tcBorders>
            <w:shd w:val="clear" w:color="auto" w:fill="auto"/>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机构投资账户名称，应具有唯一标识。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投资账户代码</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TZZHDM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002020</w:t>
            </w:r>
          </w:p>
        </w:tc>
        <w:tc>
          <w:tcPr>
            <w:tcW w:w="3685" w:type="dxa"/>
            <w:tcBorders>
              <w:top w:val="nil"/>
              <w:left w:val="nil"/>
              <w:bottom w:val="single" w:color="auto" w:sz="8" w:space="0"/>
              <w:right w:val="single" w:color="auto" w:sz="8" w:space="0"/>
            </w:tcBorders>
            <w:shd w:val="clear" w:color="auto" w:fill="auto"/>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机构投资账户代码，应具有唯一标识。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82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存款证实书编号</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CKZSSBH</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003058</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存款银行给出的存款证实书编号，包括“NO.”“浙”“（03）”等字样，如无存款证实书编号，优先填列业务编号或账号，如上述编号均没有，机构可自行编制，但需保持机构内部唯一性。</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3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存款证实书全称</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CKZSSQC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003059</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存款银行名称+发行年份+存款类型。</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存款证实书简称</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CKZSSJC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003059</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发行人简称+发行年份（两位数字）+存款类型简称。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存款类型</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CKLX</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003060</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枚举值为“定期存款；协议存款；结构性存款；同业存款；大额存款”。</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存款币种</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CKBZ</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002001</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参照《业务代码表》中的“币种代码”，填报代码。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存款银行法定名称</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GL_CKYHFDMC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开户银行名称，需与存单银行签章一致。</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存款银行证件类型</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GL_CKYHZJLX</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001019</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存款银行证件类型，参照《业务代码表》中的“证件类型代码”，填报代码。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存款银行证件号码</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GL_CKYHZJHM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001018</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存款银行证件号码。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存款银行证件到期日</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GL_CKYHZJDQR</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存款银行证件到期日。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存款银行LEI编码</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CKYHLEIBM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001004</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填写存款银行全球法人识别编码。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存款银行所在地</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CKYHSZD</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001017</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参照《业务代码表》中的“行政区划代码”，填报代码。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存款银行外部信用评级</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CKYHWBXYPJ</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003041</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填写最新外部信用评级。参照《业务代码表》中的“信用评级等级代码”，填报代码。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外部评级机构</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WBPJJG</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评级机构名称。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存款起息日</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CKQXR</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存款起息日。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存款到期日</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CKDQR</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存款证实书到期日。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存款期限</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CKQX</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003020</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按实际存款期限填写。</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期限单位</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QXDW</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003021</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存款期限单位。枚举值为“日；月；年”。</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利率类型</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LLLX</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003061</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枚举值为“浮动；固定；结构化；其他”。</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存款利率</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CKLL</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001012</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利率为直接按小数形式填写，保留小数点后6位。非固定利率以当前节点利率填写。</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计息基准</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JXJZ</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003062</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枚举值为“实际/365；实际/实际；实际/360；30/360”。</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基准利率</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JZLL</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003076</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“利率类型”为“浮动”时必填。基准利率的类型，参照《业务代码表》中的“基准利率代码”，填报代码。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利差</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003077</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“利率类型”为“浮动”时为必填。利差点数，可以为正数、零或负数，不含%，如：填50代表50BP表示0.50%。</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利率描述</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LLMS</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002011</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当“利率类型”“存款利率”“计息基准”“基准利率”“利差”等数据项无法完全体现计息结构时，此项填写具体情况。如前述字段能够体现计息结构，可选填“无”。</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年付息频率</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NFXPL</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003044</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枚举值为“0；1；2；4；12”。0为到期一次还本付息；1年；2半年；4季；12月。</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存款本金</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CKBJ</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存款本金，单位：元。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剩余本金</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SYBJ</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剩余本金。单位：元。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是否可以提前支取</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SFKYTQZQ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001010</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参照《业务代码表》中的“是否判断代码”，填报代码。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最近一次提前支取日期</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ZJYCTQZQRQ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如发生过提前支取，填写最近一次提前支取发生日期。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是否质押</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SFZY</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001010</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参照《业务代码表》中的“是否判断代码”，填报代码。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质押用途</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ZYYT</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003063</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“是否质押”为“是”时必填。包括：融资；担保；委托贷款。</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备注</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BZ</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003007</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填写其他需要报送的但是目前无法标准化的信息。</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采集日期</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CJRQ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bl>
    <w:p>
      <w:pPr>
        <w:ind w:firstLine="0" w:firstLineChars="0"/>
      </w:pPr>
    </w:p>
    <w:p>
      <w:pPr>
        <w:keepNext/>
        <w:keepLines/>
        <w:numPr>
          <w:ilvl w:val="1"/>
          <w:numId w:val="18"/>
        </w:numPr>
        <w:ind w:firstLineChars="0"/>
        <w:outlineLvl w:val="3"/>
        <w:rPr>
          <w:rFonts w:ascii="仿宋" w:hAnsi="仿宋" w:eastAsia="仿宋"/>
          <w:b/>
        </w:rPr>
      </w:pPr>
      <w:r>
        <w:rPr>
          <w:rFonts w:hint="eastAsia" w:ascii="仿宋" w:hAnsi="仿宋" w:eastAsia="仿宋"/>
          <w:b/>
        </w:rPr>
        <w:t>理财产品信息表</w:t>
      </w:r>
    </w:p>
    <w:tbl>
      <w:tblPr>
        <w:tblStyle w:val="25"/>
        <w:tblW w:w="8824" w:type="dxa"/>
        <w:tblInd w:w="0" w:type="dxa"/>
        <w:tblLayout w:type="fixed"/>
        <w:tblCellMar>
          <w:top w:w="0" w:type="dxa"/>
          <w:left w:w="108" w:type="dxa"/>
          <w:bottom w:w="0" w:type="dxa"/>
          <w:right w:w="108" w:type="dxa"/>
        </w:tblCellMar>
      </w:tblPr>
      <w:tblGrid>
        <w:gridCol w:w="1550"/>
        <w:gridCol w:w="1275"/>
        <w:gridCol w:w="853"/>
        <w:gridCol w:w="3683"/>
        <w:gridCol w:w="709"/>
        <w:gridCol w:w="754"/>
      </w:tblGrid>
      <w:tr>
        <w:tblPrEx>
          <w:tblCellMar>
            <w:top w:w="0" w:type="dxa"/>
            <w:left w:w="108" w:type="dxa"/>
            <w:bottom w:w="0" w:type="dxa"/>
            <w:right w:w="108" w:type="dxa"/>
          </w:tblCellMar>
        </w:tblPrEx>
        <w:trPr>
          <w:trHeight w:val="290" w:hRule="atLeast"/>
        </w:trPr>
        <w:tc>
          <w:tcPr>
            <w:tcW w:w="155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27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85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146"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57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LCCPXXB</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理财产品信息表</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C0</w:t>
            </w:r>
            <w:r>
              <w:rPr>
                <w:rFonts w:ascii="宋体" w:hAnsi="宋体" w:eastAsia="宋体" w:cs="宋体"/>
                <w:color w:val="000000"/>
                <w:kern w:val="0"/>
                <w:sz w:val="21"/>
                <w:szCs w:val="21"/>
              </w:rPr>
              <w:t>1</w:t>
            </w:r>
            <w:r>
              <w:rPr>
                <w:rFonts w:hint="eastAsia" w:ascii="宋体" w:hAnsi="宋体" w:eastAsia="宋体" w:cs="宋体"/>
                <w:color w:val="000000"/>
                <w:kern w:val="0"/>
                <w:sz w:val="21"/>
                <w:szCs w:val="21"/>
              </w:rPr>
              <w:t>0</w:t>
            </w:r>
            <w:r>
              <w:rPr>
                <w:rFonts w:ascii="宋体" w:hAnsi="宋体" w:eastAsia="宋体" w:cs="宋体"/>
                <w:color w:val="000000"/>
                <w:kern w:val="0"/>
                <w:sz w:val="21"/>
                <w:szCs w:val="21"/>
              </w:rPr>
              <w:t>7</w:t>
            </w:r>
          </w:p>
        </w:tc>
        <w:tc>
          <w:tcPr>
            <w:tcW w:w="5146"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本表报送保险集团（控股）公司持有的银行及银行理财子公司理财产品信息。</w:t>
            </w:r>
          </w:p>
        </w:tc>
      </w:tr>
      <w:tr>
        <w:tblPrEx>
          <w:tblCellMar>
            <w:top w:w="0" w:type="dxa"/>
            <w:left w:w="108" w:type="dxa"/>
            <w:bottom w:w="0" w:type="dxa"/>
            <w:right w:w="108" w:type="dxa"/>
          </w:tblCellMar>
        </w:tblPrEx>
        <w:trPr>
          <w:trHeight w:val="7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保险集团（控股）公司保险许可证号码</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JT_BXXKZHM</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001042</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中国银保监会统一设计和印制，授权给保险机构经营保险业务的许可证上记录的机构编码。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保险集团（控股）公司统一社会信用代码</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JT_TYSHXYDM</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001003</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7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保险集团（控股）公司名称</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JT_MC</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流水号</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LSH</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001001</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投资账户名称</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TZZHMC</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002021</w:t>
            </w:r>
          </w:p>
        </w:tc>
        <w:tc>
          <w:tcPr>
            <w:tcW w:w="3683" w:type="dxa"/>
            <w:tcBorders>
              <w:top w:val="nil"/>
              <w:left w:val="nil"/>
              <w:bottom w:val="single" w:color="auto" w:sz="8" w:space="0"/>
              <w:right w:val="single" w:color="auto" w:sz="8" w:space="0"/>
            </w:tcBorders>
            <w:shd w:val="clear" w:color="auto" w:fill="auto"/>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机构投资账户名称，应具有唯一标识。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投资账户代码</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TZZHDM</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002020</w:t>
            </w:r>
          </w:p>
        </w:tc>
        <w:tc>
          <w:tcPr>
            <w:tcW w:w="3683" w:type="dxa"/>
            <w:tcBorders>
              <w:top w:val="nil"/>
              <w:left w:val="nil"/>
              <w:bottom w:val="single" w:color="auto" w:sz="8" w:space="0"/>
              <w:right w:val="single" w:color="auto" w:sz="8" w:space="0"/>
            </w:tcBorders>
            <w:shd w:val="clear" w:color="auto" w:fill="auto"/>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机构投资账户代码，应具有唯一标识。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产品名称</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CPMC</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003017</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填写确权登记等有关机构登记的产品名称，若无填写合同上的产品名称。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产品代码</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CPDM</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003002</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填写确权登记等有关机构登记的产品代码，若无填写机构自定义代码。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产品起始日期</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CPQSRQ</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产品初始运作日期。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产品预计终止日期</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CPYJZZRQ</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产品预计终止日期。默认值99991231。</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发行方式</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FXFS</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003040</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枚举值为“公开；不公开”。</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运行方式</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YXFS</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003033</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枚举值为“开放式；封闭式”。</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产品发行人法定名称</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GL_CPFXRFDMC</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001015</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指产品说明书中登载的发行人全称。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产品发行人证件类型</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GL_CPFXRZJLX</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001019</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产品发行人证件类型，参照《业务代码表》中的“证件类型代码”，填报代码。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产品发行人证件号码</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GL_CPFXRZJHM</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001018</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产品发行人证件号码。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产品发行人证件到期日</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GL_CPFXRZJDQR</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产品发行人证件到期日。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发行人LEI编码</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FXRLEIBM</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001004</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填写发行人全球法人识别编码。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发行人所在地</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FXRSZD</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001017</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参照《业务代码表》中的“行政区划代码”，填报代码。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发行人类型</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FXRLX</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003078</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枚举值为“银行；银行理财子公司”。</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核算方式</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HSFS</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003014</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枚举值为“净值型；非净值型”。</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136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产品类型</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CPLX</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003018</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枚举值为“固定收益类；权益类；商品及金融衍生品类；混合类 ”。固定收益类：投资债权类资产的比例不低于80%；权益类：投资股权类资产的比例不低于80%；商品及金融衍生品类：投资商品及金融衍生品的比例不低于80%；混合类：投资债权类资产、股权类资产、商品及金融衍生品且任一资产的投资比例未达到前三类标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收益类型</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SYLX</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003064</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枚举值为“保本保收益类；保本浮动收益类；非保本浮动收益类；其他”。</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风险评级</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FXPJ</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003065</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根据《商业银行理财业务监督管理办法》第二十七条：理财产品风险评级结果应当以风险等级体现，由低到高至少包括一级至五级。枚举值为“一级；二级；三级；四级；五级”。</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资金投向</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ZJTX</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003053</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枚举值为“基础设施；工商企业；房地产；金融机构；证券类；其他”。</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结构化属性</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JGHSX</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003019</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枚举值为“分级；非分级”。</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结构化级别</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JGHJB</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003027</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“结构化属性”为“分级”时必填。参照《业务代码表》中的“产品分级类别代码”，填报代码。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交易结构描述</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JYJGMS</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003007</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交易结构文字描述。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预期收益率上限</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YQSYLSX</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001012</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填写持有人购买产品时持有人的预期收益率上限。不带百分号，按小数形式填写，保留小数点后6位，如3.1234%填写为0.031234。默认999999。</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预期收益率下限</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YQSYLXX</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001012</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填写持有人购买产品时持有人的预期收益率下限。不带百分号，按小数形式填写，保留小数点后6位，如3.1234%填写为0.031234。默认999999。</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成本</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CB</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初始投资总成本，单位：元。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单位净值</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DWJZ</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“核算方式”为“净值型”时必填。单位：元/份。</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市值</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SZ</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备注</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BZ</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003007</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填写其他需要报送的但是目前无法标准化的信息。</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持有状态</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CYZT</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003066</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枚举值为“持有；退出”。</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退出日期</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TCRQ</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产品退出日期。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实际收益率</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SJSYL</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001012</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“持有状态”选“退出”时必填。填写持有人退出时持有人实际收益率。不带百分号，按小数形式填写，保留小数点后6位，如3.1234%填写为0.031234。</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违约本息合计</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WYBXHJ</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截至本报送期末，发行人或融资主体发生违约本息合计，单位：元。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违约本金余额</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WYBJYE</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002022</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截至本报送期末，发行人或融资主体发生违约的本金，单位：元。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违约利息余额</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WYLXYE</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003012</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截至本报送期末，发行人或融资主体发生违约的利息，单位：元。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违约发生日期</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WYFSRQ</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产品违约日期。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采集日期</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CJRQ</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bl>
    <w:p>
      <w:pPr>
        <w:ind w:firstLine="0" w:firstLineChars="0"/>
      </w:pPr>
    </w:p>
    <w:p>
      <w:pPr>
        <w:keepNext/>
        <w:keepLines/>
        <w:numPr>
          <w:ilvl w:val="1"/>
          <w:numId w:val="19"/>
        </w:numPr>
        <w:ind w:firstLineChars="0"/>
        <w:outlineLvl w:val="3"/>
        <w:rPr>
          <w:rFonts w:ascii="仿宋" w:hAnsi="仿宋" w:eastAsia="仿宋"/>
          <w:b/>
        </w:rPr>
      </w:pPr>
      <w:r>
        <w:rPr>
          <w:rFonts w:hint="eastAsia" w:ascii="仿宋" w:hAnsi="仿宋" w:eastAsia="仿宋"/>
          <w:b/>
        </w:rPr>
        <w:t>证券公司专项资管计划信息表</w:t>
      </w:r>
    </w:p>
    <w:tbl>
      <w:tblPr>
        <w:tblStyle w:val="25"/>
        <w:tblW w:w="8824" w:type="dxa"/>
        <w:tblInd w:w="0" w:type="dxa"/>
        <w:tblLayout w:type="fixed"/>
        <w:tblCellMar>
          <w:top w:w="0" w:type="dxa"/>
          <w:left w:w="108" w:type="dxa"/>
          <w:bottom w:w="0" w:type="dxa"/>
          <w:right w:w="108" w:type="dxa"/>
        </w:tblCellMar>
      </w:tblPr>
      <w:tblGrid>
        <w:gridCol w:w="1691"/>
        <w:gridCol w:w="1701"/>
        <w:gridCol w:w="851"/>
        <w:gridCol w:w="3118"/>
        <w:gridCol w:w="709"/>
        <w:gridCol w:w="754"/>
      </w:tblGrid>
      <w:tr>
        <w:tblPrEx>
          <w:tblCellMar>
            <w:top w:w="0" w:type="dxa"/>
            <w:left w:w="108" w:type="dxa"/>
            <w:bottom w:w="0" w:type="dxa"/>
            <w:right w:w="108" w:type="dxa"/>
          </w:tblCellMar>
        </w:tblPrEx>
        <w:trPr>
          <w:trHeight w:val="290" w:hRule="atLeast"/>
        </w:trPr>
        <w:tc>
          <w:tcPr>
            <w:tcW w:w="16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701"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851"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458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57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ZQGSZXZGJHXXB</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bookmarkStart w:id="211" w:name="_Hlk85803944"/>
            <w:r>
              <w:rPr>
                <w:rFonts w:hint="eastAsia" w:ascii="宋体" w:hAnsi="宋体" w:eastAsia="宋体" w:cs="宋体"/>
                <w:color w:val="000000"/>
                <w:kern w:val="0"/>
                <w:sz w:val="21"/>
                <w:szCs w:val="21"/>
              </w:rPr>
              <w:t>证券公司专项资管计划信息表</w:t>
            </w:r>
            <w:bookmarkEnd w:id="211"/>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C0</w:t>
            </w:r>
            <w:r>
              <w:rPr>
                <w:rFonts w:ascii="宋体" w:hAnsi="宋体" w:eastAsia="宋体" w:cs="宋体"/>
                <w:color w:val="000000"/>
                <w:kern w:val="0"/>
                <w:sz w:val="21"/>
                <w:szCs w:val="21"/>
              </w:rPr>
              <w:t>1</w:t>
            </w:r>
            <w:r>
              <w:rPr>
                <w:rFonts w:hint="eastAsia" w:ascii="宋体" w:hAnsi="宋体" w:eastAsia="宋体" w:cs="宋体"/>
                <w:color w:val="000000"/>
                <w:kern w:val="0"/>
                <w:sz w:val="21"/>
                <w:szCs w:val="21"/>
              </w:rPr>
              <w:t>0</w:t>
            </w:r>
            <w:r>
              <w:rPr>
                <w:rFonts w:ascii="宋体" w:hAnsi="宋体" w:eastAsia="宋体" w:cs="宋体"/>
                <w:color w:val="000000"/>
                <w:kern w:val="0"/>
                <w:sz w:val="21"/>
                <w:szCs w:val="21"/>
              </w:rPr>
              <w:t>8</w:t>
            </w:r>
          </w:p>
        </w:tc>
        <w:tc>
          <w:tcPr>
            <w:tcW w:w="458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本表报送保险集团（控股）公司持有证券公司专项资管计划信息。</w:t>
            </w:r>
          </w:p>
        </w:tc>
      </w:tr>
      <w:tr>
        <w:tblPrEx>
          <w:tblCellMar>
            <w:top w:w="0" w:type="dxa"/>
            <w:left w:w="108" w:type="dxa"/>
            <w:bottom w:w="0" w:type="dxa"/>
            <w:right w:w="108" w:type="dxa"/>
          </w:tblCellMar>
        </w:tblPrEx>
        <w:trPr>
          <w:trHeight w:val="79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rPr>
          <w:trHeight w:val="55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保险集团（控股）公司保险许可证号码</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JT_BXXKZHM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001042</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中国银保监会统一设计和印制，授权给保险机构经营保险业务的许可证上记录的机构编码。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保险集团（控股）公司统一社会信用代码</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JT_TYSHXYDM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001003</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79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保险集团（控股）公司名称</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流水号</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LSH</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001001</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rPr>
          <w:trHeight w:val="29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投资账户名称</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TZZHMC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002021</w:t>
            </w:r>
          </w:p>
        </w:tc>
        <w:tc>
          <w:tcPr>
            <w:tcW w:w="3118" w:type="dxa"/>
            <w:tcBorders>
              <w:top w:val="nil"/>
              <w:left w:val="nil"/>
              <w:bottom w:val="single" w:color="auto" w:sz="8" w:space="0"/>
              <w:right w:val="single" w:color="auto" w:sz="8" w:space="0"/>
            </w:tcBorders>
            <w:shd w:val="clear" w:color="auto" w:fill="auto"/>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机构投资账户名称，应具有唯一标识。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投资账户代码</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TZZHDM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002020</w:t>
            </w:r>
          </w:p>
        </w:tc>
        <w:tc>
          <w:tcPr>
            <w:tcW w:w="3118" w:type="dxa"/>
            <w:tcBorders>
              <w:top w:val="nil"/>
              <w:left w:val="nil"/>
              <w:bottom w:val="single" w:color="auto" w:sz="8" w:space="0"/>
              <w:right w:val="single" w:color="auto" w:sz="8" w:space="0"/>
            </w:tcBorders>
            <w:shd w:val="clear" w:color="auto" w:fill="auto"/>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机构投资账户代码，应具有唯一标识。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产品名称</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CPMC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003017</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填写确权登记等有关机构登记的产品名称，若无填写合同上的产品名称。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产品代码</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CPDM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003002</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填写确权登记等有关机构登记的产品代码，若无填写机构自定义代码。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rPr>
          <w:trHeight w:val="29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持有余额</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CYYE</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002022</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投资人持有余额，单位：元。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产品管理人法定名称</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GL_CPGLRFDMC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产品管理人法定名称。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产品管理人证件类型</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GL_CPGLRZJLX</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001019</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产品管理人证件类型，参照《业务代码表》中的“证件类型代码”，填报代码。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产品管理人证件号码</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GL_CPGLRZJHM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001018</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产品管理人证件号码。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rPr>
          <w:trHeight w:val="55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产品管理人证件到期日</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GL_CPGLRZJDQR</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产品管理人证件到期日。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产品管理人LEI编码</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CPGLRLEIBM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001004</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填写产品管理人全球法人识别编码。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原始权益人</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YSQYR</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001015</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原始权益人全称。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基础资产名称</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JCZCMC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003008</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基础资产全称。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rPr>
          <w:trHeight w:val="29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基础资产类别</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JCZCLB</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003030</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枚举值为“单一项目；一组项目”。</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基础资产类型</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JCZCLX</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003034</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枚举值为“融资租赁；金融租赁；保理债权；小额贷款；应收账款；基础设施收费权；重组债权；股权；供应链资产；信托资产；保单；其他”，可多选。</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产品份额起息日</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CPFEQXR</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产品募集份额起息日期。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产品预计到期日期</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CPYJDQRQ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产品预计到期日期。若没有则填写99991231。</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rPr>
          <w:trHeight w:val="29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是否含权</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SFHQ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001010</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参照《业务代码表》中的“是否判断代码”，填报代码。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含权结构</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HQJG</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003022</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“是否含权”为“是”时必填。描述含权期限结构，例如：a+b、a+b+c。</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选择权类型</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XZQLX</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003023</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“是否含权”为“是”时必填。填写选择权类型。包括：投资人选择权；融资人选择权；双向选择权。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外部信用评级</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WBXYPJ</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003041</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参照《业务代码表》中的“信用评级等级代码”，填报代码。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rPr>
          <w:trHeight w:val="29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外部评级机构</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WBPJJG</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评级机构名称。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资金运用</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ZJYY</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003067</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文字描述，如用于某项目或投资某企业债。</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所属分级</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SSFJ</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003027</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参照《业务代码表》中的“产品分级类别代码”，填报代码。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级别细分</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JBXF</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002011</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当同一分级中存在进一步分级情况时，描述具体所属级别，例如：优先A-1、优先A-2等。</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rPr>
          <w:trHeight w:val="55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证券持有人预期收益形式</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ZQCYRYQSYXS</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003042</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枚举值为“固定费率；固定费用；浮动费率；其他费率”。</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证券持有人预期收益率</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ZQCYRYQSYL</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001012</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填写年化费率，填数字，不填百分比，最少保留四位小数，比如12.34%填写为0.1234。如无法计算预期收益率，选填“99999”。</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证券持有人预期收益描述</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ZQCYRYQSYMS</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003007</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按产品合同约定的证券持有人预期收益率情况填写。</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利率类型</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LLLX</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003061</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枚举值为“浮动；固定；结构化；其他”。</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rPr>
          <w:trHeight w:val="29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利率浮动形式</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LLFDXS</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003068</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枚举值为“即时；按月；按季度；按年”。</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还本付息方式</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HBFXFS</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003024</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参照《业务代码表》中的“还本付息方式代码”，填报代码。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付息周期</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FXZQ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003025</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枚举值为“按月；按季；按半年；按年；其他”。</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持有状态</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CYZT</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003066</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枚举值为“持有；退出”。</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rPr>
          <w:trHeight w:val="29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退出日期</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TCRQ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“持有状态”为“退出”时必填。填写产品退出日期。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实际收益率</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SJSYL</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001012</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“持有状态”为“退出”时必填。填写持有人退出时持有人实际收益率。按不带百分号，按小数形式填写，保留小数点后6位，如3.1234%填写为0.031234。</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违约本息合计</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WYBXHJ</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截至本报送期末，发行人或融资主体发生违约本息合计，单位：元。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违约本金余额</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WYBJYE</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002022</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截至本报送期末，发行人或融资主体发生违约的本金，单位：元。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rPr>
          <w:trHeight w:val="29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违约利息余额</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WYLXYE</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003012</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截至本报送期末，发行人或融资主体发生违约的利息，单位：元。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违约发生日期</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WYFSRQ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产品违约日期。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采集日期</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CJRQ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bl>
    <w:p>
      <w:pPr>
        <w:ind w:firstLine="0" w:firstLineChars="0"/>
      </w:pPr>
    </w:p>
    <w:p>
      <w:pPr>
        <w:keepNext/>
        <w:keepLines/>
        <w:numPr>
          <w:ilvl w:val="1"/>
          <w:numId w:val="20"/>
        </w:numPr>
        <w:ind w:firstLineChars="0"/>
        <w:outlineLvl w:val="3"/>
        <w:rPr>
          <w:rFonts w:ascii="仿宋" w:hAnsi="仿宋" w:eastAsia="仿宋"/>
          <w:b/>
        </w:rPr>
      </w:pPr>
      <w:r>
        <w:rPr>
          <w:rFonts w:hint="eastAsia" w:ascii="仿宋" w:hAnsi="仿宋" w:eastAsia="仿宋"/>
          <w:b/>
        </w:rPr>
        <w:t>信贷资产支持证券信息表</w:t>
      </w:r>
    </w:p>
    <w:tbl>
      <w:tblPr>
        <w:tblStyle w:val="25"/>
        <w:tblW w:w="8824" w:type="dxa"/>
        <w:tblInd w:w="0" w:type="dxa"/>
        <w:tblLayout w:type="fixed"/>
        <w:tblCellMar>
          <w:top w:w="0" w:type="dxa"/>
          <w:left w:w="108" w:type="dxa"/>
          <w:bottom w:w="0" w:type="dxa"/>
          <w:right w:w="108" w:type="dxa"/>
        </w:tblCellMar>
      </w:tblPr>
      <w:tblGrid>
        <w:gridCol w:w="1549"/>
        <w:gridCol w:w="1558"/>
        <w:gridCol w:w="851"/>
        <w:gridCol w:w="3403"/>
        <w:gridCol w:w="709"/>
        <w:gridCol w:w="754"/>
      </w:tblGrid>
      <w:tr>
        <w:tblPrEx>
          <w:tblCellMar>
            <w:top w:w="0" w:type="dxa"/>
            <w:left w:w="108" w:type="dxa"/>
            <w:bottom w:w="0" w:type="dxa"/>
            <w:right w:w="108" w:type="dxa"/>
          </w:tblCellMar>
        </w:tblPrEx>
        <w:trPr>
          <w:trHeight w:val="290" w:hRule="atLeast"/>
        </w:trPr>
        <w:tc>
          <w:tcPr>
            <w:tcW w:w="15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55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851"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4866"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57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XDZCZCZQXXB</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信贷资产支持证券信息表</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C0</w:t>
            </w:r>
            <w:r>
              <w:rPr>
                <w:rFonts w:ascii="宋体" w:hAnsi="宋体" w:eastAsia="宋体" w:cs="宋体"/>
                <w:color w:val="000000"/>
                <w:kern w:val="0"/>
                <w:sz w:val="21"/>
                <w:szCs w:val="21"/>
              </w:rPr>
              <w:t>1</w:t>
            </w:r>
            <w:r>
              <w:rPr>
                <w:rFonts w:hint="eastAsia" w:ascii="宋体" w:hAnsi="宋体" w:eastAsia="宋体" w:cs="宋体"/>
                <w:color w:val="000000"/>
                <w:kern w:val="0"/>
                <w:sz w:val="21"/>
                <w:szCs w:val="21"/>
              </w:rPr>
              <w:t>0</w:t>
            </w:r>
            <w:r>
              <w:rPr>
                <w:rFonts w:ascii="宋体" w:hAnsi="宋体" w:eastAsia="宋体" w:cs="宋体"/>
                <w:color w:val="000000"/>
                <w:kern w:val="0"/>
                <w:sz w:val="21"/>
                <w:szCs w:val="21"/>
              </w:rPr>
              <w:t>9</w:t>
            </w:r>
          </w:p>
        </w:tc>
        <w:tc>
          <w:tcPr>
            <w:tcW w:w="4866"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本表报送保险集团（控股）公司持有信贷资产支持证券信息。</w:t>
            </w:r>
          </w:p>
        </w:tc>
      </w:tr>
      <w:tr>
        <w:tblPrEx>
          <w:tblCellMar>
            <w:top w:w="0" w:type="dxa"/>
            <w:left w:w="108" w:type="dxa"/>
            <w:bottom w:w="0" w:type="dxa"/>
            <w:right w:w="108" w:type="dxa"/>
          </w:tblCellMar>
        </w:tblPrEx>
        <w:trPr>
          <w:trHeight w:val="7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保险集团（控股）公司保险许可证号码</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JT_BXXKZHM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中国银保监会统一设计和印制，授权给保险机构经营保险业务的许可证上记录的机构编码。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保险集团（控股）公司统一社会信用代码</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JT_TYSHXYDM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7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保险集团（控股）公司名称</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流水号</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LSH</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001001</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投资账户名称</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TZZHMC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002021</w:t>
            </w:r>
          </w:p>
        </w:tc>
        <w:tc>
          <w:tcPr>
            <w:tcW w:w="3403" w:type="dxa"/>
            <w:tcBorders>
              <w:top w:val="nil"/>
              <w:left w:val="nil"/>
              <w:bottom w:val="single" w:color="auto" w:sz="8" w:space="0"/>
              <w:right w:val="single" w:color="auto" w:sz="8" w:space="0"/>
            </w:tcBorders>
            <w:shd w:val="clear" w:color="auto" w:fill="auto"/>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机构投资账户名称，应具有唯一标识。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投资账户代码</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TZZHDM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002020</w:t>
            </w:r>
          </w:p>
        </w:tc>
        <w:tc>
          <w:tcPr>
            <w:tcW w:w="3403" w:type="dxa"/>
            <w:tcBorders>
              <w:top w:val="nil"/>
              <w:left w:val="nil"/>
              <w:bottom w:val="single" w:color="auto" w:sz="8" w:space="0"/>
              <w:right w:val="single" w:color="auto" w:sz="8" w:space="0"/>
            </w:tcBorders>
            <w:shd w:val="clear" w:color="auto" w:fill="auto"/>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机构投资账户代码，应具有唯一标识。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产品名称</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CPMC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003017</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填写确权登记等有关机构登记的产品名称，若无填写合同上的产品名称。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产品代码</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CPDM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003002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填写确权登记等有关机构登记的产品代码，若无填写机构自定义代码。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持有余额</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CYYE</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投资人持有余额，单位：元。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受托机构法定名称</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GL_STJGFDMC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受托机构法定名称。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受托机构证件类型</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GL_STJGZJLX</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001019</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受托机构证件类型，参照《业务代码表》中的“证件类型代码”，填报代码。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受托机构证件号码</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GL_STJGZJHM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001018</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受托机构证件号码。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受托机构证件到期日</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GL_STJGZJDQR</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受托机构证件到期日。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受托机构LEI编码</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STJGLEIBM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001004</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填写受托机构全球法人识别编码。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发起机构法定名称</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GL_FQJGFDMC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发起机构法定名称。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发起机构证件类型</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GL_FQJGZJLX</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001019</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发起机构证件类型，参照《业务代码表》中的“证件类型代码”，填报代码。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发起机构证件号码</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GL_FQJGZJHM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001018</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发起机构证件号码。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发起机构证件到期日</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GL_FQJGZJDQR</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发起机构证件到期日。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基础资产名称</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JCZCMC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003008</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基础资产全称。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基础资产类别</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JCZCLB</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003030</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枚举值为“单一项目；一组项目”。</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基础资产类型</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JCZCLX</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003035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枚举值为“企业贷款；汽车贷款；个人住房抵押贷款；其他”，可多选。</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产品份额起息日</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CPFEQXR</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产品募集份额起息日期。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产品预计到期日期</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CPYJDQRQ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产品预计到期日期。若没有则填写99991231。</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是否含权</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SFHQ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001010</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参照《业务代码表》中的“是否判断代码”，填报代码。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含权结构</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HQJG</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003022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“是否含权”为“是”时必填。描述含权期限结构，例如：a+b、a+b+c。</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选择权类型</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XZQLX</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003023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“是否含权”为“是”时必填。填写选择权类型。包括：投资人选择权；融资人选择权；双向选择权。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资金运用</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ZJYY</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003067</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文字描述，如用于某项目或投资某企业债。</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所属分级</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SSFJ</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003027</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参照《业务代码表》中的“产品分级类别代码”，填报代码。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级别细分</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JBXF</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002011</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当同一分级中存在进一步分级情况时，描述具体所属级别，例如：优先A-1、优先A-2等。</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外部信用评级</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WBXYPJ</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003041</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优先填写持有级别的信用评级。参照《业务代码表》中的“信用评级等级代码”，填报代码。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外部评级机构</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WBPJJG</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评级机构名称。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证券持有人预期收益形式</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ZQCYRYQSYXS</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003042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枚举值为“固定费率；固定费用；浮动费率；其他费率”。</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证券持有人预期收益率</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ZQCYRYQSYL</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填写年化费率，填数字，不填百分比，最少保留四位小数，比如12.34%填写为0.1234。如无法计算预期收益率，选填“99999”。</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证券持有人预期收益描述</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ZQCYRYQSYMS</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003007</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按产品合同约定的证券持有人预期收益率情况填写。</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持有状态</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CYZT</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003066</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枚举值为“持有；退出”。</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退出日期</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TCRQ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“持有状态”为“退出”时必填。产品退出日期。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实际收益率</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SJSYL</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“持有状态”为“退出”时必填。填写持有人退出时持有人实际收益率。不带百分号，按小数形式填写，保留小数点后6位，如3.1234%填写为0.031234。</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违约本息合计</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WYBXHJ</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截至本报送期末，发行人或融资主体发生违约本息合计，单位：元。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违约本金余额</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WYBJYE</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截至本报送期末，发行人或融资主体发生违约的本金，单位：元。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违约利息余额</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WYLXYE</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003012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截至本报送期末，发行人或融资主体发生违约的利息，单位：元。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违约发生日期</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WYFSRQ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产品违约日期。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采集日期</w:t>
            </w:r>
          </w:p>
        </w:tc>
        <w:tc>
          <w:tcPr>
            <w:tcW w:w="155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CJRQ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bl>
    <w:p>
      <w:pPr>
        <w:ind w:firstLine="0" w:firstLineChars="0"/>
      </w:pPr>
    </w:p>
    <w:p>
      <w:pPr>
        <w:keepNext/>
        <w:keepLines/>
        <w:numPr>
          <w:ilvl w:val="1"/>
          <w:numId w:val="21"/>
        </w:numPr>
        <w:ind w:firstLineChars="0"/>
        <w:outlineLvl w:val="3"/>
        <w:rPr>
          <w:rFonts w:ascii="仿宋" w:hAnsi="仿宋" w:eastAsia="仿宋"/>
          <w:b/>
        </w:rPr>
      </w:pPr>
      <w:r>
        <w:rPr>
          <w:rFonts w:hint="eastAsia" w:ascii="仿宋" w:hAnsi="仿宋" w:eastAsia="仿宋"/>
          <w:b/>
        </w:rPr>
        <w:t>直接股权投资信息表</w:t>
      </w:r>
    </w:p>
    <w:tbl>
      <w:tblPr>
        <w:tblStyle w:val="25"/>
        <w:tblW w:w="8824" w:type="dxa"/>
        <w:tblInd w:w="0" w:type="dxa"/>
        <w:tblLayout w:type="fixed"/>
        <w:tblCellMar>
          <w:top w:w="0" w:type="dxa"/>
          <w:left w:w="108" w:type="dxa"/>
          <w:bottom w:w="0" w:type="dxa"/>
          <w:right w:w="108" w:type="dxa"/>
        </w:tblCellMar>
      </w:tblPr>
      <w:tblGrid>
        <w:gridCol w:w="1551"/>
        <w:gridCol w:w="1274"/>
        <w:gridCol w:w="851"/>
        <w:gridCol w:w="3685"/>
        <w:gridCol w:w="709"/>
        <w:gridCol w:w="754"/>
      </w:tblGrid>
      <w:tr>
        <w:tblPrEx>
          <w:tblCellMar>
            <w:top w:w="0" w:type="dxa"/>
            <w:left w:w="108" w:type="dxa"/>
            <w:bottom w:w="0" w:type="dxa"/>
            <w:right w:w="108" w:type="dxa"/>
          </w:tblCellMar>
        </w:tblPrEx>
        <w:trPr>
          <w:trHeight w:val="290" w:hRule="atLeast"/>
        </w:trPr>
        <w:tc>
          <w:tcPr>
            <w:tcW w:w="155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27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851"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14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57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ZJGQTZXXB</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直接股权投资信息表</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C0</w:t>
            </w:r>
            <w:r>
              <w:rPr>
                <w:rFonts w:ascii="宋体" w:hAnsi="宋体" w:eastAsia="宋体" w:cs="宋体"/>
                <w:color w:val="000000"/>
                <w:kern w:val="0"/>
                <w:sz w:val="21"/>
                <w:szCs w:val="21"/>
              </w:rPr>
              <w:t>110</w:t>
            </w:r>
          </w:p>
        </w:tc>
        <w:tc>
          <w:tcPr>
            <w:tcW w:w="514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本表报送保险集团（控股）公司持有未上市企业的直接股权投资相关信息。</w:t>
            </w:r>
          </w:p>
        </w:tc>
      </w:tr>
      <w:tr>
        <w:tblPrEx>
          <w:tblCellMar>
            <w:top w:w="0" w:type="dxa"/>
            <w:left w:w="108" w:type="dxa"/>
            <w:bottom w:w="0" w:type="dxa"/>
            <w:right w:w="108" w:type="dxa"/>
          </w:tblCellMar>
        </w:tblPrEx>
        <w:trPr>
          <w:trHeight w:val="79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rPr>
          <w:trHeight w:val="55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保险集团（控股）公司保险许可证号码</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JT_BXXKZHM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001042</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中国银保监会统一设计和印制，授权给保险机构经营保险业务的许可证上记录的机构编码。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保险集团（控股）公司统一社会信用代码</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JT_TYSHXYDM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001003</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79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保险集团（控股）公司名称</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流水号</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LSH</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001001</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rPr>
          <w:trHeight w:val="29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投资账户名称</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TZZHMC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002021</w:t>
            </w:r>
          </w:p>
        </w:tc>
        <w:tc>
          <w:tcPr>
            <w:tcW w:w="3685" w:type="dxa"/>
            <w:tcBorders>
              <w:top w:val="nil"/>
              <w:left w:val="nil"/>
              <w:bottom w:val="single" w:color="auto" w:sz="8" w:space="0"/>
              <w:right w:val="single" w:color="auto" w:sz="8" w:space="0"/>
            </w:tcBorders>
            <w:shd w:val="clear" w:color="auto" w:fill="auto"/>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机构投资账户名称，应具有唯一标识。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投资账户代码</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TZZHDM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002020</w:t>
            </w:r>
          </w:p>
        </w:tc>
        <w:tc>
          <w:tcPr>
            <w:tcW w:w="3685" w:type="dxa"/>
            <w:tcBorders>
              <w:top w:val="nil"/>
              <w:left w:val="nil"/>
              <w:bottom w:val="single" w:color="auto" w:sz="8" w:space="0"/>
              <w:right w:val="single" w:color="auto" w:sz="8" w:space="0"/>
            </w:tcBorders>
            <w:shd w:val="clear" w:color="auto" w:fill="auto"/>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机构投资账户代码，应具有唯一标识。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9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资产名称</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ZCMC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003008</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填写确权登记等有关机构登记的资产名称，若无填写合同上的资产名称。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资产代码</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ZCDM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003002</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填写确权登记等有关机构登记的资产代码，若无填写机构自定义代码。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rPr>
          <w:trHeight w:val="55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是否属于重大股权投资</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SFSYZDGQTZ</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001010</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重大股权投资指对拟投资企业实施控制的投资行为。参照《业务代码表》中的“是否判断代码”，填报代码。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是 </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是否属于关联交易</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SFSYGLJY</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001010</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投资前与标的企业是否存在关联方关系。参照《业务代码表》中的“是否判断代码”，填报代码。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是 </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是否派驻人员</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SFPZRY</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001010</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是否选派董事、监事或重要岗位人员。参照《业务代码表》中的“是否判断代码”，填报代码。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是 </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派驻人员情况</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PZRYQK</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002011</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填写派出的股东代表、董事、监事、高管的姓名及岗位。</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rPr>
          <w:trHeight w:val="55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标的企业法定名称</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GL_BDQYFDMC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名称应与营业执照上所使用的名称完全一致。如暂未取得营业执照，机构可自行定义。</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标的企业证件类型</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GL_BDQYZJLX</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001019</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标的企业证件类型，参照《业务代码表》中的“证件类型代码”，填报代码。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标的企业证件号码</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GL_BDQYZJHM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001018</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标的企业证件号码。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标的企业证件到期日</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GL_BDQYZJDQR</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标的企业证件到期日。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rPr>
          <w:trHeight w:val="29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标的企业LEI编码</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BDQYLEIBM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001004</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填写标的企业全球法人识别编码。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境内外标识</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JNWBS</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002017</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填报境内外标识。参照《业务代码表》中的“境内外标识代码”，填报代码。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标的企业所属地区</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BDQYSSDQ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001017</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参照《业务代码表》中的“行政区划代码”，填报代码。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标的企业控股股东性质</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BDQYKGGDXZ</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003070</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枚举值为“中央国有企业，地方国有企业，民营企业，外资企业，公众公司，其他”。</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rPr>
          <w:trHeight w:val="55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标的企业类型</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BDQYLX</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003071</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枚举值为“保险类企业；非保险类金融企业；能源企业；资源企业；保险业务相关企业；其他”。</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标的企业所属行业</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BDQYSSHY</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001024</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参照《业务代码表》中的“行业类型代码”，填报代码。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政策标签</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ZCBQ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003028</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参照《业务代码表》中的“政策标签代码”，填报代码。可多选，如存在多个标签，以“;”隔开。如为其他，需在备注里描述。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总资产</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ZZC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若金额涉及到外币，由机构自行转换成人民币进行填报。单位：元。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rPr>
          <w:trHeight w:val="29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净资产</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JZC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若金额涉及到外币，由机构自行转换成人民币进行填报。单位：元。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累计营业收入</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LJYYSR</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若金额涉及到外币，由机构自行转换成人民币进行填报。单位：元。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累计净利润</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LJJLR</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若金额涉及到外币，由机构自行转换成人民币进行填报。单位：元。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初始投资日期</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CSTZRQ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以投资合同中初始投资日期为准。如合同未约定初始投资日期，以首笔出资支付日期为准。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rPr>
          <w:trHeight w:val="55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标的企业估值</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BDQYGZ</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投资时点标的企业估值。若金额涉及到外币，由机构自行转换成人民币进行填报。单位：元。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初始持股占比</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CSCGZB</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001049</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初始持股占比，填数字，不填百分比，最少保留两位小数，比如12.34%填写为12.34。</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控股方式</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KGFS</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003081</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枚举值为“绝对控股，相对控股，协议控股，其他，非控股”。</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投资币种</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TZBZ</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002001</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参照《业务代码表》中的“币种代码”，填报代码。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rPr>
          <w:trHeight w:val="29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初始投资金额</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CSTZJE</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若金额涉及到外币，由机构自行转换成人民币进行填报。单位：元。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累计投资金额</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LJTZJE</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若金额涉及到外币，由机构自行转换成人民币进行填报。单位：元。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是 </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期末投资账面余额</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QMTZZMYE</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002022</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若金额涉及到外币，由机构自行转换成人民币进行填报。单位：元。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是 </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期末投资账面价值</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QMTZZMJZ</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002022</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若金额涉及到外币，由机构自行转换成人民币进行填报。单位：元。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rPr>
          <w:trHeight w:val="55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期末最新持股占比</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QMZXCGZB</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001049</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数据填报口径为截至报送日上月月末数据，填数字，不填百分比，最少保留两位小数，比如12.34%填写为12.34。</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是 </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1" w:type="dxa"/>
            <w:tcBorders>
              <w:top w:val="nil"/>
              <w:left w:val="single" w:color="auto" w:sz="8" w:space="0"/>
              <w:bottom w:val="single" w:color="auto" w:sz="8" w:space="0"/>
              <w:right w:val="single" w:color="auto" w:sz="8" w:space="0"/>
            </w:tcBorders>
            <w:shd w:val="clear" w:color="auto" w:fill="auto"/>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投资以来累计实现收益</w:t>
            </w:r>
          </w:p>
        </w:tc>
        <w:tc>
          <w:tcPr>
            <w:tcW w:w="1274" w:type="dxa"/>
            <w:tcBorders>
              <w:top w:val="nil"/>
              <w:left w:val="nil"/>
              <w:bottom w:val="single" w:color="auto" w:sz="8" w:space="0"/>
              <w:right w:val="single" w:color="auto" w:sz="8" w:space="0"/>
            </w:tcBorders>
            <w:shd w:val="clear" w:color="auto" w:fill="auto"/>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TZYLLJSXSY</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数据填报口径为截至报送日上月月末数据，单位：元。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当年收益率</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DNSYL</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001012</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当年以来的收益率，需年化。填数字，不填百分比，最少保留四位小数，比如12.34%填写为0.1234。默认值99999。</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是 </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累计收益率</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LJSYL</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001012</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投资以来的累计收益率，填数字，不填百分比，最少保留四位小数，比如12.34%填写为0.1234。默认值99999。</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是 </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rPr>
          <w:trHeight w:val="29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是否退出</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SFTC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001010</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参照《业务代码表》中的“是否判断代码”，填报代码。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退出日期</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TCRQ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“是否退出”为“是”时必填。填写退出日期。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退出方式</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TCFS</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003029</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“是否退出”为“是”时必填。填写退出方式。包括：回购；清算；转让第三方；IPO；并购；其他。</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备注</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BZ</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003007</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填写其他需要报送的但是目前无法标准化的信息。</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rPr>
          <w:trHeight w:val="820" w:hRule="atLeast"/>
        </w:trPr>
        <w:tc>
          <w:tcPr>
            <w:tcW w:w="155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采集日期</w:t>
            </w:r>
          </w:p>
        </w:tc>
        <w:tc>
          <w:tcPr>
            <w:tcW w:w="127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CJRQ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bl>
    <w:p>
      <w:pPr>
        <w:ind w:firstLine="0" w:firstLineChars="0"/>
      </w:pPr>
    </w:p>
    <w:p>
      <w:pPr>
        <w:keepNext/>
        <w:keepLines/>
        <w:numPr>
          <w:ilvl w:val="1"/>
          <w:numId w:val="22"/>
        </w:numPr>
        <w:ind w:firstLineChars="0"/>
        <w:outlineLvl w:val="3"/>
        <w:rPr>
          <w:rFonts w:ascii="仿宋" w:hAnsi="仿宋" w:eastAsia="仿宋"/>
          <w:b/>
        </w:rPr>
      </w:pPr>
      <w:r>
        <w:rPr>
          <w:rFonts w:hint="eastAsia" w:ascii="仿宋" w:hAnsi="仿宋" w:eastAsia="仿宋"/>
          <w:b/>
        </w:rPr>
        <w:t>私募投资基金信息表</w:t>
      </w:r>
    </w:p>
    <w:tbl>
      <w:tblPr>
        <w:tblStyle w:val="25"/>
        <w:tblW w:w="8824" w:type="dxa"/>
        <w:tblInd w:w="0" w:type="dxa"/>
        <w:tblLayout w:type="fixed"/>
        <w:tblCellMar>
          <w:top w:w="0" w:type="dxa"/>
          <w:left w:w="108" w:type="dxa"/>
          <w:bottom w:w="0" w:type="dxa"/>
          <w:right w:w="108" w:type="dxa"/>
        </w:tblCellMar>
      </w:tblPr>
      <w:tblGrid>
        <w:gridCol w:w="1550"/>
        <w:gridCol w:w="1275"/>
        <w:gridCol w:w="853"/>
        <w:gridCol w:w="3683"/>
        <w:gridCol w:w="709"/>
        <w:gridCol w:w="754"/>
      </w:tblGrid>
      <w:tr>
        <w:tblPrEx>
          <w:tblCellMar>
            <w:top w:w="0" w:type="dxa"/>
            <w:left w:w="108" w:type="dxa"/>
            <w:bottom w:w="0" w:type="dxa"/>
            <w:right w:w="108" w:type="dxa"/>
          </w:tblCellMar>
        </w:tblPrEx>
        <w:trPr>
          <w:trHeight w:val="290" w:hRule="atLeast"/>
        </w:trPr>
        <w:tc>
          <w:tcPr>
            <w:tcW w:w="155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27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85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146"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57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SMTZJJXXB</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私募投资基金信息表</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C0</w:t>
            </w:r>
            <w:r>
              <w:rPr>
                <w:rFonts w:ascii="宋体" w:hAnsi="宋体" w:eastAsia="宋体" w:cs="宋体"/>
                <w:color w:val="000000"/>
                <w:kern w:val="0"/>
                <w:sz w:val="21"/>
                <w:szCs w:val="21"/>
              </w:rPr>
              <w:t>111</w:t>
            </w:r>
          </w:p>
        </w:tc>
        <w:tc>
          <w:tcPr>
            <w:tcW w:w="5146"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本表报送保险集团（控股）公司持有私募投资基金相关信息。</w:t>
            </w:r>
          </w:p>
        </w:tc>
      </w:tr>
      <w:tr>
        <w:tblPrEx>
          <w:tblCellMar>
            <w:top w:w="0" w:type="dxa"/>
            <w:left w:w="108" w:type="dxa"/>
            <w:bottom w:w="0" w:type="dxa"/>
            <w:right w:w="108" w:type="dxa"/>
          </w:tblCellMar>
        </w:tblPrEx>
        <w:trPr>
          <w:trHeight w:val="7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保险集团（控股）公司保险许可证号码</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JT_BXXKZHM</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001042</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中国银保监会统一设计和印制，授权给保险机构经营保险业务的许可证上记录的机构编码。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保险集团（控股）公司统一社会信用代码</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JT_TYSHXYDM</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001003</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7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保险集团（控股）公司名称</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JT_MC</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流水号</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LSH</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001001</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投资账户名称</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TZZHMC</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002021</w:t>
            </w:r>
          </w:p>
        </w:tc>
        <w:tc>
          <w:tcPr>
            <w:tcW w:w="3683" w:type="dxa"/>
            <w:tcBorders>
              <w:top w:val="nil"/>
              <w:left w:val="nil"/>
              <w:bottom w:val="single" w:color="auto" w:sz="8" w:space="0"/>
              <w:right w:val="single" w:color="auto" w:sz="8" w:space="0"/>
            </w:tcBorders>
            <w:shd w:val="clear" w:color="auto" w:fill="auto"/>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机构投资账户名称，应具有唯一标识。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投资账户代码</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TZZHDM</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002020</w:t>
            </w:r>
          </w:p>
        </w:tc>
        <w:tc>
          <w:tcPr>
            <w:tcW w:w="3683" w:type="dxa"/>
            <w:tcBorders>
              <w:top w:val="nil"/>
              <w:left w:val="nil"/>
              <w:bottom w:val="single" w:color="auto" w:sz="8" w:space="0"/>
              <w:right w:val="single" w:color="auto" w:sz="8" w:space="0"/>
            </w:tcBorders>
            <w:shd w:val="clear" w:color="auto" w:fill="auto"/>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机构投资账户代码，应具有唯一标识。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资产名称</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ZCMC</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003008</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填写确权登记等有关机构登记的资产名称，或有关机构备案名称。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资产代码</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ZCDM</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003002</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填写确权登记等有关机构登记的资产代码，或有关机构备案编码，若无填写机构自定义代码。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投资期期限</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TZQQX</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003020</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填写基金投资期期限。</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退出期期限</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TCQQX</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003020</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填写基金退出期期限，期限单位需与投资期期限相同。</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期限单位</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QXDW</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003021</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填写基金期限单位。枚举值为“日；月；年”。</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10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管理方式</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GLFS</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003052</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基金管理方式。枚举值为“参与；实际控制”。参与是指仅作为基金的出资人，不实际控制基金管理人；实际控制是指为基金管理人的第一大股东或出资人，并通过投资关系、协议或者其他安排，能够实际支配基金管理人行为。</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基金组织形式</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JJZZXS</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003031</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填写基金组织形式。枚举值为“公司型；契约型；合伙型；其他”。</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境内外标识</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JNWBS</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002017</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基金境内外标识。参照《业务代码表》中的“境内外标识代码”，填报代码。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成立日期</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CLRQ</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填写基金成立日期。以基金在有关部门登记注册的日期为准。如无法获取，以合同签署日期为准。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到期日期</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DQRQ</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填写基金到期日期。以投资合同中到期日期为准。如未到期，填写默认值99991231。</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普通合伙人法定名称</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GL_PTHHRFDMC</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001015</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普通合伙人全称。“基金组织形式”为“合伙型”时必填。</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普通合伙人证件类型</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GL_PTHHRZJLX</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001019</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普通合伙人证件类型。“基金组织形式”为“合伙型”时必填。参照《业务代码表》中的“证件类型代码”，填报代码。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普通合伙人证件号码</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GL_PTHHRZJHM</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001018</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普通合伙人证件号码。“基金组织形式”为“合伙型”时必填。</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普通合伙人证件到期日</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GL_PTHHRZJDQR</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普通合伙人证件到期日。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普通合伙人LEI编码</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PTHHRLEIBM</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001004</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普通合伙人识别编码。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基金管理人法定名称</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GL_JJGLRFDMC</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基金管理人法定名称。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基金管理人证件类型</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GL_JJGLRZJLX</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001019</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基金管理人证件类型，参照《业务代码表》中的“证件类型代码”，填报代码。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基金管理人证件号码</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GL_JJGLRZJHM</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001018</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基金管理人证件号码。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基金管理人证件到期日</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GL_JJGLRZJDQR</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基金管理人证件到期日。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基金管理人LEI编码</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JJGLRLEIBM</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001004</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基金管理人全球法人识别编码。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有限合伙人名称</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YXHHRMC</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001016</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有限合伙人名称全称。如有多个需列填，以英文分号“;”分隔。</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基金总规模</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JJZGM</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Style w:val="56"/>
                <w:rFonts w:hint="default"/>
                <w:sz w:val="21"/>
                <w:szCs w:val="21"/>
              </w:rPr>
              <w:t>填写</w:t>
            </w:r>
            <w:r>
              <w:rPr>
                <w:rStyle w:val="55"/>
                <w:rFonts w:ascii="宋体" w:hAnsi="宋体" w:eastAsia="宋体"/>
                <w:sz w:val="21"/>
                <w:szCs w:val="21"/>
              </w:rPr>
              <w:t>基金</w:t>
            </w:r>
            <w:r>
              <w:rPr>
                <w:rStyle w:val="56"/>
                <w:rFonts w:hint="default"/>
                <w:sz w:val="21"/>
                <w:szCs w:val="21"/>
              </w:rPr>
              <w:t>总规模。以投资合同中基金总规模为准。若金额涉及到外币，由机构自行转换成人民币进行填报。单位：元。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基金分类</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JJFL</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003036</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Style w:val="56"/>
                <w:rFonts w:hint="default"/>
                <w:sz w:val="21"/>
                <w:szCs w:val="21"/>
              </w:rPr>
              <w:t>填写</w:t>
            </w:r>
            <w:r>
              <w:rPr>
                <w:rStyle w:val="55"/>
                <w:rFonts w:ascii="宋体" w:hAnsi="宋体" w:eastAsia="宋体"/>
                <w:sz w:val="21"/>
                <w:szCs w:val="21"/>
              </w:rPr>
              <w:t>基金</w:t>
            </w:r>
            <w:r>
              <w:rPr>
                <w:rStyle w:val="56"/>
                <w:rFonts w:hint="default"/>
                <w:sz w:val="21"/>
                <w:szCs w:val="21"/>
              </w:rPr>
              <w:t>分类。枚举值为“私募证券投资基金；私募证券类FOF基金；私募股权投资基金；私募股权投资类FOF基金；创业投资基金；创业投资类FOF基金；其他类别私募基金；其他类别私募FOF基金”。</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投资方向</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TZFX</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003032</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Style w:val="56"/>
                <w:rFonts w:hint="default"/>
                <w:sz w:val="21"/>
                <w:szCs w:val="21"/>
              </w:rPr>
              <w:t>填写</w:t>
            </w:r>
            <w:r>
              <w:rPr>
                <w:rStyle w:val="55"/>
                <w:rFonts w:ascii="宋体" w:hAnsi="宋体" w:eastAsia="宋体"/>
                <w:sz w:val="21"/>
                <w:szCs w:val="21"/>
              </w:rPr>
              <w:t>基金</w:t>
            </w:r>
            <w:r>
              <w:rPr>
                <w:rStyle w:val="56"/>
                <w:rFonts w:hint="default"/>
                <w:sz w:val="21"/>
                <w:szCs w:val="21"/>
              </w:rPr>
              <w:t>投资方向。枚举值为“综合；先进制造；能源；建筑；交通；电子信息；金融；房地产；医疗健康；教育文化；其他”。</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政策标签</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ZCBQ</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003028</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Style w:val="56"/>
                <w:rFonts w:hint="default"/>
                <w:sz w:val="21"/>
                <w:szCs w:val="21"/>
              </w:rPr>
              <w:t>填写</w:t>
            </w:r>
            <w:r>
              <w:rPr>
                <w:rStyle w:val="55"/>
                <w:rFonts w:ascii="宋体" w:hAnsi="宋体" w:eastAsia="宋体"/>
                <w:sz w:val="21"/>
                <w:szCs w:val="21"/>
              </w:rPr>
              <w:t>基金</w:t>
            </w:r>
            <w:r>
              <w:rPr>
                <w:rStyle w:val="56"/>
                <w:rFonts w:hint="default"/>
                <w:sz w:val="21"/>
                <w:szCs w:val="21"/>
              </w:rPr>
              <w:t>政策标签。参照《业务代码表》中的“政策标签代码”，填报代码。可多选，如存在多个标签，以“;”隔开。如为其他，需在备注里描述。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投资阶段</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TZJD</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003037</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Style w:val="56"/>
                <w:rFonts w:hint="default"/>
                <w:sz w:val="21"/>
                <w:szCs w:val="21"/>
              </w:rPr>
              <w:t>填写</w:t>
            </w:r>
            <w:r>
              <w:rPr>
                <w:rStyle w:val="55"/>
                <w:rFonts w:ascii="宋体" w:hAnsi="宋体" w:eastAsia="宋体"/>
                <w:sz w:val="21"/>
                <w:szCs w:val="21"/>
              </w:rPr>
              <w:t>基金</w:t>
            </w:r>
            <w:r>
              <w:rPr>
                <w:rStyle w:val="56"/>
                <w:rFonts w:hint="default"/>
                <w:sz w:val="21"/>
                <w:szCs w:val="21"/>
              </w:rPr>
              <w:t>投资阶段。枚举值为“天使投资；初创期投资；成长期投资；IPO前投资；并购投资；多个阶段投资；全阶段投资”。</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基金状态</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JJZT</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003038</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Style w:val="56"/>
                <w:rFonts w:hint="default"/>
                <w:sz w:val="21"/>
                <w:szCs w:val="21"/>
              </w:rPr>
              <w:t>填写</w:t>
            </w:r>
            <w:r>
              <w:rPr>
                <w:rStyle w:val="55"/>
                <w:rFonts w:ascii="宋体" w:hAnsi="宋体" w:eastAsia="宋体"/>
                <w:sz w:val="21"/>
                <w:szCs w:val="21"/>
              </w:rPr>
              <w:t>基金</w:t>
            </w:r>
            <w:r>
              <w:rPr>
                <w:rStyle w:val="56"/>
                <w:rFonts w:hint="default"/>
                <w:sz w:val="21"/>
                <w:szCs w:val="21"/>
              </w:rPr>
              <w:t>状态。枚举值为“投资期；退出期；清算期；已清盘；其他”。</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是否延期</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SFYQ</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001010</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Style w:val="56"/>
                <w:rFonts w:hint="default"/>
                <w:sz w:val="21"/>
                <w:szCs w:val="21"/>
              </w:rPr>
              <w:t>填写</w:t>
            </w:r>
            <w:r>
              <w:rPr>
                <w:rStyle w:val="55"/>
                <w:rFonts w:ascii="宋体" w:hAnsi="宋体" w:eastAsia="宋体"/>
                <w:sz w:val="21"/>
                <w:szCs w:val="21"/>
              </w:rPr>
              <w:t>基金</w:t>
            </w:r>
            <w:r>
              <w:rPr>
                <w:rStyle w:val="56"/>
                <w:rFonts w:hint="default"/>
                <w:sz w:val="21"/>
                <w:szCs w:val="21"/>
              </w:rPr>
              <w:t>是否延期。参照《业务代码表》中的“是否判断代码”，填报代码。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延期原因</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YQYY</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003039</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Style w:val="56"/>
                <w:rFonts w:hint="default"/>
                <w:sz w:val="21"/>
                <w:szCs w:val="21"/>
              </w:rPr>
              <w:t>填写</w:t>
            </w:r>
            <w:r>
              <w:rPr>
                <w:rStyle w:val="55"/>
                <w:rFonts w:ascii="宋体" w:hAnsi="宋体" w:eastAsia="宋体"/>
                <w:sz w:val="21"/>
                <w:szCs w:val="21"/>
              </w:rPr>
              <w:t>基金</w:t>
            </w:r>
            <w:r>
              <w:rPr>
                <w:rStyle w:val="56"/>
                <w:rFonts w:hint="default"/>
                <w:sz w:val="21"/>
                <w:szCs w:val="21"/>
              </w:rPr>
              <w:t>延期原因。如有延期计划或已发生延期，需注明原因。</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总资产</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ZZC</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Style w:val="55"/>
                <w:rFonts w:ascii="宋体" w:hAnsi="宋体" w:eastAsia="宋体"/>
                <w:sz w:val="21"/>
                <w:szCs w:val="21"/>
              </w:rPr>
              <w:t>填写基金总资产。</w:t>
            </w:r>
            <w:r>
              <w:rPr>
                <w:rStyle w:val="56"/>
                <w:rFonts w:hint="default"/>
                <w:sz w:val="21"/>
                <w:szCs w:val="21"/>
              </w:rPr>
              <w:t>若金额涉及到外币，由机构自行转换成人民币进行填报。单位：元。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净资产</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JZC</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Style w:val="55"/>
                <w:rFonts w:ascii="宋体" w:hAnsi="宋体" w:eastAsia="宋体"/>
                <w:sz w:val="21"/>
                <w:szCs w:val="21"/>
              </w:rPr>
              <w:t>填写基金净资产。</w:t>
            </w:r>
            <w:r>
              <w:rPr>
                <w:rStyle w:val="56"/>
                <w:rFonts w:hint="default"/>
                <w:sz w:val="21"/>
                <w:szCs w:val="21"/>
              </w:rPr>
              <w:t>若金额涉及到外币，由机构自行转换成人民币进行填报。单位：元。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累计营业收入</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LJYYSR</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Style w:val="55"/>
                <w:rFonts w:ascii="宋体" w:hAnsi="宋体" w:eastAsia="宋体"/>
                <w:sz w:val="21"/>
                <w:szCs w:val="21"/>
              </w:rPr>
              <w:t>填写基金累计营业收入。</w:t>
            </w:r>
            <w:r>
              <w:rPr>
                <w:rStyle w:val="56"/>
                <w:rFonts w:hint="default"/>
                <w:sz w:val="21"/>
                <w:szCs w:val="21"/>
              </w:rPr>
              <w:t>若金额涉及到外币，由机构自行转换成人民币进行填报。单位：元。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累计净利润</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LJJLR</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Style w:val="55"/>
                <w:rFonts w:ascii="宋体" w:hAnsi="宋体" w:eastAsia="宋体"/>
                <w:sz w:val="21"/>
                <w:szCs w:val="21"/>
              </w:rPr>
              <w:t>填写基金累计净利润。</w:t>
            </w:r>
            <w:r>
              <w:rPr>
                <w:rStyle w:val="56"/>
                <w:rFonts w:hint="default"/>
                <w:sz w:val="21"/>
                <w:szCs w:val="21"/>
              </w:rPr>
              <w:t>若金额涉及到外币，由机构自行转换成人民币进行填报。单位：元。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初始投资日期</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CSTZRQ</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初始投资日期。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初始份额占比</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CSFEZB</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001049</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投资时点基金认购份额比例，填数字，不填百分比，最少保留两位小数，比如12.34%填写为12.34。</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投资币种</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TZBZ</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002001</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参照《业务代码表》中的“币种代码”，填报代码。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认缴金额</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RJJE</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若金额涉及到外币，由机构自行转换成人民币进行填报。单位：元。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实缴金额</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SJJE</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若金额涉及到外币，由机构自行转换成人民币进行填报。单位：元。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投资账面余额</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TZZMYE</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002022</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若金额涉及到外币，由机构自行转换成人民币进行填报。单位：元。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累计最新份额占比</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LJZXFEZB</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001049</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数据填报口径为截至报送日上月月末数据，填数字，不填百分比，最少保留两位小数，比如12.34%填写为12.34。</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合计份额占比</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HJFEZB</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001049</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存在保险集团（控股）公司及其保险子公司、保险公司及其投资控股的保险机构投资同一基金的情形时，填写合计持股比例，填数字，不填百分比，最少保留两位小数，比如12.34%填写为12.34。</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已实现投资收益</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YSXTZSY</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数据填报口径为截至报送日上月月末数据，单位：元。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本年收益率</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BNSYL</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001012</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当年以来的收益率，需年化。填数字，不填百分比，最少保留四位小数，比如12.34%填写为0.1234。默认值99999。</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累计收益率</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LJSYL</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001012</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投资以来的累计收益率，填数字，不填百分比，最少保留四位小数，比如12.34%填写为0.1234。默认值99999。</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是否退出</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SFTC</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001010</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参照《业务代码表》中的“是否判断代码”，填报代码。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退出日期</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TCRQ</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填写退出日期。“是否退出”为“是”时必填。</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退出方式</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TCFS</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003043</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填写退出方式。“是否退出”为“是”时必填。枚举值为“份额转让，基金清算，赎回，其他”。</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备注</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BZ</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003007</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填写其他需要报送的但是目前无法标准化的信息，如有保底、保收益、结构化安排、抽屉协议、明股实债、集团内担保、替其他出资人垫资、承诺回购原出资人份额等情况需注明。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采集日期</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CJRQ</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bl>
    <w:p>
      <w:pPr>
        <w:ind w:firstLine="0" w:firstLineChars="0"/>
      </w:pPr>
    </w:p>
    <w:p>
      <w:pPr>
        <w:keepNext/>
        <w:keepLines/>
        <w:numPr>
          <w:ilvl w:val="1"/>
          <w:numId w:val="23"/>
        </w:numPr>
        <w:ind w:firstLineChars="0"/>
        <w:outlineLvl w:val="3"/>
        <w:rPr>
          <w:rFonts w:ascii="仿宋" w:hAnsi="仿宋" w:eastAsia="仿宋"/>
          <w:b/>
        </w:rPr>
      </w:pPr>
      <w:r>
        <w:rPr>
          <w:rFonts w:hint="eastAsia" w:ascii="仿宋" w:hAnsi="仿宋" w:eastAsia="仿宋"/>
          <w:b/>
        </w:rPr>
        <w:t>直接投资不动产信息表</w:t>
      </w:r>
    </w:p>
    <w:tbl>
      <w:tblPr>
        <w:tblStyle w:val="25"/>
        <w:tblW w:w="8824" w:type="dxa"/>
        <w:tblInd w:w="0" w:type="dxa"/>
        <w:tblLayout w:type="fixed"/>
        <w:tblCellMar>
          <w:top w:w="0" w:type="dxa"/>
          <w:left w:w="108" w:type="dxa"/>
          <w:bottom w:w="0" w:type="dxa"/>
          <w:right w:w="108" w:type="dxa"/>
        </w:tblCellMar>
      </w:tblPr>
      <w:tblGrid>
        <w:gridCol w:w="1476"/>
        <w:gridCol w:w="1371"/>
        <w:gridCol w:w="969"/>
        <w:gridCol w:w="3545"/>
        <w:gridCol w:w="709"/>
        <w:gridCol w:w="754"/>
      </w:tblGrid>
      <w:tr>
        <w:tblPrEx>
          <w:tblCellMar>
            <w:top w:w="0" w:type="dxa"/>
            <w:left w:w="108" w:type="dxa"/>
            <w:bottom w:w="0" w:type="dxa"/>
            <w:right w:w="108" w:type="dxa"/>
          </w:tblCellMar>
        </w:tblPrEx>
        <w:trPr>
          <w:trHeight w:val="290" w:hRule="atLeast"/>
        </w:trPr>
        <w:tc>
          <w:tcPr>
            <w:tcW w:w="14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371"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969"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00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57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ZJTZBDCXXB</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直接投资不动产信息表</w:t>
            </w:r>
          </w:p>
        </w:tc>
        <w:tc>
          <w:tcPr>
            <w:tcW w:w="96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C0</w:t>
            </w:r>
            <w:r>
              <w:rPr>
                <w:rFonts w:ascii="宋体" w:hAnsi="宋体" w:eastAsia="宋体" w:cs="宋体"/>
                <w:color w:val="000000"/>
                <w:kern w:val="0"/>
                <w:sz w:val="21"/>
                <w:szCs w:val="21"/>
              </w:rPr>
              <w:t>112</w:t>
            </w:r>
          </w:p>
        </w:tc>
        <w:tc>
          <w:tcPr>
            <w:tcW w:w="500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本表报送保险集团（控股）公司直接投资不动产相关信息。</w:t>
            </w:r>
          </w:p>
        </w:tc>
      </w:tr>
      <w:tr>
        <w:tblPrEx>
          <w:tblCellMar>
            <w:top w:w="0" w:type="dxa"/>
            <w:left w:w="108" w:type="dxa"/>
            <w:bottom w:w="0" w:type="dxa"/>
            <w:right w:w="108" w:type="dxa"/>
          </w:tblCellMar>
        </w:tblPrEx>
        <w:trPr>
          <w:trHeight w:val="79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96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55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保险集团（控股）公司保险许可证号码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JT_BXXKZHM</w:t>
            </w:r>
          </w:p>
        </w:tc>
        <w:tc>
          <w:tcPr>
            <w:tcW w:w="96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001042</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中国银保监会统一设计和印制，授权给保险机构经营保险业务的许可证上记录的机构编码。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保险集团（控股）公司统一社会信用代码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JT_TYSHXYDM</w:t>
            </w:r>
          </w:p>
        </w:tc>
        <w:tc>
          <w:tcPr>
            <w:tcW w:w="96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001003</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79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JT_MC</w:t>
            </w:r>
          </w:p>
        </w:tc>
        <w:tc>
          <w:tcPr>
            <w:tcW w:w="96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流水号</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LSH</w:t>
            </w:r>
          </w:p>
        </w:tc>
        <w:tc>
          <w:tcPr>
            <w:tcW w:w="96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001001</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投资账户名称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TZZHMC</w:t>
            </w:r>
          </w:p>
        </w:tc>
        <w:tc>
          <w:tcPr>
            <w:tcW w:w="96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002021</w:t>
            </w:r>
          </w:p>
        </w:tc>
        <w:tc>
          <w:tcPr>
            <w:tcW w:w="3545" w:type="dxa"/>
            <w:tcBorders>
              <w:top w:val="nil"/>
              <w:left w:val="nil"/>
              <w:bottom w:val="single" w:color="auto" w:sz="8" w:space="0"/>
              <w:right w:val="single" w:color="auto" w:sz="8" w:space="0"/>
            </w:tcBorders>
            <w:shd w:val="clear" w:color="auto" w:fill="auto"/>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机构投资账户名称，应具有唯一标识。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3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投资账户代码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TZZHDM</w:t>
            </w:r>
          </w:p>
        </w:tc>
        <w:tc>
          <w:tcPr>
            <w:tcW w:w="96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002020</w:t>
            </w:r>
          </w:p>
        </w:tc>
        <w:tc>
          <w:tcPr>
            <w:tcW w:w="3545" w:type="dxa"/>
            <w:tcBorders>
              <w:top w:val="nil"/>
              <w:left w:val="nil"/>
              <w:bottom w:val="single" w:color="auto" w:sz="8" w:space="0"/>
              <w:right w:val="single" w:color="auto" w:sz="8" w:space="0"/>
            </w:tcBorders>
            <w:shd w:val="clear" w:color="auto" w:fill="auto"/>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机构投资账户代码，应具有唯一标识。</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9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资产名称</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ZCMC</w:t>
            </w:r>
          </w:p>
        </w:tc>
        <w:tc>
          <w:tcPr>
            <w:tcW w:w="96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003008</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填写项目名称全称。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资产代码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ZCDM</w:t>
            </w:r>
          </w:p>
        </w:tc>
        <w:tc>
          <w:tcPr>
            <w:tcW w:w="96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003002</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机构自定义代码。如在持仓表中有该资产，需与持仓表中的“资产代码”一致。</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所在地国家</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SZDGJ</w:t>
            </w:r>
          </w:p>
        </w:tc>
        <w:tc>
          <w:tcPr>
            <w:tcW w:w="96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001022</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参照《业务代码表》中的“国家地区”，填报代码。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所属地区</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SSDQ</w:t>
            </w:r>
          </w:p>
        </w:tc>
        <w:tc>
          <w:tcPr>
            <w:tcW w:w="96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001017</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参照《业务代码表》中的“行政区划代码”，填报代码。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初始投资日期</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CSTZRQ</w:t>
            </w:r>
          </w:p>
        </w:tc>
        <w:tc>
          <w:tcPr>
            <w:tcW w:w="96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初始投资日期。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投资类型</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TZLX</w:t>
            </w:r>
          </w:p>
        </w:tc>
        <w:tc>
          <w:tcPr>
            <w:tcW w:w="96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003072</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枚举值为“自用性；投资性”。</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项目状态</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XMZT</w:t>
            </w:r>
          </w:p>
        </w:tc>
        <w:tc>
          <w:tcPr>
            <w:tcW w:w="96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003073</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枚举值为“已建成；在建工程；土地”。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投资原值</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TZYZ</w:t>
            </w:r>
          </w:p>
        </w:tc>
        <w:tc>
          <w:tcPr>
            <w:tcW w:w="96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按实际投资金额填写。单位：元。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原值币种</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YZBZ</w:t>
            </w:r>
          </w:p>
        </w:tc>
        <w:tc>
          <w:tcPr>
            <w:tcW w:w="96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002001</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参照《业务代码表》中的“币种代码”，填报代码。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账面余额</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ZMYE</w:t>
            </w:r>
          </w:p>
        </w:tc>
        <w:tc>
          <w:tcPr>
            <w:tcW w:w="96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002022</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换算成本币账面余额，单位：元。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项目涉及股+债标识</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XMSJGZBS</w:t>
            </w:r>
          </w:p>
        </w:tc>
        <w:tc>
          <w:tcPr>
            <w:tcW w:w="96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001010</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填写是否涉及到股权+债权的运作模式。参照《业务代码表》中的“是否判断代码”，填报代码。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不动产类型</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BDCLX</w:t>
            </w:r>
          </w:p>
        </w:tc>
        <w:tc>
          <w:tcPr>
            <w:tcW w:w="96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003074</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根据土地用途分类，具体填报标准参照物业土地证“用途”栏内容（标识库）。</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物业类型</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WYLX</w:t>
            </w:r>
          </w:p>
        </w:tc>
        <w:tc>
          <w:tcPr>
            <w:tcW w:w="96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003075</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枚举值为“养老不动产；医疗；汽车服务不动产；城市商住综合体；城市商业；其他”，其中，城市商业包括写字楼、商业公寓、商铺、会议会展中心、物流仓库等。</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住宅配比</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ZZPB</w:t>
            </w:r>
          </w:p>
        </w:tc>
        <w:tc>
          <w:tcPr>
            <w:tcW w:w="96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001049</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住宅所占配比，填数字，不填百分比，最少保留两位小数，比如12.34%填写为12.34。</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土地证生效日期</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TDZSXRQ</w:t>
            </w:r>
          </w:p>
        </w:tc>
        <w:tc>
          <w:tcPr>
            <w:tcW w:w="96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投资性不动产剩余土地使用年限不能低于15年（对应土地证信息）。默认值99991231。</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不动产证生效日期</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BDCZSXRQ</w:t>
            </w:r>
          </w:p>
        </w:tc>
        <w:tc>
          <w:tcPr>
            <w:tcW w:w="96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不动产证生效时点。默认值99991231。</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总建筑面积</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ZJZMJ</w:t>
            </w:r>
          </w:p>
        </w:tc>
        <w:tc>
          <w:tcPr>
            <w:tcW w:w="96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003057</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总建筑面积，“项目状态”为“已建成”时必填。单位：平方米。</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总占地面积</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ZZDMJ</w:t>
            </w:r>
          </w:p>
        </w:tc>
        <w:tc>
          <w:tcPr>
            <w:tcW w:w="96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003057</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总占地面积，单位：平方米。</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容积率</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RJL</w:t>
            </w:r>
          </w:p>
        </w:tc>
        <w:tc>
          <w:tcPr>
            <w:tcW w:w="96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001049</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容积率。填数字，不填百分比，最少保留两位小数，比如12.34%填写为12.34。默认值9999。</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是否处置</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SFCZ</w:t>
            </w:r>
          </w:p>
        </w:tc>
        <w:tc>
          <w:tcPr>
            <w:tcW w:w="96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001010</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参照《业务代码表》中的“是否判断代码”，填报代码。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处置日期</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CZRQ</w:t>
            </w:r>
          </w:p>
        </w:tc>
        <w:tc>
          <w:tcPr>
            <w:tcW w:w="96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“是否处置”为“是”时必填。填写处置日期。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处置价值</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CZJZ</w:t>
            </w:r>
          </w:p>
        </w:tc>
        <w:tc>
          <w:tcPr>
            <w:tcW w:w="96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“是否处置”为“是”时必填。填写处置价值，单位：元。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收益率</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SYL</w:t>
            </w:r>
          </w:p>
        </w:tc>
        <w:tc>
          <w:tcPr>
            <w:tcW w:w="96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001012</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“是否处置”为“是”时必填。填写产品处置时的收益率，填数字，不填百分比，最少保留四位小数，比如12.34%填写为0.1234。</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采集日期</w:t>
            </w:r>
          </w:p>
        </w:tc>
        <w:tc>
          <w:tcPr>
            <w:tcW w:w="137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CJRQ</w:t>
            </w:r>
          </w:p>
        </w:tc>
        <w:tc>
          <w:tcPr>
            <w:tcW w:w="96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5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bl>
    <w:p>
      <w:pPr>
        <w:ind w:firstLine="0" w:firstLineChars="0"/>
      </w:pPr>
    </w:p>
    <w:p>
      <w:pPr>
        <w:pStyle w:val="4"/>
        <w:numPr>
          <w:ilvl w:val="0"/>
          <w:numId w:val="14"/>
        </w:numPr>
        <w:tabs>
          <w:tab w:val="left" w:pos="709"/>
          <w:tab w:val="left" w:pos="993"/>
        </w:tabs>
        <w:rPr>
          <w:rFonts w:ascii="仿宋" w:hAnsi="仿宋" w:eastAsia="仿宋"/>
        </w:rPr>
      </w:pPr>
      <w:r>
        <w:rPr>
          <w:rFonts w:hint="eastAsia" w:ascii="仿宋" w:hAnsi="仿宋" w:eastAsia="仿宋"/>
        </w:rPr>
        <w:t>委托投资</w:t>
      </w:r>
    </w:p>
    <w:p>
      <w:pPr>
        <w:keepNext/>
        <w:keepLines/>
        <w:numPr>
          <w:ilvl w:val="1"/>
          <w:numId w:val="7"/>
        </w:numPr>
        <w:ind w:firstLineChars="0"/>
        <w:outlineLvl w:val="3"/>
        <w:rPr>
          <w:rFonts w:ascii="仿宋" w:hAnsi="仿宋" w:eastAsia="仿宋"/>
          <w:b/>
        </w:rPr>
      </w:pPr>
      <w:r>
        <w:rPr>
          <w:rFonts w:hint="eastAsia" w:ascii="仿宋" w:hAnsi="仿宋" w:eastAsia="仿宋"/>
          <w:b/>
        </w:rPr>
        <w:t>委托投资信息表</w:t>
      </w:r>
    </w:p>
    <w:tbl>
      <w:tblPr>
        <w:tblStyle w:val="25"/>
        <w:tblW w:w="8824" w:type="dxa"/>
        <w:tblInd w:w="0" w:type="dxa"/>
        <w:tblLayout w:type="fixed"/>
        <w:tblCellMar>
          <w:top w:w="0" w:type="dxa"/>
          <w:left w:w="108" w:type="dxa"/>
          <w:bottom w:w="0" w:type="dxa"/>
          <w:right w:w="108" w:type="dxa"/>
        </w:tblCellMar>
      </w:tblPr>
      <w:tblGrid>
        <w:gridCol w:w="1550"/>
        <w:gridCol w:w="1701"/>
        <w:gridCol w:w="849"/>
        <w:gridCol w:w="3261"/>
        <w:gridCol w:w="708"/>
        <w:gridCol w:w="755"/>
      </w:tblGrid>
      <w:tr>
        <w:tblPrEx>
          <w:tblCellMar>
            <w:top w:w="0" w:type="dxa"/>
            <w:left w:w="108" w:type="dxa"/>
            <w:bottom w:w="0" w:type="dxa"/>
            <w:right w:w="108" w:type="dxa"/>
          </w:tblCellMar>
        </w:tblPrEx>
        <w:trPr>
          <w:trHeight w:val="290" w:hRule="atLeast"/>
        </w:trPr>
        <w:tc>
          <w:tcPr>
            <w:tcW w:w="155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701"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849"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4724"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57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WTTZXXB</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委托投资信息表</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C0</w:t>
            </w:r>
            <w:r>
              <w:rPr>
                <w:rFonts w:ascii="宋体" w:hAnsi="宋体" w:eastAsia="宋体" w:cs="宋体"/>
                <w:color w:val="000000"/>
                <w:kern w:val="0"/>
                <w:sz w:val="21"/>
                <w:szCs w:val="21"/>
              </w:rPr>
              <w:t>2</w:t>
            </w:r>
            <w:r>
              <w:rPr>
                <w:rFonts w:hint="eastAsia" w:ascii="宋体" w:hAnsi="宋体" w:eastAsia="宋体" w:cs="宋体"/>
                <w:color w:val="000000"/>
                <w:kern w:val="0"/>
                <w:sz w:val="21"/>
                <w:szCs w:val="21"/>
              </w:rPr>
              <w:t>0</w:t>
            </w:r>
            <w:r>
              <w:rPr>
                <w:rFonts w:ascii="宋体" w:hAnsi="宋体" w:eastAsia="宋体" w:cs="宋体"/>
                <w:color w:val="000000"/>
                <w:kern w:val="0"/>
                <w:sz w:val="21"/>
                <w:szCs w:val="21"/>
              </w:rPr>
              <w:t>1</w:t>
            </w:r>
          </w:p>
        </w:tc>
        <w:tc>
          <w:tcPr>
            <w:tcW w:w="4724"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本表报送保险集团（控股）公司委托投资业务情况。</w:t>
            </w:r>
          </w:p>
        </w:tc>
      </w:tr>
      <w:tr>
        <w:tblPrEx>
          <w:tblCellMar>
            <w:top w:w="0" w:type="dxa"/>
            <w:left w:w="108" w:type="dxa"/>
            <w:bottom w:w="0" w:type="dxa"/>
            <w:right w:w="108" w:type="dxa"/>
          </w:tblCellMar>
        </w:tblPrEx>
        <w:trPr>
          <w:trHeight w:val="7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26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保险集团（控股）公司保险许可证号码</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JT_BXXKZHM</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001042</w:t>
            </w:r>
          </w:p>
        </w:tc>
        <w:tc>
          <w:tcPr>
            <w:tcW w:w="326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中国银保监会统一设计和印制，授权给保险机构经营保险业务的许可证上记录的机构编码。</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保险集团（控股）公司统一社会信用代码</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JT_TYSHXYDM</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001003</w:t>
            </w:r>
          </w:p>
        </w:tc>
        <w:tc>
          <w:tcPr>
            <w:tcW w:w="326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保险集团（控股）公司的统一社会信用代码。</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r>
      <w:tr>
        <w:tblPrEx>
          <w:tblCellMar>
            <w:top w:w="0" w:type="dxa"/>
            <w:left w:w="108" w:type="dxa"/>
            <w:bottom w:w="0" w:type="dxa"/>
            <w:right w:w="108" w:type="dxa"/>
          </w:tblCellMar>
        </w:tblPrEx>
        <w:trPr>
          <w:trHeight w:val="7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保险集团（控股）公司名称</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JT_MC</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001002</w:t>
            </w:r>
          </w:p>
        </w:tc>
        <w:tc>
          <w:tcPr>
            <w:tcW w:w="326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保险集团（控股）公司的保险许可证中的机构名称。</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流水号</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LSH</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001001</w:t>
            </w:r>
          </w:p>
        </w:tc>
        <w:tc>
          <w:tcPr>
            <w:tcW w:w="326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统一社会信用代码+日期（YYYYMMDD）+10位流水，流水号是每天的流水号，每天都是从‘0000000001’开始。其中日期为上报数据时当前的系统日期。</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r>
      <w:tr>
        <w:tblPrEx>
          <w:tblCellMar>
            <w:top w:w="0" w:type="dxa"/>
            <w:left w:w="108" w:type="dxa"/>
            <w:bottom w:w="0" w:type="dxa"/>
            <w:right w:w="108" w:type="dxa"/>
          </w:tblCellMar>
        </w:tblPrEx>
        <w:trPr>
          <w:trHeight w:val="53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委托编号</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WTBH</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001023</w:t>
            </w:r>
          </w:p>
        </w:tc>
        <w:tc>
          <w:tcPr>
            <w:tcW w:w="326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委托投资管理合同号码。如有公司内部合同编号则填报公司内部合同编号。。</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受托人法定名称</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GL_STRFDMC</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001015</w:t>
            </w:r>
          </w:p>
        </w:tc>
        <w:tc>
          <w:tcPr>
            <w:tcW w:w="326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受托人法定名称。</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受托人证件类型</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GL_STRZJLX</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001019</w:t>
            </w:r>
          </w:p>
        </w:tc>
        <w:tc>
          <w:tcPr>
            <w:tcW w:w="326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受托人证件类型，参照《业务代码表》中的“证件类型代码”，填报代码。</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受托人证件号码</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GL_STRZJHM</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001018</w:t>
            </w:r>
          </w:p>
        </w:tc>
        <w:tc>
          <w:tcPr>
            <w:tcW w:w="326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受托人统一社会信用代码。</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受托人证件到期日</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GL_STRZJDQR</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001005</w:t>
            </w:r>
          </w:p>
        </w:tc>
        <w:tc>
          <w:tcPr>
            <w:tcW w:w="326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受托人证件到期日。</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否</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受托人LEI编码</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STRLEIBM</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001004</w:t>
            </w:r>
          </w:p>
        </w:tc>
        <w:tc>
          <w:tcPr>
            <w:tcW w:w="326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受托人全球法人识别编码。</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否</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受托人单位地址</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STRDWDZ</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001009</w:t>
            </w:r>
          </w:p>
        </w:tc>
        <w:tc>
          <w:tcPr>
            <w:tcW w:w="326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受托人办公地址。</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受托人法定代表人法定名称</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GL_STRFDDBRFDMC</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001011</w:t>
            </w:r>
          </w:p>
        </w:tc>
        <w:tc>
          <w:tcPr>
            <w:tcW w:w="326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受托人法定代表人姓名，应与工商注册的姓名一致。</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受托人法定代表人证件类型</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GL_STRFDDBRZJLX</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001019</w:t>
            </w:r>
          </w:p>
        </w:tc>
        <w:tc>
          <w:tcPr>
            <w:tcW w:w="326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受托人法定代表人证件类型。参照《业务代码表》中的“证件类型代码”，填报代码。</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否</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受托人法定代表人证件号码</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GL_STRFDDBRZJHM</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001018</w:t>
            </w:r>
          </w:p>
        </w:tc>
        <w:tc>
          <w:tcPr>
            <w:tcW w:w="326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受托人法定代表人证件号码。隐私，保险集团（控股）公司变形。</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否</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受托人法定代表人证件到期日</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GL_STRFDDBRZJDQR</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001005</w:t>
            </w:r>
          </w:p>
        </w:tc>
        <w:tc>
          <w:tcPr>
            <w:tcW w:w="326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受托人法定代表人证件到期日。</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否</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受托人首席风险官法定名称</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GL_STRSXFXGFDMC</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001011</w:t>
            </w:r>
          </w:p>
        </w:tc>
        <w:tc>
          <w:tcPr>
            <w:tcW w:w="326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受托人首席风险管理执行官姓名。隐私，保险集团（控股）公司变形。</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受托人首席风险官证件类型</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GL_STRSXFXGZJLX</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001019</w:t>
            </w:r>
          </w:p>
        </w:tc>
        <w:tc>
          <w:tcPr>
            <w:tcW w:w="326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受托人首席风险官证件类型。参照《业务代码表》中的“证件类型代码”，填报代码。</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否</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受托人首席风险官证件号码</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GL_STRSXFXGZJHM</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001018</w:t>
            </w:r>
          </w:p>
        </w:tc>
        <w:tc>
          <w:tcPr>
            <w:tcW w:w="326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受托人首席风险官证件号码。隐私，保险集团（控股）公司变形。</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否</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受托人首席风险官证件到期日</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GL_STRSXFXGZJDQR</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001005</w:t>
            </w:r>
          </w:p>
        </w:tc>
        <w:tc>
          <w:tcPr>
            <w:tcW w:w="326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受托人首席风险官证件到期日。</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否</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受托人首席风险官联系方式</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STRSXFXGLXFS</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001032</w:t>
            </w:r>
          </w:p>
        </w:tc>
        <w:tc>
          <w:tcPr>
            <w:tcW w:w="326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受托人首席风险官座机或手机号。隐私，暂不取。保险集团（控股）公司需在本地保留原文数据，并报送“隐私”。</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签订日期</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QDRQ</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001005</w:t>
            </w:r>
          </w:p>
        </w:tc>
        <w:tc>
          <w:tcPr>
            <w:tcW w:w="326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委托投资合同签订日期。格式：YYYYMMDD</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委托投资管理合同期限</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WTTZGLHTQX</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003020</w:t>
            </w:r>
          </w:p>
        </w:tc>
        <w:tc>
          <w:tcPr>
            <w:tcW w:w="326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单位：年。如无期限报送"9999”。</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委托投资管理费率</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WTTZGLFL</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003007</w:t>
            </w:r>
          </w:p>
        </w:tc>
        <w:tc>
          <w:tcPr>
            <w:tcW w:w="326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委托投资管理费用收取标准。如有公式请列出并加以说明。</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托管账户开户行法定名称</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GL_TGZHKHHFDMC</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001002</w:t>
            </w:r>
          </w:p>
        </w:tc>
        <w:tc>
          <w:tcPr>
            <w:tcW w:w="326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托管账户开户行名称。如是场内交易，填报本机构关联交易所名称。</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托管账户开户行证件类型</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GL_TGZHKHHZJLX</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001019</w:t>
            </w:r>
          </w:p>
        </w:tc>
        <w:tc>
          <w:tcPr>
            <w:tcW w:w="326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托管账户开户行证件类型，参照《业务代码表》中的“证件类型代码”，填报代码。</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否</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托管账户开户行证件号码</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GL_TGZHKHHZJHM</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001018</w:t>
            </w:r>
          </w:p>
        </w:tc>
        <w:tc>
          <w:tcPr>
            <w:tcW w:w="326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托管账户开户行证件号码。</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否</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托管账户开户行证件到期日</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GL_TGZHKHHZJDQR</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001005</w:t>
            </w:r>
          </w:p>
        </w:tc>
        <w:tc>
          <w:tcPr>
            <w:tcW w:w="326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托管账户开户行证件到期日。</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否</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托管账户名称</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TGZHMC</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002019</w:t>
            </w:r>
          </w:p>
        </w:tc>
        <w:tc>
          <w:tcPr>
            <w:tcW w:w="326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托管人开立的、专门用于委托投资的专用存款账户名称。</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托管账户号码</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TGZHHM</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002018</w:t>
            </w:r>
          </w:p>
        </w:tc>
        <w:tc>
          <w:tcPr>
            <w:tcW w:w="326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托管人开立的、专门用于委托投资的专用存款账户号码。</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统计日期</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TJRQ</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001005</w:t>
            </w:r>
          </w:p>
        </w:tc>
        <w:tc>
          <w:tcPr>
            <w:tcW w:w="326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统计日期。格式：YYYYMMDD。</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货币代码</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HBDM</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002001</w:t>
            </w:r>
          </w:p>
        </w:tc>
        <w:tc>
          <w:tcPr>
            <w:tcW w:w="326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参照《业务代码表》中的“币种代码”，填报代码。</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委托投资管理总规模</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WTTZGLZGM</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26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本委托投资管理合同委托投资资产总规模，使用全价口径。</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净资产总值</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JZCZZ</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26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委托投资净资产总值，资产净值使用全价口径，若投资资产都为非标产品，则为账面余额（含息）；若为标准产品，则为产品全价市值。</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　</w:t>
            </w:r>
          </w:p>
        </w:tc>
      </w:tr>
      <w:tr>
        <w:tblPrEx>
          <w:tblCellMar>
            <w:top w:w="0" w:type="dxa"/>
            <w:left w:w="108" w:type="dxa"/>
            <w:bottom w:w="0" w:type="dxa"/>
            <w:right w:w="108" w:type="dxa"/>
          </w:tblCellMar>
        </w:tblPrEx>
        <w:trPr>
          <w:trHeight w:val="82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权益类资产规模</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QYLZCGM</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26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权益类资产的划分标准依据保监发[2014]13号文（中国保监会关于加强和改进保险资金运用比例监管的通知），详细资产内容请根据文中定义，无此类型资产可为空。使用全价口径。单位：元。</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　</w:t>
            </w:r>
          </w:p>
        </w:tc>
      </w:tr>
      <w:tr>
        <w:tblPrEx>
          <w:tblCellMar>
            <w:top w:w="0" w:type="dxa"/>
            <w:left w:w="108" w:type="dxa"/>
            <w:bottom w:w="0" w:type="dxa"/>
            <w:right w:w="108" w:type="dxa"/>
          </w:tblCellMar>
        </w:tblPrEx>
        <w:trPr>
          <w:trHeight w:val="82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固定收益类资产规模</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GDSYLZCGM</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26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固定收益类资产的划分标准依据保监发[2014]13号文（中国保监会关于加强和改进保险资金运用比例监管的通知），详细资产内容请根据文中定义，无此类型资产可为空。使用全价口径。单位：元。</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　</w:t>
            </w:r>
          </w:p>
        </w:tc>
      </w:tr>
      <w:tr>
        <w:tblPrEx>
          <w:tblCellMar>
            <w:top w:w="0" w:type="dxa"/>
            <w:left w:w="108" w:type="dxa"/>
            <w:bottom w:w="0" w:type="dxa"/>
            <w:right w:w="108" w:type="dxa"/>
          </w:tblCellMar>
        </w:tblPrEx>
        <w:trPr>
          <w:trHeight w:val="82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流动性资产规模</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LDXZCGM</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26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流动性资产的划分标准依据保监发[2014]13号文（中国保监会关于加强和改进保险资金运用比例监管的通知），详细资产内容请根据文中定义，无此类型资产可为空。使用全价口径。单位：元。</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　</w:t>
            </w:r>
          </w:p>
        </w:tc>
      </w:tr>
      <w:tr>
        <w:tblPrEx>
          <w:tblCellMar>
            <w:top w:w="0" w:type="dxa"/>
            <w:left w:w="108" w:type="dxa"/>
            <w:bottom w:w="0" w:type="dxa"/>
            <w:right w:w="108" w:type="dxa"/>
          </w:tblCellMar>
        </w:tblPrEx>
        <w:trPr>
          <w:trHeight w:val="82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不动产类资产规模</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BDCLZCGM</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26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不动产类资产的划分标准依据保监发[2014]13号文（中国保监会关于加强和改进保险资金运用比例监管的通知），详细资产内容请根据文中定义，无此类型资产可为空。使用全价口径。单位：元。单位：元。</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　</w:t>
            </w:r>
          </w:p>
        </w:tc>
      </w:tr>
      <w:tr>
        <w:tblPrEx>
          <w:tblCellMar>
            <w:top w:w="0" w:type="dxa"/>
            <w:left w:w="108" w:type="dxa"/>
            <w:bottom w:w="0" w:type="dxa"/>
            <w:right w:w="108" w:type="dxa"/>
          </w:tblCellMar>
        </w:tblPrEx>
        <w:trPr>
          <w:trHeight w:val="82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其他金融资产规模</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QTJRZCGM</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26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其他金融资产的划分标准依据保监发[2014]13号文（中国保监会关于加强和改进保险资金运用比例监管的通知），详细资产内容请根据文中定义，无此类型资产可为空。使用全价口径。单位：元。</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　</w:t>
            </w:r>
          </w:p>
        </w:tc>
      </w:tr>
      <w:tr>
        <w:tblPrEx>
          <w:tblCellMar>
            <w:top w:w="0" w:type="dxa"/>
            <w:left w:w="108" w:type="dxa"/>
            <w:bottom w:w="0" w:type="dxa"/>
            <w:right w:w="108" w:type="dxa"/>
          </w:tblCellMar>
        </w:tblPrEx>
        <w:trPr>
          <w:trHeight w:val="82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采集日期</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CJRQ</w:t>
            </w:r>
          </w:p>
        </w:tc>
        <w:tc>
          <w:tcPr>
            <w:tcW w:w="8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26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　</w:t>
            </w:r>
          </w:p>
        </w:tc>
      </w:tr>
    </w:tbl>
    <w:p>
      <w:pPr>
        <w:ind w:firstLine="0" w:firstLineChars="0"/>
      </w:pPr>
    </w:p>
    <w:p>
      <w:pPr>
        <w:keepNext/>
        <w:keepLines/>
        <w:numPr>
          <w:ilvl w:val="1"/>
          <w:numId w:val="24"/>
        </w:numPr>
        <w:ind w:firstLineChars="0"/>
        <w:outlineLvl w:val="3"/>
        <w:rPr>
          <w:rFonts w:ascii="仿宋" w:hAnsi="仿宋" w:eastAsia="仿宋"/>
          <w:b/>
        </w:rPr>
      </w:pPr>
      <w:r>
        <w:rPr>
          <w:rFonts w:hint="eastAsia" w:ascii="仿宋" w:hAnsi="仿宋" w:eastAsia="仿宋"/>
          <w:b/>
        </w:rPr>
        <w:t>委托投资资产负债统计表</w:t>
      </w:r>
    </w:p>
    <w:tbl>
      <w:tblPr>
        <w:tblStyle w:val="25"/>
        <w:tblW w:w="8824" w:type="dxa"/>
        <w:tblInd w:w="0" w:type="dxa"/>
        <w:tblLayout w:type="fixed"/>
        <w:tblCellMar>
          <w:top w:w="0" w:type="dxa"/>
          <w:left w:w="108" w:type="dxa"/>
          <w:bottom w:w="0" w:type="dxa"/>
          <w:right w:w="108" w:type="dxa"/>
        </w:tblCellMar>
      </w:tblPr>
      <w:tblGrid>
        <w:gridCol w:w="1581"/>
        <w:gridCol w:w="1528"/>
        <w:gridCol w:w="851"/>
        <w:gridCol w:w="3403"/>
        <w:gridCol w:w="709"/>
        <w:gridCol w:w="752"/>
      </w:tblGrid>
      <w:tr>
        <w:tblPrEx>
          <w:tblCellMar>
            <w:top w:w="0" w:type="dxa"/>
            <w:left w:w="108" w:type="dxa"/>
            <w:bottom w:w="0" w:type="dxa"/>
            <w:right w:w="108" w:type="dxa"/>
          </w:tblCellMar>
        </w:tblPrEx>
        <w:trPr>
          <w:trHeight w:val="290" w:hRule="atLeast"/>
        </w:trPr>
        <w:tc>
          <w:tcPr>
            <w:tcW w:w="15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52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851"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4864"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57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WTTZZCFZTJB</w:t>
            </w:r>
          </w:p>
        </w:tc>
        <w:tc>
          <w:tcPr>
            <w:tcW w:w="15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委托投资资产负债统计表</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C0</w:t>
            </w:r>
            <w:r>
              <w:rPr>
                <w:rFonts w:ascii="宋体" w:hAnsi="宋体" w:eastAsia="宋体" w:cs="宋体"/>
                <w:color w:val="000000"/>
                <w:kern w:val="0"/>
                <w:sz w:val="21"/>
                <w:szCs w:val="21"/>
              </w:rPr>
              <w:t>2</w:t>
            </w:r>
            <w:r>
              <w:rPr>
                <w:rFonts w:hint="eastAsia" w:ascii="宋体" w:hAnsi="宋体" w:eastAsia="宋体" w:cs="宋体"/>
                <w:color w:val="000000"/>
                <w:kern w:val="0"/>
                <w:sz w:val="21"/>
                <w:szCs w:val="21"/>
              </w:rPr>
              <w:t>0</w:t>
            </w:r>
            <w:r>
              <w:rPr>
                <w:rFonts w:ascii="宋体" w:hAnsi="宋体" w:eastAsia="宋体" w:cs="宋体"/>
                <w:color w:val="000000"/>
                <w:kern w:val="0"/>
                <w:sz w:val="21"/>
                <w:szCs w:val="21"/>
              </w:rPr>
              <w:t>2</w:t>
            </w:r>
          </w:p>
        </w:tc>
        <w:tc>
          <w:tcPr>
            <w:tcW w:w="4864"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本表报送保险集团（控股）公司委托投资资产负债统计信息。</w:t>
            </w:r>
          </w:p>
        </w:tc>
      </w:tr>
      <w:tr>
        <w:tblPrEx>
          <w:tblCellMar>
            <w:top w:w="0" w:type="dxa"/>
            <w:left w:w="108" w:type="dxa"/>
            <w:bottom w:w="0" w:type="dxa"/>
            <w:right w:w="108" w:type="dxa"/>
          </w:tblCellMar>
        </w:tblPrEx>
        <w:trPr>
          <w:trHeight w:val="7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5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55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保险集团（控股）公司保险许可证号码</w:t>
            </w:r>
          </w:p>
        </w:tc>
        <w:tc>
          <w:tcPr>
            <w:tcW w:w="15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JT_BXXKZHM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中国银保监会统一设计和印制，授权给保险机构经营保险业务的许可证上记录的机构编码。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保险集团（控股）公司统一社会信用代码</w:t>
            </w:r>
          </w:p>
        </w:tc>
        <w:tc>
          <w:tcPr>
            <w:tcW w:w="15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JT_TYSHXYDM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7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保险集团（控股）公司名称</w:t>
            </w:r>
          </w:p>
        </w:tc>
        <w:tc>
          <w:tcPr>
            <w:tcW w:w="15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流水号</w:t>
            </w:r>
          </w:p>
        </w:tc>
        <w:tc>
          <w:tcPr>
            <w:tcW w:w="15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LSH</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001001</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委托编号</w:t>
            </w:r>
          </w:p>
        </w:tc>
        <w:tc>
          <w:tcPr>
            <w:tcW w:w="15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WTBH</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001023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委托投资管理合同号码。如有公司内部合同编号则填报公司内部合同编号。</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统计科目编号</w:t>
            </w:r>
          </w:p>
        </w:tc>
        <w:tc>
          <w:tcPr>
            <w:tcW w:w="1528" w:type="dxa"/>
            <w:tcBorders>
              <w:top w:val="nil"/>
              <w:left w:val="nil"/>
              <w:bottom w:val="single" w:color="auto" w:sz="8" w:space="0"/>
              <w:right w:val="single" w:color="auto" w:sz="8" w:space="0"/>
            </w:tcBorders>
            <w:shd w:val="clear" w:color="auto" w:fill="auto"/>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TJKMBH</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003003</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参照《业务代码表》中的“资产负债统计科目代码”，填报代码。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期末余额</w:t>
            </w:r>
          </w:p>
        </w:tc>
        <w:tc>
          <w:tcPr>
            <w:tcW w:w="15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QMYE</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若金额涉及到外币，由机构自行转换成人民币进行填报。单位：元。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会计期间</w:t>
            </w:r>
          </w:p>
        </w:tc>
        <w:tc>
          <w:tcPr>
            <w:tcW w:w="15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KJQJ</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002002</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归属期间。格式：YYYYMM，年度审计报告出具后报送审计调整后数据。</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r>
      <w:tr>
        <w:tblPrEx>
          <w:tblCellMar>
            <w:top w:w="0" w:type="dxa"/>
            <w:left w:w="108" w:type="dxa"/>
            <w:bottom w:w="0" w:type="dxa"/>
            <w:right w:w="108" w:type="dxa"/>
          </w:tblCellMar>
        </w:tblPrEx>
        <w:trPr>
          <w:trHeight w:val="82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报送周期</w:t>
            </w:r>
          </w:p>
        </w:tc>
        <w:tc>
          <w:tcPr>
            <w:tcW w:w="15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BSZQ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002016</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参照《业务代码表》中的“报送周期类型代码”，填报代码。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r>
      <w:tr>
        <w:tblPrEx>
          <w:tblCellMar>
            <w:top w:w="0" w:type="dxa"/>
            <w:left w:w="108" w:type="dxa"/>
            <w:bottom w:w="0" w:type="dxa"/>
            <w:right w:w="108" w:type="dxa"/>
          </w:tblCellMar>
        </w:tblPrEx>
        <w:trPr>
          <w:trHeight w:val="820" w:hRule="atLeast"/>
        </w:trPr>
        <w:tc>
          <w:tcPr>
            <w:tcW w:w="158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采集日期</w:t>
            </w:r>
          </w:p>
        </w:tc>
        <w:tc>
          <w:tcPr>
            <w:tcW w:w="152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CJRQ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4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bl>
    <w:p>
      <w:pPr>
        <w:ind w:firstLine="0" w:firstLineChars="0"/>
      </w:pPr>
    </w:p>
    <w:p>
      <w:pPr>
        <w:keepNext/>
        <w:keepLines/>
        <w:numPr>
          <w:ilvl w:val="1"/>
          <w:numId w:val="25"/>
        </w:numPr>
        <w:ind w:firstLineChars="0"/>
        <w:outlineLvl w:val="3"/>
        <w:rPr>
          <w:rFonts w:ascii="仿宋" w:hAnsi="仿宋" w:eastAsia="仿宋"/>
          <w:b/>
        </w:rPr>
      </w:pPr>
      <w:r>
        <w:rPr>
          <w:rFonts w:hint="eastAsia" w:ascii="仿宋" w:hAnsi="仿宋" w:eastAsia="仿宋"/>
          <w:b/>
        </w:rPr>
        <w:t>委托投资持仓表</w:t>
      </w:r>
    </w:p>
    <w:tbl>
      <w:tblPr>
        <w:tblStyle w:val="25"/>
        <w:tblW w:w="8824" w:type="dxa"/>
        <w:tblInd w:w="0" w:type="dxa"/>
        <w:tblLayout w:type="fixed"/>
        <w:tblCellMar>
          <w:top w:w="0" w:type="dxa"/>
          <w:left w:w="108" w:type="dxa"/>
          <w:bottom w:w="0" w:type="dxa"/>
          <w:right w:w="108" w:type="dxa"/>
        </w:tblCellMar>
      </w:tblPr>
      <w:tblGrid>
        <w:gridCol w:w="1550"/>
        <w:gridCol w:w="1692"/>
        <w:gridCol w:w="859"/>
        <w:gridCol w:w="3260"/>
        <w:gridCol w:w="709"/>
        <w:gridCol w:w="754"/>
      </w:tblGrid>
      <w:tr>
        <w:tblPrEx>
          <w:tblCellMar>
            <w:top w:w="0" w:type="dxa"/>
            <w:left w:w="108" w:type="dxa"/>
            <w:bottom w:w="0" w:type="dxa"/>
            <w:right w:w="108" w:type="dxa"/>
          </w:tblCellMar>
        </w:tblPrEx>
        <w:trPr>
          <w:trHeight w:val="290" w:hRule="atLeast"/>
        </w:trPr>
        <w:tc>
          <w:tcPr>
            <w:tcW w:w="155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692"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859"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4723"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57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WTTZCCB</w:t>
            </w:r>
          </w:p>
        </w:tc>
        <w:tc>
          <w:tcPr>
            <w:tcW w:w="16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委托投资持仓表</w:t>
            </w:r>
          </w:p>
        </w:tc>
        <w:tc>
          <w:tcPr>
            <w:tcW w:w="85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C0</w:t>
            </w:r>
            <w:r>
              <w:rPr>
                <w:rFonts w:ascii="宋体" w:hAnsi="宋体" w:eastAsia="宋体" w:cs="宋体"/>
                <w:color w:val="000000"/>
                <w:kern w:val="0"/>
                <w:sz w:val="21"/>
                <w:szCs w:val="21"/>
              </w:rPr>
              <w:t>2</w:t>
            </w:r>
            <w:r>
              <w:rPr>
                <w:rFonts w:hint="eastAsia" w:ascii="宋体" w:hAnsi="宋体" w:eastAsia="宋体" w:cs="宋体"/>
                <w:color w:val="000000"/>
                <w:kern w:val="0"/>
                <w:sz w:val="21"/>
                <w:szCs w:val="21"/>
              </w:rPr>
              <w:t>0</w:t>
            </w:r>
            <w:r>
              <w:rPr>
                <w:rFonts w:ascii="宋体" w:hAnsi="宋体" w:eastAsia="宋体" w:cs="宋体"/>
                <w:color w:val="000000"/>
                <w:kern w:val="0"/>
                <w:sz w:val="21"/>
                <w:szCs w:val="21"/>
              </w:rPr>
              <w:t>3</w:t>
            </w:r>
          </w:p>
        </w:tc>
        <w:tc>
          <w:tcPr>
            <w:tcW w:w="4723"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本表报送保险集团（控股）公司本年委托投资持仓信息。</w:t>
            </w:r>
          </w:p>
        </w:tc>
      </w:tr>
      <w:tr>
        <w:tblPrEx>
          <w:tblCellMar>
            <w:top w:w="0" w:type="dxa"/>
            <w:left w:w="108" w:type="dxa"/>
            <w:bottom w:w="0" w:type="dxa"/>
            <w:right w:w="108" w:type="dxa"/>
          </w:tblCellMar>
        </w:tblPrEx>
        <w:trPr>
          <w:trHeight w:val="7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6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85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保险集团（控股）公司保险许可证号码</w:t>
            </w:r>
          </w:p>
        </w:tc>
        <w:tc>
          <w:tcPr>
            <w:tcW w:w="16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JT_BXXKZHM</w:t>
            </w:r>
          </w:p>
        </w:tc>
        <w:tc>
          <w:tcPr>
            <w:tcW w:w="85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001042</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中国银保监会统一设计和印制，授权给保险机构经营保险业务的许可证上记录的机构编码。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保险集团（控股）公司统一社会信用代码</w:t>
            </w:r>
          </w:p>
        </w:tc>
        <w:tc>
          <w:tcPr>
            <w:tcW w:w="16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JT_TYSHXYDM</w:t>
            </w:r>
          </w:p>
        </w:tc>
        <w:tc>
          <w:tcPr>
            <w:tcW w:w="85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001003</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7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保险集团（控股）公司名称</w:t>
            </w:r>
          </w:p>
        </w:tc>
        <w:tc>
          <w:tcPr>
            <w:tcW w:w="16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JT_MC</w:t>
            </w:r>
          </w:p>
        </w:tc>
        <w:tc>
          <w:tcPr>
            <w:tcW w:w="85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001002</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保险集团（控股）公司的保险许可证中的机构名称。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流水号</w:t>
            </w:r>
          </w:p>
        </w:tc>
        <w:tc>
          <w:tcPr>
            <w:tcW w:w="16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LSH</w:t>
            </w:r>
          </w:p>
        </w:tc>
        <w:tc>
          <w:tcPr>
            <w:tcW w:w="85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001001</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委托编号</w:t>
            </w:r>
          </w:p>
        </w:tc>
        <w:tc>
          <w:tcPr>
            <w:tcW w:w="16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WTBH</w:t>
            </w:r>
          </w:p>
        </w:tc>
        <w:tc>
          <w:tcPr>
            <w:tcW w:w="85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001023</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委托投资管理合同号码。如有公司内部合同编号则填报公司内部合同编号。</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53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资产名称</w:t>
            </w:r>
          </w:p>
        </w:tc>
        <w:tc>
          <w:tcPr>
            <w:tcW w:w="16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ZCMC</w:t>
            </w:r>
          </w:p>
        </w:tc>
        <w:tc>
          <w:tcPr>
            <w:tcW w:w="85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003008</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填写确权登记等有关机构登记的资产名称，若无填写合同上的资产名称。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资产代码</w:t>
            </w:r>
          </w:p>
        </w:tc>
        <w:tc>
          <w:tcPr>
            <w:tcW w:w="16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ZCDM</w:t>
            </w:r>
          </w:p>
        </w:tc>
        <w:tc>
          <w:tcPr>
            <w:tcW w:w="85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003002</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填写确权登记等有关机构登记的资产代码，若无填写机构自定义代码。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资产类型</w:t>
            </w:r>
          </w:p>
        </w:tc>
        <w:tc>
          <w:tcPr>
            <w:tcW w:w="16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ZCLX</w:t>
            </w:r>
          </w:p>
        </w:tc>
        <w:tc>
          <w:tcPr>
            <w:tcW w:w="85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00300</w:t>
            </w:r>
            <w:r>
              <w:rPr>
                <w:rFonts w:ascii="宋体" w:hAnsi="宋体" w:eastAsia="宋体" w:cs="宋体"/>
                <w:color w:val="000000"/>
                <w:kern w:val="0"/>
                <w:sz w:val="21"/>
                <w:szCs w:val="21"/>
              </w:rPr>
              <w:t>3</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参照《业务代码表》中的“资产负债统计科目代码”，填报代码。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资产到期日</w:t>
            </w:r>
          </w:p>
        </w:tc>
        <w:tc>
          <w:tcPr>
            <w:tcW w:w="16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ZCDQR</w:t>
            </w:r>
          </w:p>
        </w:tc>
        <w:tc>
          <w:tcPr>
            <w:tcW w:w="85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资产到期日期，如无明确到期日，填写默认值99991231。格式：YYYYMMDD。</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估值方法</w:t>
            </w:r>
          </w:p>
        </w:tc>
        <w:tc>
          <w:tcPr>
            <w:tcW w:w="16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GZFF</w:t>
            </w:r>
          </w:p>
        </w:tc>
        <w:tc>
          <w:tcPr>
            <w:tcW w:w="85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003011</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参照《业务代码表》中的“估值方法代码”，填报代码。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会计核算方法</w:t>
            </w:r>
          </w:p>
        </w:tc>
        <w:tc>
          <w:tcPr>
            <w:tcW w:w="16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KJHSFF</w:t>
            </w:r>
          </w:p>
        </w:tc>
        <w:tc>
          <w:tcPr>
            <w:tcW w:w="85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002003</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适用会计准则。参照《业务代码表》中的“会计核算方法代码”，填报代码。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会计分类</w:t>
            </w:r>
          </w:p>
        </w:tc>
        <w:tc>
          <w:tcPr>
            <w:tcW w:w="16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KJFL</w:t>
            </w:r>
          </w:p>
        </w:tc>
        <w:tc>
          <w:tcPr>
            <w:tcW w:w="85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003006</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参照《业务代码表》中的“会计分类代码”，填报代码。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成本</w:t>
            </w:r>
          </w:p>
        </w:tc>
        <w:tc>
          <w:tcPr>
            <w:tcW w:w="16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CB</w:t>
            </w:r>
          </w:p>
        </w:tc>
        <w:tc>
          <w:tcPr>
            <w:tcW w:w="85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初始购置成本、历史（净价）成本或摊余（净价）成本。适用金融工具确认和计量（</w:t>
            </w:r>
            <w:r>
              <w:rPr>
                <w:rFonts w:ascii="宋体" w:hAnsi="宋体" w:eastAsia="宋体" w:cs="宋体"/>
                <w:color w:val="000000"/>
                <w:kern w:val="0"/>
                <w:sz w:val="21"/>
                <w:szCs w:val="21"/>
              </w:rPr>
              <w:t>2017</w:t>
            </w:r>
            <w:r>
              <w:rPr>
                <w:rFonts w:hint="eastAsia" w:ascii="宋体" w:hAnsi="宋体" w:eastAsia="宋体" w:cs="宋体"/>
                <w:color w:val="000000"/>
                <w:kern w:val="0"/>
                <w:sz w:val="21"/>
                <w:szCs w:val="21"/>
              </w:rPr>
              <w:t>）的金融资产初始成本按公允价值计量。单位：元。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账面余额</w:t>
            </w:r>
          </w:p>
        </w:tc>
        <w:tc>
          <w:tcPr>
            <w:tcW w:w="16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ZMYE</w:t>
            </w:r>
          </w:p>
        </w:tc>
        <w:tc>
          <w:tcPr>
            <w:tcW w:w="85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002022</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指没有扣除减值准备的账面余额。单位：元。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减值准备</w:t>
            </w:r>
          </w:p>
        </w:tc>
        <w:tc>
          <w:tcPr>
            <w:tcW w:w="16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JZZB</w:t>
            </w:r>
          </w:p>
        </w:tc>
        <w:tc>
          <w:tcPr>
            <w:tcW w:w="85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002022</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按持有该资产对应的“减值准备”科目余额填列。单位：元。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账面价值</w:t>
            </w:r>
          </w:p>
        </w:tc>
        <w:tc>
          <w:tcPr>
            <w:tcW w:w="16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ZMJZ</w:t>
            </w:r>
          </w:p>
        </w:tc>
        <w:tc>
          <w:tcPr>
            <w:tcW w:w="85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指扣除减值准备后的账面余额，等于该资产账面余额与减值准备之差。单位：元。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公允价值</w:t>
            </w:r>
          </w:p>
        </w:tc>
        <w:tc>
          <w:tcPr>
            <w:tcW w:w="16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GYJZ</w:t>
            </w:r>
          </w:p>
        </w:tc>
        <w:tc>
          <w:tcPr>
            <w:tcW w:w="85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001008</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指市场参与者在计量日发生的有序交易中，出售一项资产所能收到或者转移一项负债所需支付的价格。单位：元。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公允价值变动</w:t>
            </w:r>
          </w:p>
        </w:tc>
        <w:tc>
          <w:tcPr>
            <w:tcW w:w="16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GYJZBD</w:t>
            </w:r>
          </w:p>
        </w:tc>
        <w:tc>
          <w:tcPr>
            <w:tcW w:w="85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001008</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指持有该资产对应的“公允价值变动”当年累计发生额。单位：元。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公允价值变动损益</w:t>
            </w:r>
          </w:p>
        </w:tc>
        <w:tc>
          <w:tcPr>
            <w:tcW w:w="16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GYJZBDSY</w:t>
            </w:r>
          </w:p>
        </w:tc>
        <w:tc>
          <w:tcPr>
            <w:tcW w:w="85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001008</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指持有该资产对应的“公允价值变动损益”当年累计发生额。单位：元。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已实现收益</w:t>
            </w:r>
          </w:p>
        </w:tc>
        <w:tc>
          <w:tcPr>
            <w:tcW w:w="16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YSXSY</w:t>
            </w:r>
          </w:p>
        </w:tc>
        <w:tc>
          <w:tcPr>
            <w:tcW w:w="85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001008</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金融工具确认和计量（2006）包括各项投资产生的利息收入、价差收入、股利红利收入和相关交易费用等当年累计发生额，不包括减值准备。单位：元。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其他收益</w:t>
            </w:r>
          </w:p>
        </w:tc>
        <w:tc>
          <w:tcPr>
            <w:tcW w:w="16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QTSY</w:t>
            </w:r>
          </w:p>
        </w:tc>
        <w:tc>
          <w:tcPr>
            <w:tcW w:w="85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001008</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填写除“投资收益”、“利息收入”、“公允价值变动损益”之外的资金运用收益当年累计发生额，包括投资性房地产出租净收益（租金减去成本）、长期股权投资“营业外收入”等。单位：元。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10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资产减值损失</w:t>
            </w:r>
          </w:p>
        </w:tc>
        <w:tc>
          <w:tcPr>
            <w:tcW w:w="16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ZCJZSS</w:t>
            </w:r>
          </w:p>
        </w:tc>
        <w:tc>
          <w:tcPr>
            <w:tcW w:w="85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001008</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金融工具确认和计量（2006）指持有该资产对应的“资产减值损失”当年累计发生额。单位：元。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信用减值损失</w:t>
            </w:r>
          </w:p>
        </w:tc>
        <w:tc>
          <w:tcPr>
            <w:tcW w:w="16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XYJZSS</w:t>
            </w:r>
          </w:p>
        </w:tc>
        <w:tc>
          <w:tcPr>
            <w:tcW w:w="85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001008</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金融工具确认和计量（2017）：金融工具信用损失当年累计发生额。单位：元。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其他资产减值损失</w:t>
            </w:r>
          </w:p>
        </w:tc>
        <w:tc>
          <w:tcPr>
            <w:tcW w:w="16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QTZCJZSS</w:t>
            </w:r>
          </w:p>
        </w:tc>
        <w:tc>
          <w:tcPr>
            <w:tcW w:w="85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001008</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金融工具确认和计量（2017）：除“信用减值损失”外，其他资产减值损失当年累计发生额。单位：元。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利息收入</w:t>
            </w:r>
          </w:p>
        </w:tc>
        <w:tc>
          <w:tcPr>
            <w:tcW w:w="16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LXSR</w:t>
            </w:r>
          </w:p>
        </w:tc>
        <w:tc>
          <w:tcPr>
            <w:tcW w:w="85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003012</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金融工具确认和计量（2017）：以摊余成本计量的金融资产和分类为以公允价值计量且其变动计入其他综合收益的金融资产按照实际利率法计算的利息收入当年累计发生额。其他项目的利息收入不得计入本项目。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投资收益</w:t>
            </w:r>
          </w:p>
        </w:tc>
        <w:tc>
          <w:tcPr>
            <w:tcW w:w="16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TZSY</w:t>
            </w:r>
          </w:p>
        </w:tc>
        <w:tc>
          <w:tcPr>
            <w:tcW w:w="85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001008</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金融工具确认和计量（2017）：对外投资收益或损失当年累计发生额。单位：元。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以公允价值计量且其变动计入其他综合收益</w:t>
            </w:r>
          </w:p>
        </w:tc>
        <w:tc>
          <w:tcPr>
            <w:tcW w:w="16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YGYJZJLQQBDJRQTZHSY</w:t>
            </w:r>
          </w:p>
        </w:tc>
        <w:tc>
          <w:tcPr>
            <w:tcW w:w="85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001008</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金融工具确认和计量（2017）：以公允价值计量且其变动计入其他综合收益的金融资产当年累计发生额。单位：元。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五级分类</w:t>
            </w:r>
          </w:p>
        </w:tc>
        <w:tc>
          <w:tcPr>
            <w:tcW w:w="16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WJFL</w:t>
            </w:r>
          </w:p>
        </w:tc>
        <w:tc>
          <w:tcPr>
            <w:tcW w:w="85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003010</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参照《业务代码表》中的“五级分类代码”，填报代码。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82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会计期间</w:t>
            </w:r>
          </w:p>
        </w:tc>
        <w:tc>
          <w:tcPr>
            <w:tcW w:w="16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KJQJ</w:t>
            </w:r>
          </w:p>
        </w:tc>
        <w:tc>
          <w:tcPr>
            <w:tcW w:w="85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002002</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归属期间。格式：YYYYMM，年度审计报告出具后报送审计调整后数据。</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r>
      <w:tr>
        <w:tblPrEx>
          <w:tblCellMar>
            <w:top w:w="0" w:type="dxa"/>
            <w:left w:w="108" w:type="dxa"/>
            <w:bottom w:w="0" w:type="dxa"/>
            <w:right w:w="108" w:type="dxa"/>
          </w:tblCellMar>
        </w:tblPrEx>
        <w:trPr>
          <w:trHeight w:val="82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报送周期</w:t>
            </w:r>
          </w:p>
        </w:tc>
        <w:tc>
          <w:tcPr>
            <w:tcW w:w="16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BSZQ</w:t>
            </w:r>
          </w:p>
        </w:tc>
        <w:tc>
          <w:tcPr>
            <w:tcW w:w="85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002016</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参照《业务代码表》中的“报送周期类型代码”，填报代码。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是</w:t>
            </w:r>
          </w:p>
        </w:tc>
      </w:tr>
      <w:tr>
        <w:tblPrEx>
          <w:tblCellMar>
            <w:top w:w="0" w:type="dxa"/>
            <w:left w:w="108" w:type="dxa"/>
            <w:bottom w:w="0" w:type="dxa"/>
            <w:right w:w="108" w:type="dxa"/>
          </w:tblCellMar>
        </w:tblPrEx>
        <w:trPr>
          <w:trHeight w:val="82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采集日期</w:t>
            </w:r>
          </w:p>
        </w:tc>
        <w:tc>
          <w:tcPr>
            <w:tcW w:w="169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CJRQ</w:t>
            </w:r>
          </w:p>
        </w:tc>
        <w:tc>
          <w:tcPr>
            <w:tcW w:w="85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001005</w:t>
            </w:r>
          </w:p>
        </w:tc>
        <w:tc>
          <w:tcPr>
            <w:tcW w:w="32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bl>
    <w:p>
      <w:pPr>
        <w:ind w:firstLine="0" w:firstLineChars="0"/>
      </w:pPr>
    </w:p>
    <w:p>
      <w:pPr>
        <w:pStyle w:val="3"/>
        <w:numPr>
          <w:ilvl w:val="0"/>
          <w:numId w:val="6"/>
        </w:numPr>
        <w:ind w:left="0"/>
        <w:rPr>
          <w:szCs w:val="30"/>
        </w:rPr>
      </w:pPr>
      <w:bookmarkStart w:id="212" w:name="_Toc98147818"/>
      <w:bookmarkStart w:id="213" w:name="_Toc16693"/>
      <w:bookmarkStart w:id="214" w:name="_Toc28251"/>
      <w:bookmarkStart w:id="215" w:name="_Toc23306"/>
      <w:bookmarkStart w:id="216" w:name="_Toc17366"/>
      <w:bookmarkStart w:id="217" w:name="_Toc73958615"/>
      <w:bookmarkStart w:id="218" w:name="_Toc6673"/>
      <w:bookmarkStart w:id="219" w:name="_Toc3368"/>
      <w:bookmarkStart w:id="220" w:name="_Toc2479"/>
      <w:bookmarkStart w:id="221" w:name="_Toc16356"/>
      <w:bookmarkStart w:id="222" w:name="_Toc25696"/>
      <w:bookmarkStart w:id="223" w:name="_Toc3950"/>
      <w:r>
        <w:rPr>
          <w:rFonts w:hint="eastAsia"/>
          <w:szCs w:val="30"/>
        </w:rPr>
        <w:t>保险集团（控股）公司关联交易</w:t>
      </w:r>
      <w:bookmarkEnd w:id="212"/>
      <w:bookmarkEnd w:id="213"/>
      <w:bookmarkEnd w:id="214"/>
      <w:bookmarkEnd w:id="215"/>
      <w:bookmarkEnd w:id="216"/>
      <w:bookmarkEnd w:id="217"/>
      <w:bookmarkEnd w:id="218"/>
      <w:bookmarkEnd w:id="219"/>
      <w:bookmarkEnd w:id="220"/>
      <w:bookmarkEnd w:id="221"/>
      <w:bookmarkEnd w:id="222"/>
      <w:bookmarkEnd w:id="223"/>
    </w:p>
    <w:p>
      <w:pPr>
        <w:pStyle w:val="4"/>
        <w:numPr>
          <w:ilvl w:val="0"/>
          <w:numId w:val="26"/>
        </w:numPr>
        <w:tabs>
          <w:tab w:val="left" w:pos="709"/>
          <w:tab w:val="left" w:pos="993"/>
        </w:tabs>
        <w:rPr>
          <w:rFonts w:ascii="仿宋" w:hAnsi="仿宋" w:eastAsia="仿宋"/>
        </w:rPr>
      </w:pPr>
      <w:bookmarkStart w:id="224" w:name="_Toc32423"/>
      <w:bookmarkStart w:id="225" w:name="_Toc18129"/>
      <w:bookmarkStart w:id="226" w:name="_Toc27889"/>
      <w:bookmarkStart w:id="227" w:name="_Toc16026"/>
      <w:bookmarkStart w:id="228" w:name="_Toc5889"/>
      <w:bookmarkStart w:id="229" w:name="_Toc15466"/>
      <w:bookmarkStart w:id="230" w:name="_Toc73958616"/>
      <w:r>
        <w:rPr>
          <w:rFonts w:hint="eastAsia" w:ascii="仿宋" w:hAnsi="仿宋" w:eastAsia="仿宋"/>
        </w:rPr>
        <w:t>关联方档案</w:t>
      </w:r>
      <w:bookmarkEnd w:id="224"/>
      <w:bookmarkEnd w:id="225"/>
      <w:bookmarkEnd w:id="226"/>
      <w:bookmarkEnd w:id="227"/>
      <w:bookmarkEnd w:id="228"/>
      <w:bookmarkEnd w:id="229"/>
      <w:bookmarkEnd w:id="230"/>
    </w:p>
    <w:p>
      <w:pPr>
        <w:keepNext/>
        <w:keepLines/>
        <w:numPr>
          <w:ilvl w:val="1"/>
          <w:numId w:val="7"/>
        </w:numPr>
        <w:ind w:firstLineChars="0"/>
        <w:outlineLvl w:val="3"/>
        <w:rPr>
          <w:rFonts w:ascii="仿宋" w:hAnsi="仿宋" w:eastAsia="仿宋"/>
          <w:b/>
        </w:rPr>
      </w:pPr>
      <w:r>
        <w:rPr>
          <w:rFonts w:hint="eastAsia" w:ascii="仿宋" w:hAnsi="仿宋" w:eastAsia="仿宋"/>
          <w:b/>
        </w:rPr>
        <w:t>法人或其他组织关联方信息表</w:t>
      </w:r>
    </w:p>
    <w:tbl>
      <w:tblPr>
        <w:tblStyle w:val="25"/>
        <w:tblW w:w="8824" w:type="dxa"/>
        <w:tblInd w:w="0" w:type="dxa"/>
        <w:tblLayout w:type="fixed"/>
        <w:tblCellMar>
          <w:top w:w="0" w:type="dxa"/>
          <w:left w:w="108" w:type="dxa"/>
          <w:bottom w:w="0" w:type="dxa"/>
          <w:right w:w="108" w:type="dxa"/>
        </w:tblCellMar>
      </w:tblPr>
      <w:tblGrid>
        <w:gridCol w:w="1691"/>
        <w:gridCol w:w="1701"/>
        <w:gridCol w:w="851"/>
        <w:gridCol w:w="3118"/>
        <w:gridCol w:w="709"/>
        <w:gridCol w:w="754"/>
      </w:tblGrid>
      <w:tr>
        <w:tblPrEx>
          <w:tblCellMar>
            <w:top w:w="0" w:type="dxa"/>
            <w:left w:w="108" w:type="dxa"/>
            <w:bottom w:w="0" w:type="dxa"/>
            <w:right w:w="108" w:type="dxa"/>
          </w:tblCellMar>
        </w:tblPrEx>
        <w:trPr>
          <w:trHeight w:val="290" w:hRule="atLeast"/>
        </w:trPr>
        <w:tc>
          <w:tcPr>
            <w:tcW w:w="16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701"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851"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458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57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FRHQTZZGLFXXB</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法人或其他组织关联方信息表</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D0101</w:t>
            </w:r>
          </w:p>
        </w:tc>
        <w:tc>
          <w:tcPr>
            <w:tcW w:w="458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本表报送保险集团（控股）公司的法人或其他组织关联方基础信息。在进行关联方认定时，应按照实质重于形式的原则认定。</w:t>
            </w:r>
          </w:p>
        </w:tc>
      </w:tr>
      <w:tr>
        <w:tblPrEx>
          <w:tblCellMar>
            <w:top w:w="0" w:type="dxa"/>
            <w:left w:w="108" w:type="dxa"/>
            <w:bottom w:w="0" w:type="dxa"/>
            <w:right w:w="108" w:type="dxa"/>
          </w:tblCellMar>
        </w:tblPrEx>
        <w:trPr>
          <w:trHeight w:val="79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55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保险集团（控股）公司保险许可证号码</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JT_BXXKZHM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001042</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中国银保监会统一设计和印制，授权给保险机构经营保险业务的许可证上记录的机构编码。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5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保险集团（控股）公司统一社会信用代码</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JT_TYSHXYDM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001003</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保险集团（控股）公司的统一社会信用代码。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79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保险集团（控股）公司名称</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JT_MC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保险集团（控股）公司的保险许可证中的机构名称。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流水号</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LSH</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001001</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5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法人或其他组织关联方法定名称</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GL_FRHQTZZGLFFDMC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法人或其他组织关联方的名称应是经工商管理部门批准正式使用的全称，与关联方公章所使用的名称完全一致。</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法人或其他组织关联方证件类型</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GL_FRHQTZZGLFZJLX</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参照《业务代码表》中的“证件类型代码”，填报代码。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71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法人或其他组织关联方证件号码</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GL_FRHQTZZGLFZJHM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境内法人填报时必须按照技术监督部门发放的统一社会信用代码填写。统一社会信用代码是根据中华人民共和国国家标准《法人和其他组织统一社会信用代码编码规则》（GB32100-2015），由统一社会信用代码登记主管部门给每个企业、事业客户、机关和社会团体颁发的在全国范围内唯一的、始终不变的法定代码。境外法人机构则填写企业注册码、税务号等有效代码。如果无法获取，可填写填报机构自行编制代码。如填写统一社会信用代码，则进行18位长度校验。自行编制代码为14位，规则为报送机构的9位组织机构代码+1位关联方类型代码+4位顺序号，其中，第10位的关联方类型代码应填写1，代表关联方/关联方中间节点类型为法人或其他组织。</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5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法人或其他组织关联方证件到期日</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GL_FRHQTZZGLFZJDQR</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法人或其他组织关联方证件到期日。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境内外标识</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JNWBS</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002017</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参照《业务代码表》中的“境内外标识代码”，填报代码。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p>
      <w:pPr>
        <w:keepNext/>
        <w:keepLines/>
        <w:numPr>
          <w:ilvl w:val="1"/>
          <w:numId w:val="7"/>
        </w:numPr>
        <w:ind w:firstLineChars="0"/>
        <w:outlineLvl w:val="3"/>
        <w:rPr>
          <w:rFonts w:ascii="仿宋" w:hAnsi="仿宋" w:eastAsia="仿宋"/>
          <w:b/>
        </w:rPr>
      </w:pPr>
      <w:r>
        <w:rPr>
          <w:rFonts w:hint="eastAsia" w:ascii="仿宋" w:hAnsi="仿宋" w:eastAsia="仿宋"/>
          <w:b/>
        </w:rPr>
        <w:t>自然人关联方信息表</w:t>
      </w:r>
    </w:p>
    <w:tbl>
      <w:tblPr>
        <w:tblStyle w:val="25"/>
        <w:tblW w:w="8824" w:type="dxa"/>
        <w:tblInd w:w="0" w:type="dxa"/>
        <w:tblLayout w:type="fixed"/>
        <w:tblCellMar>
          <w:top w:w="0" w:type="dxa"/>
          <w:left w:w="108" w:type="dxa"/>
          <w:bottom w:w="0" w:type="dxa"/>
          <w:right w:w="108" w:type="dxa"/>
        </w:tblCellMar>
      </w:tblPr>
      <w:tblGrid>
        <w:gridCol w:w="1476"/>
        <w:gridCol w:w="1349"/>
        <w:gridCol w:w="851"/>
        <w:gridCol w:w="3685"/>
        <w:gridCol w:w="709"/>
        <w:gridCol w:w="754"/>
      </w:tblGrid>
      <w:tr>
        <w:tblPrEx>
          <w:tblCellMar>
            <w:top w:w="0" w:type="dxa"/>
            <w:left w:w="108" w:type="dxa"/>
            <w:bottom w:w="0" w:type="dxa"/>
            <w:right w:w="108" w:type="dxa"/>
          </w:tblCellMar>
        </w:tblPrEx>
        <w:trPr>
          <w:trHeight w:val="290" w:hRule="atLeast"/>
        </w:trPr>
        <w:tc>
          <w:tcPr>
            <w:tcW w:w="14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349"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851"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14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57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ZRRGLFXXB</w:t>
            </w:r>
          </w:p>
        </w:tc>
        <w:tc>
          <w:tcPr>
            <w:tcW w:w="13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自然人关联方信息表</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D0102</w:t>
            </w:r>
          </w:p>
        </w:tc>
        <w:tc>
          <w:tcPr>
            <w:tcW w:w="514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本表报送保险集团（控股）公司的自然人关联方数据。在进行关联方认定时，应按照实质重于形式的原则认定。</w:t>
            </w:r>
          </w:p>
        </w:tc>
      </w:tr>
      <w:tr>
        <w:tblPrEx>
          <w:tblCellMar>
            <w:top w:w="0" w:type="dxa"/>
            <w:left w:w="108" w:type="dxa"/>
            <w:bottom w:w="0" w:type="dxa"/>
            <w:right w:w="108" w:type="dxa"/>
          </w:tblCellMar>
        </w:tblPrEx>
        <w:trPr>
          <w:trHeight w:val="79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3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55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保险集团（控股）公司保险许可证号码</w:t>
            </w:r>
          </w:p>
        </w:tc>
        <w:tc>
          <w:tcPr>
            <w:tcW w:w="13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JT_BXXKZHM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001042</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中国银保监会统一设计和印制，授权给保险机构经营保险业务的许可证上记录的机构编码。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5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保险集团（控股）公司统一社会信用代码</w:t>
            </w:r>
          </w:p>
        </w:tc>
        <w:tc>
          <w:tcPr>
            <w:tcW w:w="13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JT_TYSHXYDM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001003</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保险集团（控股）公司的统一社会信用代码。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79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保险集团（控股）公司名称</w:t>
            </w:r>
          </w:p>
        </w:tc>
        <w:tc>
          <w:tcPr>
            <w:tcW w:w="13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JT_MC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保险集团（控股）公司的保险许可证中的机构名称。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流水号</w:t>
            </w:r>
          </w:p>
        </w:tc>
        <w:tc>
          <w:tcPr>
            <w:tcW w:w="13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LSH</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001001</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5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自然人关联方法定名称</w:t>
            </w:r>
          </w:p>
        </w:tc>
        <w:tc>
          <w:tcPr>
            <w:tcW w:w="13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GL_ZRRGLFFDMC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001011</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填写合法身份证件上使用的姓名。隐私，保险集团（控股）公司变形。</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自然人关联方证件类型</w:t>
            </w:r>
          </w:p>
        </w:tc>
        <w:tc>
          <w:tcPr>
            <w:tcW w:w="13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GL_ZRRGLFZJLX</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参照《业务代码表》中的“证件类型代码”，填报代码。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自然人关联方证件号码</w:t>
            </w:r>
          </w:p>
        </w:tc>
        <w:tc>
          <w:tcPr>
            <w:tcW w:w="13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GL_ZRRGLFZJHM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001018</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境内自然人，则必须填写合法身份证件的号码。境外自然人，需填写护照号，如无法获取，则填写填报机构自行编制号码。隐私，保险集团（控股）公司变形。</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5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自然人关联方证件到期日</w:t>
            </w:r>
          </w:p>
        </w:tc>
        <w:tc>
          <w:tcPr>
            <w:tcW w:w="13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GL_ZRRGLFZJDQR</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自然人关联方证件到期日。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境内外标识</w:t>
            </w:r>
          </w:p>
        </w:tc>
        <w:tc>
          <w:tcPr>
            <w:tcW w:w="13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JNWBS</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002017</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参照《业务代码表》中的“境内外标识代码”，填报代码。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47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3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p>
      <w:pPr>
        <w:keepNext/>
        <w:keepLines/>
        <w:numPr>
          <w:ilvl w:val="1"/>
          <w:numId w:val="7"/>
        </w:numPr>
        <w:ind w:firstLineChars="0"/>
        <w:outlineLvl w:val="3"/>
        <w:rPr>
          <w:rFonts w:ascii="仿宋" w:hAnsi="仿宋" w:eastAsia="仿宋"/>
          <w:b/>
        </w:rPr>
      </w:pPr>
      <w:r>
        <w:rPr>
          <w:rFonts w:hint="eastAsia" w:ascii="仿宋" w:hAnsi="仿宋" w:eastAsia="仿宋"/>
          <w:b/>
        </w:rPr>
        <w:t>金融产品信息表</w:t>
      </w:r>
    </w:p>
    <w:tbl>
      <w:tblPr>
        <w:tblStyle w:val="25"/>
        <w:tblW w:w="8824" w:type="dxa"/>
        <w:tblInd w:w="0" w:type="dxa"/>
        <w:tblLayout w:type="fixed"/>
        <w:tblCellMar>
          <w:top w:w="0" w:type="dxa"/>
          <w:left w:w="108" w:type="dxa"/>
          <w:bottom w:w="0" w:type="dxa"/>
          <w:right w:w="108" w:type="dxa"/>
        </w:tblCellMar>
      </w:tblPr>
      <w:tblGrid>
        <w:gridCol w:w="1550"/>
        <w:gridCol w:w="1275"/>
        <w:gridCol w:w="853"/>
        <w:gridCol w:w="3683"/>
        <w:gridCol w:w="709"/>
        <w:gridCol w:w="754"/>
      </w:tblGrid>
      <w:tr>
        <w:tblPrEx>
          <w:tblCellMar>
            <w:top w:w="0" w:type="dxa"/>
            <w:left w:w="108" w:type="dxa"/>
            <w:bottom w:w="0" w:type="dxa"/>
            <w:right w:w="108" w:type="dxa"/>
          </w:tblCellMar>
        </w:tblPrEx>
        <w:trPr>
          <w:trHeight w:val="290" w:hRule="atLeast"/>
        </w:trPr>
        <w:tc>
          <w:tcPr>
            <w:tcW w:w="155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27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85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146"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57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JRCPXXB</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金融产品信息表</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D0103</w:t>
            </w:r>
          </w:p>
        </w:tc>
        <w:tc>
          <w:tcPr>
            <w:tcW w:w="5146"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在保险集团（控股）公司的关联方认定或关联交易中涉及的金融产品，以便向上识别产品的最终投资者，向下识别产品的底层资产，包含但不限于以下情况：关联方发行的金融产品、金融产品基础资产涉及关联方、与关联方共同投资。</w:t>
            </w:r>
          </w:p>
        </w:tc>
      </w:tr>
      <w:tr>
        <w:tblPrEx>
          <w:tblCellMar>
            <w:top w:w="0" w:type="dxa"/>
            <w:left w:w="108" w:type="dxa"/>
            <w:bottom w:w="0" w:type="dxa"/>
            <w:right w:w="108" w:type="dxa"/>
          </w:tblCellMar>
        </w:tblPrEx>
        <w:trPr>
          <w:trHeight w:val="7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保险集团（控股）公司保险许可证号码</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JT_BXXKZHM</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001042</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中国银保监会统一设计和印制，授权给保险机构经营保险业务的许可证上记录的机构编码。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保险集团（控股）公司统一社会信用代码</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JT_TYSHXYDM</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001003</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保险集团（控股）公司的统一社会信用代码。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7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保险集团（控股）公司名称</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JT_MC</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保险集团（控股）公司的保险许可证中的机构名称。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流水号</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LSH</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001001</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金融产品全称</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JRCPQC</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003017</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金融产品在批准、注册或备案后的产品名称。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136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产品批准/注册/备案号</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CPPZ_ZC_BAH</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004001</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批准、注册或备案机构配发的核准编号。如产品报送时产品批准、注册或备案号尚未公布，则填写产品管理人的内部编号，待后续产品批准、注册或备案号公布后及时更新。内部编号为14位，规则为报送机构的9位组织机构代码+3+4位顺序号。3代表关联方/关联方中间节点类型为金融产品等其他。</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产品代码</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CPDM</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003016</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由产品登记机构配发的产品代码。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3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产品分类</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CPFL</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003026</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参照《业务代码表》中的“产品类型代码”，填报代码。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产品登记机构</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CPDJJG</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为产品信息及份额信息等提供登记、托管等服务的机构。</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3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产品管理人法定名称</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GL_CPGLRFDMC</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发起产品设立、募集，并提供后续管理的金融机构。</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产品管理人证件类型</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GL_CPGLRZJLX</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产品管理人证件类型。参照《业务代码表》中的“证件类型代码”，填报代码。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产品管理人证件号码</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GL_CPGLRZJHM</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001003</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境内法人机构填写统一社会信用代码。境外法人机构则填写企业注册码、税务号等有效代码。如无上述代码，机构可自行定义。</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产品管理人证件到期日</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GL_CPGLRZJDQR</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产品管理人证件到期日。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产品托管人法定名称</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GL_CPTGRFDMC</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负责本金融产品托管业务的金融机构。</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产品托管人证件类型</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GL_CPTGRZJLX</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产品托管人证件类型。参照《业务代码表》中的“证件类型代码”，填报代码。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产品托管人证件号码</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GL_CPTGRZJHM</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001003</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境内法人机构填写统一社会信用代码。境外法人机构则填写企业注册码、税务号等有效代码。如无上述代码，机构可自行定义。</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产品托管人证件到期日</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GL_CPTGRZJDQR</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产品托管人证件到期日。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6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p>
      <w:pPr>
        <w:keepNext/>
        <w:keepLines/>
        <w:numPr>
          <w:ilvl w:val="1"/>
          <w:numId w:val="7"/>
        </w:numPr>
        <w:ind w:firstLineChars="0"/>
        <w:outlineLvl w:val="3"/>
        <w:rPr>
          <w:rFonts w:ascii="仿宋" w:hAnsi="仿宋" w:eastAsia="仿宋"/>
          <w:b/>
        </w:rPr>
      </w:pPr>
      <w:r>
        <w:rPr>
          <w:rFonts w:hint="eastAsia" w:ascii="仿宋" w:hAnsi="仿宋" w:eastAsia="仿宋"/>
          <w:b/>
        </w:rPr>
        <w:t>关联关系图谱</w:t>
      </w:r>
    </w:p>
    <w:tbl>
      <w:tblPr>
        <w:tblStyle w:val="25"/>
        <w:tblW w:w="8824" w:type="dxa"/>
        <w:tblInd w:w="0" w:type="dxa"/>
        <w:tblLayout w:type="fixed"/>
        <w:tblCellMar>
          <w:top w:w="0" w:type="dxa"/>
          <w:left w:w="108" w:type="dxa"/>
          <w:bottom w:w="0" w:type="dxa"/>
          <w:right w:w="108" w:type="dxa"/>
        </w:tblCellMar>
      </w:tblPr>
      <w:tblGrid>
        <w:gridCol w:w="1691"/>
        <w:gridCol w:w="1133"/>
        <w:gridCol w:w="852"/>
        <w:gridCol w:w="3687"/>
        <w:gridCol w:w="709"/>
        <w:gridCol w:w="752"/>
      </w:tblGrid>
      <w:tr>
        <w:tblPrEx>
          <w:tblCellMar>
            <w:top w:w="0" w:type="dxa"/>
            <w:left w:w="108" w:type="dxa"/>
            <w:bottom w:w="0" w:type="dxa"/>
            <w:right w:w="108" w:type="dxa"/>
          </w:tblCellMar>
        </w:tblPrEx>
        <w:trPr>
          <w:trHeight w:val="290" w:hRule="atLeast"/>
        </w:trPr>
        <w:tc>
          <w:tcPr>
            <w:tcW w:w="16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13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852"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14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57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GLGXTP</w:t>
            </w:r>
          </w:p>
        </w:tc>
        <w:tc>
          <w:tcPr>
            <w:tcW w:w="113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关联关系图谱</w:t>
            </w:r>
          </w:p>
        </w:tc>
        <w:tc>
          <w:tcPr>
            <w:tcW w:w="8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D0104</w:t>
            </w:r>
          </w:p>
        </w:tc>
        <w:tc>
          <w:tcPr>
            <w:tcW w:w="514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形成保险集团（控股）公司的自然人关联方、法人或非法人组织的关联关系，出于关联方穿透管理的需要，通过金融产品持股或施加重大影响形成的关联方，将相应金融产品作为关联方中间节点进行报送。数据报送以填报机构为最前一层关联方逐步向后扩展；两个关联方之间同一关联关系填报时，仅填报一个方向即可；自然人股东的近亲属持有或控制填报机构股份，持有或控制的股份应与自然人股东持有或控制填报机构股份分别填报。根节点数据无需报送。</w:t>
            </w:r>
          </w:p>
        </w:tc>
      </w:tr>
      <w:tr>
        <w:tblPrEx>
          <w:tblCellMar>
            <w:top w:w="0" w:type="dxa"/>
            <w:left w:w="108" w:type="dxa"/>
            <w:bottom w:w="0" w:type="dxa"/>
            <w:right w:w="108" w:type="dxa"/>
          </w:tblCellMar>
        </w:tblPrEx>
        <w:trPr>
          <w:trHeight w:val="79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13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8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55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保险集团（控股）公司保险许可证号码</w:t>
            </w:r>
          </w:p>
        </w:tc>
        <w:tc>
          <w:tcPr>
            <w:tcW w:w="113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JT_BXXKZHM</w:t>
            </w:r>
          </w:p>
        </w:tc>
        <w:tc>
          <w:tcPr>
            <w:tcW w:w="8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001042</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中国银保监会统一设计和印制，授权给保险机构经营保险业务的许可证上记录的机构编码。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5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保险集团（控股）公司统一社会信用代码</w:t>
            </w:r>
          </w:p>
        </w:tc>
        <w:tc>
          <w:tcPr>
            <w:tcW w:w="113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JT_TYSHXYDM</w:t>
            </w:r>
          </w:p>
        </w:tc>
        <w:tc>
          <w:tcPr>
            <w:tcW w:w="8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001003</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保险集团（控股）公司的统一社会信用代码。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79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保险集团（控股）公司名称</w:t>
            </w:r>
          </w:p>
        </w:tc>
        <w:tc>
          <w:tcPr>
            <w:tcW w:w="113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JT_MC</w:t>
            </w:r>
          </w:p>
        </w:tc>
        <w:tc>
          <w:tcPr>
            <w:tcW w:w="8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保险集团（控股）公司的保险许可证中的机构名称。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流水号</w:t>
            </w:r>
          </w:p>
        </w:tc>
        <w:tc>
          <w:tcPr>
            <w:tcW w:w="113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LSH</w:t>
            </w:r>
          </w:p>
        </w:tc>
        <w:tc>
          <w:tcPr>
            <w:tcW w:w="8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001001</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5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关联方名称/关联方中间节点名称</w:t>
            </w:r>
          </w:p>
        </w:tc>
        <w:tc>
          <w:tcPr>
            <w:tcW w:w="113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GLFMC_GLFZJJDMC</w:t>
            </w:r>
          </w:p>
        </w:tc>
        <w:tc>
          <w:tcPr>
            <w:tcW w:w="8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关联方名称填写法人或非法人组织的名称、自然人姓名。关联方中间节点名称填写金融产品名称。若为自然人姓名，隐私，保险集团（控股）公司变形。</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关联方代码/关联方中间节点代码</w:t>
            </w:r>
          </w:p>
        </w:tc>
        <w:tc>
          <w:tcPr>
            <w:tcW w:w="113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GLFDM_GLFZJJDDM</w:t>
            </w:r>
          </w:p>
        </w:tc>
        <w:tc>
          <w:tcPr>
            <w:tcW w:w="8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004002</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关联方代码填写法人或其他组织的统一社会信用代码等有效代码、自然人对应证件类型的证件号码。关联方中间节点代码填写金融产品的批准、注册/备案号。若为自然人证件号码，隐私，保险集团（控股）公司变形。</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5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关联方/关联方中间节点类型</w:t>
            </w:r>
          </w:p>
        </w:tc>
        <w:tc>
          <w:tcPr>
            <w:tcW w:w="113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GLF_GLFZJJDLX</w:t>
            </w:r>
          </w:p>
        </w:tc>
        <w:tc>
          <w:tcPr>
            <w:tcW w:w="8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004003</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枚举值为“法人或非法人组织；自然人；金融产品等其他”。</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前一层关联方名称/关联方中间节点名称</w:t>
            </w:r>
          </w:p>
        </w:tc>
        <w:tc>
          <w:tcPr>
            <w:tcW w:w="113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QYCGLFMC_GLFZJJDMC</w:t>
            </w:r>
          </w:p>
        </w:tc>
        <w:tc>
          <w:tcPr>
            <w:tcW w:w="8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填写前一层法人或非法人组织的法人名称、自然人姓名、金融产品的产品全称。若为自然人姓名，隐私，保险集团（控股）公司变形。</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前一层关联方代码/关联方中间节点代码</w:t>
            </w:r>
          </w:p>
        </w:tc>
        <w:tc>
          <w:tcPr>
            <w:tcW w:w="113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QYCGLFDM_GLFZJJDDM</w:t>
            </w:r>
          </w:p>
        </w:tc>
        <w:tc>
          <w:tcPr>
            <w:tcW w:w="8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004002</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填写法人或其他组织的统一社会信用代码等有效代码、自然人的证件号码、金融产品的批准、注册/备案号。若为自然人证件号码，隐私，保险集团（控股）公司变形。</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5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前一层关联方/关联方中间节点类型</w:t>
            </w:r>
          </w:p>
        </w:tc>
        <w:tc>
          <w:tcPr>
            <w:tcW w:w="113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QYCGLF_GLFZJJDLX</w:t>
            </w:r>
          </w:p>
        </w:tc>
        <w:tc>
          <w:tcPr>
            <w:tcW w:w="8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004003</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枚举值为“法人或非法人组织；自然人；金融产品等其他”。</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与前一层的关联关系</w:t>
            </w:r>
          </w:p>
        </w:tc>
        <w:tc>
          <w:tcPr>
            <w:tcW w:w="113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YQYCDGLGX</w:t>
            </w:r>
          </w:p>
        </w:tc>
        <w:tc>
          <w:tcPr>
            <w:tcW w:w="8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004012</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参照《业务代码表》中的“关联关系代码”，填报代码。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5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与前一层之间是否有权益份额</w:t>
            </w:r>
          </w:p>
        </w:tc>
        <w:tc>
          <w:tcPr>
            <w:tcW w:w="113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YQYCZJSFYQYFE</w:t>
            </w:r>
          </w:p>
        </w:tc>
        <w:tc>
          <w:tcPr>
            <w:tcW w:w="8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004004</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枚举值为“是，对前一层持有；是，被前一层持有；否”。</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109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持有比例</w:t>
            </w:r>
          </w:p>
        </w:tc>
        <w:tc>
          <w:tcPr>
            <w:tcW w:w="113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CYBL</w:t>
            </w:r>
          </w:p>
        </w:tc>
        <w:tc>
          <w:tcPr>
            <w:tcW w:w="8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001049</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当“与前一层之间是否有权益份额”为“是，对前一层持有”或“是，被前一层持有”时，持有比例为必填。填报持有或被前一层关联方持有权益份额的比例，填数字，不填百分比，最少保留两位小数，比如12.34%填写为12.34。</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109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质押股权比例</w:t>
            </w:r>
          </w:p>
        </w:tc>
        <w:tc>
          <w:tcPr>
            <w:tcW w:w="113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ZYGQBL</w:t>
            </w:r>
          </w:p>
        </w:tc>
        <w:tc>
          <w:tcPr>
            <w:tcW w:w="8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001049</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当填报机构为前一层关联方时，关联方持有前一层关联方的质押股权数量占持有的股权总量的比例。与前一层之间是否有权益份额为“是，对前一层持有”或“是，被前一层持有”时，质押股权比例为必填，填数字，不填百分比，最少保留两位小数，比如12.34%填写为12.34。</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关联关系说明</w:t>
            </w:r>
          </w:p>
        </w:tc>
        <w:tc>
          <w:tcPr>
            <w:tcW w:w="113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GLGXSM</w:t>
            </w:r>
          </w:p>
        </w:tc>
        <w:tc>
          <w:tcPr>
            <w:tcW w:w="8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002011</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形成关联关系的原因说明。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该关系是否仍然有效</w:t>
            </w:r>
          </w:p>
        </w:tc>
        <w:tc>
          <w:tcPr>
            <w:tcW w:w="113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GGXSFRRYX</w:t>
            </w:r>
          </w:p>
        </w:tc>
        <w:tc>
          <w:tcPr>
            <w:tcW w:w="8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001010</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参照《业务代码表》中的“是否判断代码”，填报代码。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生效日期</w:t>
            </w:r>
          </w:p>
        </w:tc>
        <w:tc>
          <w:tcPr>
            <w:tcW w:w="113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SXRQ</w:t>
            </w:r>
          </w:p>
        </w:tc>
        <w:tc>
          <w:tcPr>
            <w:tcW w:w="8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该关联关系生效的时间。YYYYMMDD。</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失效日期</w:t>
            </w:r>
          </w:p>
        </w:tc>
        <w:tc>
          <w:tcPr>
            <w:tcW w:w="113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SXRQ2</w:t>
            </w:r>
          </w:p>
        </w:tc>
        <w:tc>
          <w:tcPr>
            <w:tcW w:w="8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该关联关系失效的时间。YYYYMMDD。当“该关系是否仍然有效”为否时，失效日期字段为必填。关联关系仍然有效，失效日期不填，无效时必填。失效日期大于生效日期。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13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8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68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p>
      <w:pPr>
        <w:pStyle w:val="4"/>
        <w:numPr>
          <w:ilvl w:val="0"/>
          <w:numId w:val="26"/>
        </w:numPr>
        <w:tabs>
          <w:tab w:val="left" w:pos="709"/>
          <w:tab w:val="left" w:pos="993"/>
        </w:tabs>
        <w:rPr>
          <w:rFonts w:ascii="仿宋" w:hAnsi="仿宋" w:eastAsia="仿宋"/>
        </w:rPr>
      </w:pPr>
      <w:bookmarkStart w:id="231" w:name="_Toc15645"/>
      <w:bookmarkStart w:id="232" w:name="_Toc15089"/>
      <w:bookmarkStart w:id="233" w:name="_Toc26875"/>
      <w:bookmarkStart w:id="234" w:name="_Toc20580"/>
      <w:bookmarkStart w:id="235" w:name="_Toc8220"/>
      <w:bookmarkStart w:id="236" w:name="_Toc73958617"/>
      <w:bookmarkStart w:id="237" w:name="_Toc13829"/>
      <w:r>
        <w:rPr>
          <w:rFonts w:hint="eastAsia" w:ascii="仿宋" w:hAnsi="仿宋" w:eastAsia="仿宋"/>
        </w:rPr>
        <w:t>关联交易详情</w:t>
      </w:r>
      <w:bookmarkEnd w:id="231"/>
      <w:bookmarkEnd w:id="232"/>
      <w:bookmarkEnd w:id="233"/>
      <w:bookmarkEnd w:id="234"/>
      <w:bookmarkEnd w:id="235"/>
      <w:bookmarkEnd w:id="236"/>
      <w:bookmarkEnd w:id="237"/>
    </w:p>
    <w:p>
      <w:pPr>
        <w:keepNext/>
        <w:keepLines/>
        <w:numPr>
          <w:ilvl w:val="1"/>
          <w:numId w:val="7"/>
        </w:numPr>
        <w:ind w:firstLineChars="0"/>
        <w:outlineLvl w:val="3"/>
        <w:rPr>
          <w:rFonts w:ascii="仿宋" w:hAnsi="仿宋" w:eastAsia="仿宋"/>
          <w:b/>
        </w:rPr>
      </w:pPr>
      <w:r>
        <w:rPr>
          <w:rFonts w:hint="eastAsia" w:ascii="仿宋" w:hAnsi="仿宋" w:eastAsia="仿宋"/>
          <w:b/>
        </w:rPr>
        <w:t>重大关联交易明细表</w:t>
      </w:r>
    </w:p>
    <w:bookmarkEnd w:id="137"/>
    <w:bookmarkEnd w:id="138"/>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tbl>
      <w:tblPr>
        <w:tblStyle w:val="25"/>
        <w:tblW w:w="8824" w:type="dxa"/>
        <w:tblInd w:w="0" w:type="dxa"/>
        <w:tblLayout w:type="fixed"/>
        <w:tblCellMar>
          <w:top w:w="0" w:type="dxa"/>
          <w:left w:w="108" w:type="dxa"/>
          <w:bottom w:w="0" w:type="dxa"/>
          <w:right w:w="108" w:type="dxa"/>
        </w:tblCellMar>
      </w:tblPr>
      <w:tblGrid>
        <w:gridCol w:w="1550"/>
        <w:gridCol w:w="1275"/>
        <w:gridCol w:w="851"/>
        <w:gridCol w:w="3685"/>
        <w:gridCol w:w="709"/>
        <w:gridCol w:w="754"/>
      </w:tblGrid>
      <w:tr>
        <w:tblPrEx>
          <w:tblCellMar>
            <w:top w:w="0" w:type="dxa"/>
            <w:left w:w="108" w:type="dxa"/>
            <w:bottom w:w="0" w:type="dxa"/>
            <w:right w:w="108" w:type="dxa"/>
          </w:tblCellMar>
        </w:tblPrEx>
        <w:trPr>
          <w:trHeight w:val="290" w:hRule="atLeast"/>
        </w:trPr>
        <w:tc>
          <w:tcPr>
            <w:tcW w:w="155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27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851"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14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57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ZDGLJYMXB</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重大关联交易明细表</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D0201</w:t>
            </w:r>
          </w:p>
        </w:tc>
        <w:tc>
          <w:tcPr>
            <w:tcW w:w="514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本表报送报告期内保险集团（控股）公司与关联方之间发生的各类重大关联交易，《银行保险机构关联交易管理办法》中明确的豁免事项免于报送。</w:t>
            </w:r>
          </w:p>
        </w:tc>
      </w:tr>
      <w:tr>
        <w:tblPrEx>
          <w:tblCellMar>
            <w:top w:w="0" w:type="dxa"/>
            <w:left w:w="108" w:type="dxa"/>
            <w:bottom w:w="0" w:type="dxa"/>
            <w:right w:w="108" w:type="dxa"/>
          </w:tblCellMar>
        </w:tblPrEx>
        <w:trPr>
          <w:trHeight w:val="7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保险集团（控股）公司保险许可证号码</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JT_BXXKZHM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001042</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中国银保监会统一设计和印制，授权给保险机构经营保险业务的许可证上记录的机构编码。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保险集团（控股）公司统一社会信用代码</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JT_TYSHXYDM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001003</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保险集团（控股）公司的统一社会信用代码。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7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保险集团（控股）公司名称</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JT_MC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保险集团（控股）公司的保险许可证中的机构名称。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流水号</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LSH</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001001</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交易编号</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JYBH</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001023</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机构自定义该笔交易的唯一识别号。</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3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交易标的</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JYBD</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004009</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填报机构与关联方之间发生关联交易的标的或其资产情况。</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合同编号</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HTBH</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003056</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关联交易协议的编号。</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3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合同签署日期</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HTQSRQ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填报合同最后一方签署日期。YYYYMMDD。</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关联交易类型</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GLJYLX</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004005</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参照《业务代码表》中的“关联交易类型代码”，填报关联交易类型代码。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3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关联交易子类</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GLJYZL</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004006</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参照《业务代码表》中的“关联交易类型代码”，填报关联交易子类代码。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交易金额</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JYJE</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填报机构与关联方之间关联交易的交易对价或转移利益的金额。核算成人民币，单位：元。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交易价格</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JYJG</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w:t>
            </w:r>
            <w:r>
              <w:rPr>
                <w:rFonts w:ascii="宋体" w:hAnsi="宋体" w:eastAsia="宋体"/>
                <w:color w:val="000000"/>
                <w:sz w:val="21"/>
                <w:szCs w:val="21"/>
              </w:rPr>
              <w:t>4013</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以单笔关联交易各类业务的交易价格说明为准。单位：元。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定价政策</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DJZC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004007</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交易定价的确定原则及定价方法。</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对财务状况及经营成果的影响</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DCWZKJJYCGDYX</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004008</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对填报机构财务状况及经营成果的描述。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关联方类型</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GLFLX</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004010</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参照《业务代码表》中的“关联方类型代码”，填报代码。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关联方法定名称</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GL_GLFFDMC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填写法人或其他组织的法人名称、自然人姓名。若为自然人名称，隐私，保险集团（控股）公司变形。</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关联方证件类型</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GL_GLFZJLX</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关联方证件类型。参照《业务代码表》中的“证件类型代码”，填报代码。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关联方证件号码</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GL_GLFZJHM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004002</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填写法人或其他组织的统一社会信用代码等有效代码、自然人的证件号码。若为自然人证件号码，隐私，保险集团（控股）公司变形。</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关联方证件到期日</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GL_GLFZJDQR</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关联方证件到期日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达到重大关联交易的情形</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DDZDGLJYDQX</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004011</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枚举值为“单笔达到；累计达到”。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本年度与该关联方发生的关联交易累计金额</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BNDYGGLFFSDGLJYLJJE</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当达到重大关联交易的情形字段为“累计达到”，该字段为必填，核算成人民币，单位：元。除单笔达到重大关联交易及统一交易协议外，本年度与该关联方发生的累计交易金额，包括本笔交易金额在内。</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本年度与该关联方发生的重大关联交易明细批次</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BNDYGGLFFSDZDGLJYMXPC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001013</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当达到重大关联交易的情形字段为“累计达到”，该字段为必填，填报本年度与该关联方发生重点关联交易的批次号，当第一次累计达到重大关联交易时填报“1”，重新计算后第二次达到时填报“2”，以此类推。</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2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其他说明事项</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QTSMSX</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002011</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除上述关键信息以外，其他需说明的重要或特殊事项。</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p>
      <w:pPr>
        <w:keepNext/>
        <w:keepLines/>
        <w:numPr>
          <w:ilvl w:val="1"/>
          <w:numId w:val="7"/>
        </w:numPr>
        <w:ind w:firstLineChars="0"/>
        <w:outlineLvl w:val="3"/>
        <w:rPr>
          <w:rFonts w:ascii="仿宋" w:hAnsi="仿宋" w:eastAsia="仿宋"/>
          <w:b/>
        </w:rPr>
      </w:pPr>
      <w:r>
        <w:rPr>
          <w:rFonts w:hint="eastAsia" w:ascii="仿宋" w:hAnsi="仿宋" w:eastAsia="仿宋"/>
          <w:b/>
        </w:rPr>
        <w:t>一般关联交易明细表</w:t>
      </w:r>
    </w:p>
    <w:tbl>
      <w:tblPr>
        <w:tblStyle w:val="25"/>
        <w:tblW w:w="8824" w:type="dxa"/>
        <w:tblInd w:w="0" w:type="dxa"/>
        <w:tblLayout w:type="fixed"/>
        <w:tblCellMar>
          <w:top w:w="0" w:type="dxa"/>
          <w:left w:w="108" w:type="dxa"/>
          <w:bottom w:w="0" w:type="dxa"/>
          <w:right w:w="108" w:type="dxa"/>
        </w:tblCellMar>
      </w:tblPr>
      <w:tblGrid>
        <w:gridCol w:w="1550"/>
        <w:gridCol w:w="1275"/>
        <w:gridCol w:w="851"/>
        <w:gridCol w:w="3685"/>
        <w:gridCol w:w="709"/>
        <w:gridCol w:w="754"/>
      </w:tblGrid>
      <w:tr>
        <w:tblPrEx>
          <w:tblCellMar>
            <w:top w:w="0" w:type="dxa"/>
            <w:left w:w="108" w:type="dxa"/>
            <w:bottom w:w="0" w:type="dxa"/>
            <w:right w:w="108" w:type="dxa"/>
          </w:tblCellMar>
        </w:tblPrEx>
        <w:trPr>
          <w:trHeight w:val="290" w:hRule="atLeast"/>
        </w:trPr>
        <w:tc>
          <w:tcPr>
            <w:tcW w:w="155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27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851"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14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57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YBGLJYMXB</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一般关联交易明细表</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D0202</w:t>
            </w:r>
          </w:p>
        </w:tc>
        <w:tc>
          <w:tcPr>
            <w:tcW w:w="514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本表报送报告期内保险集团（控股）公司与关联方之间发生的各类一般关联交易，《银行保险机构关联交易管理办法》中明确的豁免事项免于报送。</w:t>
            </w:r>
          </w:p>
        </w:tc>
      </w:tr>
      <w:tr>
        <w:tblPrEx>
          <w:tblCellMar>
            <w:top w:w="0" w:type="dxa"/>
            <w:left w:w="108" w:type="dxa"/>
            <w:bottom w:w="0" w:type="dxa"/>
            <w:right w:w="108" w:type="dxa"/>
          </w:tblCellMar>
        </w:tblPrEx>
        <w:trPr>
          <w:trHeight w:val="79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保险集团（控股）公司保险许可证号码</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JT_BXXKZHM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001042</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中国银保监会统一设计和印制，授权给保险机构经营保险业务的许可证上记录的机构编码。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保险集团（控股）公司统一社会信用代码</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JT_TYSHXYDM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001003</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保险集团（控股）公司的统一社会信用代码。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保险集团（控股）公司名称</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JT_MC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001002</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保险集团（控股）公司的保险许可证中的机构名称。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流水号</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LSH</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001001</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统一社会信用代码+日期（YYYYMMDD）+10位流水，流水号是每天的流水号，每天都是从‘0000000001’开始。其中日期为上报数据时当前的系统日期。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交易编号</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JYBH</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001023</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机构自定义该笔交易的唯一识别号。</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交易标的</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JYBD</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004009</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填报机构与关联方之间发生关联交易的标的或其资产情况。</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合同编号</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HTBH</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003056</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关联交易协议的编号。</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合同签署日期</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HTQSRQ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填报合同最后一方签署日期。YYYYMMDD。</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关联交易类型</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GLJYLX</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004005</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参照《业务代码表》中的“关联交易类型代码”，填报关联交易类型代码。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关联交易子类</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GLJYZL</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004006</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参照《业务代码表》中的“关联交易类型代码”，填报关联交易子类代码。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交易金额</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JYJE</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001008</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填报机构与关联方之间关联交易的交易对价或转移利益的金额。核算成人民币，单位：元。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交易价格</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JYJG</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w:t>
            </w:r>
            <w:r>
              <w:rPr>
                <w:rFonts w:ascii="宋体" w:hAnsi="宋体" w:eastAsia="宋体"/>
                <w:color w:val="000000"/>
                <w:sz w:val="21"/>
                <w:szCs w:val="21"/>
              </w:rPr>
              <w:t>4013</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以单笔关联交易各类业务的交易价格说明为准。单位：元。</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定价政策</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DJZC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004007</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交易定价的确定原则及定价方法。</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对财务状况及经营成果的影响</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DCWZKJJYCGDYX</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004008</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对填报机构财务状况及经营成果的描述。</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关联方类型</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GLFLX</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004010</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参照《业务代码表》中的“关联方类型代码”，填报代码。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关联方法定名称</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GL_GLFFDMC</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001015</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填写法人或其他组织的法人名称、自然人姓名。若为自然人名称，隐私，保险集团（控股）公司变形。</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关联方证件类型</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GL_GLFZJLX</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001019</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关联方证件类型。参照《业务代码表》中的“证件类型代码”，填报代码。</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关联方证件号码</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GL_GLFZJHM</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004002</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填写法人或其他组织的统一社会信用代码等有效代码、自然人的证件号码。若为自然人证件号码，隐私，保险集团（控股）公司变形。</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r>
      <w:tr>
        <w:tblPrEx>
          <w:tblCellMar>
            <w:top w:w="0" w:type="dxa"/>
            <w:left w:w="108" w:type="dxa"/>
            <w:bottom w:w="0" w:type="dxa"/>
            <w:right w:w="108" w:type="dxa"/>
          </w:tblCellMar>
        </w:tblPrEx>
        <w:trPr>
          <w:trHeight w:val="55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关联方证件到期日</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GL_GLFZJDQR</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关联方证件到期日</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53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其他说明事项</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QTSMSX</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002011</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除上述关键信息以外，其他需说明的重要或特殊事项。</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否</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r>
        <w:tblPrEx>
          <w:tblCellMar>
            <w:top w:w="0" w:type="dxa"/>
            <w:left w:w="108" w:type="dxa"/>
            <w:bottom w:w="0" w:type="dxa"/>
            <w:right w:w="108" w:type="dxa"/>
          </w:tblCellMar>
        </w:tblPrEx>
        <w:trPr>
          <w:trHeight w:val="820" w:hRule="atLeast"/>
        </w:trPr>
        <w:tc>
          <w:tcPr>
            <w:tcW w:w="155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采集日期</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001005</w:t>
            </w:r>
          </w:p>
        </w:tc>
        <w:tc>
          <w:tcPr>
            <w:tcW w:w="368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olor w:val="000000"/>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是</w:t>
            </w:r>
          </w:p>
        </w:tc>
        <w:tc>
          <w:tcPr>
            <w:tcW w:w="7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　</w:t>
            </w:r>
          </w:p>
        </w:tc>
      </w:tr>
    </w:tbl>
    <w:p>
      <w:pPr>
        <w:ind w:firstLine="0" w:firstLineChars="0"/>
      </w:pPr>
    </w:p>
    <w:p>
      <w:pPr>
        <w:pStyle w:val="3"/>
        <w:numPr>
          <w:ilvl w:val="0"/>
          <w:numId w:val="6"/>
        </w:numPr>
        <w:ind w:left="0"/>
        <w:rPr>
          <w:szCs w:val="30"/>
        </w:rPr>
      </w:pPr>
      <w:bookmarkStart w:id="238" w:name="_Toc98147819"/>
      <w:r>
        <w:rPr>
          <w:rFonts w:hint="eastAsia"/>
          <w:szCs w:val="30"/>
        </w:rPr>
        <w:t>风险管理</w:t>
      </w:r>
      <w:bookmarkEnd w:id="238"/>
    </w:p>
    <w:p>
      <w:pPr>
        <w:pStyle w:val="4"/>
        <w:numPr>
          <w:ilvl w:val="0"/>
          <w:numId w:val="27"/>
        </w:numPr>
        <w:tabs>
          <w:tab w:val="left" w:pos="709"/>
          <w:tab w:val="left" w:pos="993"/>
        </w:tabs>
        <w:rPr>
          <w:rFonts w:ascii="仿宋" w:hAnsi="仿宋" w:eastAsia="仿宋"/>
        </w:rPr>
      </w:pPr>
      <w:r>
        <w:rPr>
          <w:rFonts w:hint="eastAsia" w:ascii="仿宋" w:hAnsi="仿宋" w:eastAsia="仿宋"/>
        </w:rPr>
        <w:t>集团成员公司</w:t>
      </w:r>
    </w:p>
    <w:p>
      <w:pPr>
        <w:keepNext/>
        <w:keepLines/>
        <w:numPr>
          <w:ilvl w:val="1"/>
          <w:numId w:val="7"/>
        </w:numPr>
        <w:ind w:firstLineChars="0"/>
        <w:outlineLvl w:val="3"/>
        <w:rPr>
          <w:rFonts w:ascii="仿宋" w:hAnsi="仿宋" w:eastAsia="仿宋"/>
          <w:b/>
        </w:rPr>
      </w:pPr>
      <w:r>
        <w:rPr>
          <w:rFonts w:hint="eastAsia" w:ascii="仿宋" w:hAnsi="仿宋" w:eastAsia="仿宋"/>
          <w:b/>
        </w:rPr>
        <w:t>重大风险事件信息表</w:t>
      </w:r>
    </w:p>
    <w:tbl>
      <w:tblPr>
        <w:tblStyle w:val="25"/>
        <w:tblW w:w="8822" w:type="dxa"/>
        <w:tblInd w:w="0" w:type="dxa"/>
        <w:tblLayout w:type="fixed"/>
        <w:tblCellMar>
          <w:top w:w="0" w:type="dxa"/>
          <w:left w:w="108" w:type="dxa"/>
          <w:bottom w:w="0" w:type="dxa"/>
          <w:right w:w="108" w:type="dxa"/>
        </w:tblCellMar>
      </w:tblPr>
      <w:tblGrid>
        <w:gridCol w:w="1691"/>
        <w:gridCol w:w="1700"/>
        <w:gridCol w:w="850"/>
        <w:gridCol w:w="3118"/>
        <w:gridCol w:w="708"/>
        <w:gridCol w:w="755"/>
      </w:tblGrid>
      <w:tr>
        <w:tblPrEx>
          <w:tblCellMar>
            <w:top w:w="0" w:type="dxa"/>
            <w:left w:w="108" w:type="dxa"/>
            <w:bottom w:w="0" w:type="dxa"/>
            <w:right w:w="108" w:type="dxa"/>
          </w:tblCellMar>
        </w:tblPrEx>
        <w:trPr>
          <w:trHeight w:val="290" w:hRule="atLeast"/>
        </w:trPr>
        <w:tc>
          <w:tcPr>
            <w:tcW w:w="16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70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458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CellMar>
            <w:top w:w="0" w:type="dxa"/>
            <w:left w:w="108" w:type="dxa"/>
            <w:bottom w:w="0" w:type="dxa"/>
            <w:right w:w="108" w:type="dxa"/>
          </w:tblCellMar>
        </w:tblPrEx>
        <w:trPr>
          <w:trHeight w:val="57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ZDFXSJXXB</w:t>
            </w:r>
          </w:p>
        </w:tc>
        <w:tc>
          <w:tcPr>
            <w:tcW w:w="17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重大风险事件信息表</w:t>
            </w:r>
          </w:p>
        </w:tc>
        <w:tc>
          <w:tcPr>
            <w:tcW w:w="8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E0101</w:t>
            </w:r>
          </w:p>
        </w:tc>
        <w:tc>
          <w:tcPr>
            <w:tcW w:w="4581"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本表报送对保险集团造成重大影响的风险事件。</w:t>
            </w:r>
          </w:p>
        </w:tc>
      </w:tr>
      <w:tr>
        <w:tblPrEx>
          <w:tblCellMar>
            <w:top w:w="0" w:type="dxa"/>
            <w:left w:w="108" w:type="dxa"/>
            <w:bottom w:w="0" w:type="dxa"/>
            <w:right w:w="108" w:type="dxa"/>
          </w:tblCellMar>
        </w:tblPrEx>
        <w:trPr>
          <w:trHeight w:val="79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7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8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CellMar>
            <w:top w:w="0" w:type="dxa"/>
            <w:left w:w="108" w:type="dxa"/>
            <w:bottom w:w="0" w:type="dxa"/>
            <w:right w:w="108" w:type="dxa"/>
          </w:tblCellMar>
        </w:tblPrEx>
        <w:trPr>
          <w:trHeight w:val="55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保险集团（控股）公司保险许可证号码</w:t>
            </w:r>
          </w:p>
        </w:tc>
        <w:tc>
          <w:tcPr>
            <w:tcW w:w="17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JT_BXXKZHM</w:t>
            </w:r>
          </w:p>
        </w:tc>
        <w:tc>
          <w:tcPr>
            <w:tcW w:w="8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001042</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ascii="宋体" w:hAnsi="宋体" w:eastAsia="宋体"/>
                <w:sz w:val="21"/>
                <w:szCs w:val="21"/>
              </w:rPr>
              <w:t>中国银保监会统一设计和印制，授权给保险机构经营保险业务的许可证上记录的机构编码。</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是</w:t>
            </w:r>
          </w:p>
        </w:tc>
      </w:tr>
      <w:tr>
        <w:tblPrEx>
          <w:tblCellMar>
            <w:top w:w="0" w:type="dxa"/>
            <w:left w:w="108" w:type="dxa"/>
            <w:bottom w:w="0" w:type="dxa"/>
            <w:right w:w="108" w:type="dxa"/>
          </w:tblCellMar>
        </w:tblPrEx>
        <w:trPr>
          <w:trHeight w:val="55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保险集团（控股）公司统一社会信用代码</w:t>
            </w:r>
          </w:p>
        </w:tc>
        <w:tc>
          <w:tcPr>
            <w:tcW w:w="17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JT_TYSHXYDM</w:t>
            </w:r>
          </w:p>
        </w:tc>
        <w:tc>
          <w:tcPr>
            <w:tcW w:w="8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001003</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保险集团（控股）公司</w:t>
            </w:r>
            <w:r>
              <w:rPr>
                <w:rFonts w:ascii="宋体" w:hAnsi="宋体" w:eastAsia="宋体"/>
                <w:sz w:val="21"/>
                <w:szCs w:val="21"/>
              </w:rPr>
              <w:t>的统一社会信用代码。</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是</w:t>
            </w:r>
          </w:p>
        </w:tc>
      </w:tr>
      <w:tr>
        <w:tblPrEx>
          <w:tblCellMar>
            <w:top w:w="0" w:type="dxa"/>
            <w:left w:w="108" w:type="dxa"/>
            <w:bottom w:w="0" w:type="dxa"/>
            <w:right w:w="108" w:type="dxa"/>
          </w:tblCellMar>
        </w:tblPrEx>
        <w:trPr>
          <w:trHeight w:val="79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保险集团（控股）公司名称</w:t>
            </w:r>
          </w:p>
        </w:tc>
        <w:tc>
          <w:tcPr>
            <w:tcW w:w="17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JT_MC</w:t>
            </w:r>
          </w:p>
        </w:tc>
        <w:tc>
          <w:tcPr>
            <w:tcW w:w="8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001002</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保险集团（控股）公司</w:t>
            </w:r>
            <w:r>
              <w:rPr>
                <w:rFonts w:ascii="宋体" w:hAnsi="宋体" w:eastAsia="宋体"/>
                <w:sz w:val="21"/>
                <w:szCs w:val="21"/>
              </w:rPr>
              <w:t>的保险许可证中的机构名称。</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82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流水号</w:t>
            </w:r>
          </w:p>
        </w:tc>
        <w:tc>
          <w:tcPr>
            <w:tcW w:w="17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LSH</w:t>
            </w:r>
          </w:p>
        </w:tc>
        <w:tc>
          <w:tcPr>
            <w:tcW w:w="8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001001</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ascii="宋体" w:hAnsi="宋体" w:eastAsia="宋体"/>
                <w:sz w:val="21"/>
                <w:szCs w:val="21"/>
              </w:rPr>
              <w:t>统一社会信用代码+日期（YYYYMMDD）+10位流水，流水号是每天的流水号，每天都是从‘0000000001’开始。其中日期为上报数据时当前的系统日期。</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是</w:t>
            </w:r>
          </w:p>
        </w:tc>
      </w:tr>
      <w:tr>
        <w:tblPrEx>
          <w:tblCellMar>
            <w:top w:w="0" w:type="dxa"/>
            <w:left w:w="108" w:type="dxa"/>
            <w:bottom w:w="0" w:type="dxa"/>
            <w:right w:w="108" w:type="dxa"/>
          </w:tblCellMar>
        </w:tblPrEx>
        <w:trPr>
          <w:trHeight w:val="55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风险事件文号</w:t>
            </w:r>
          </w:p>
        </w:tc>
        <w:tc>
          <w:tcPr>
            <w:tcW w:w="17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FXSJWH</w:t>
            </w:r>
          </w:p>
        </w:tc>
        <w:tc>
          <w:tcPr>
            <w:tcW w:w="8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001023</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ascii="宋体" w:hAnsi="宋体" w:eastAsia="宋体"/>
                <w:sz w:val="21"/>
                <w:szCs w:val="21"/>
              </w:rPr>
              <w:t>风险事件文号，机构自行定义，应具有唯一性。</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是</w:t>
            </w:r>
          </w:p>
        </w:tc>
      </w:tr>
      <w:tr>
        <w:tblPrEx>
          <w:tblCellMar>
            <w:top w:w="0" w:type="dxa"/>
            <w:left w:w="108" w:type="dxa"/>
            <w:bottom w:w="0" w:type="dxa"/>
            <w:right w:w="108" w:type="dxa"/>
          </w:tblCellMar>
        </w:tblPrEx>
        <w:trPr>
          <w:trHeight w:val="55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风险事件名称</w:t>
            </w:r>
          </w:p>
        </w:tc>
        <w:tc>
          <w:tcPr>
            <w:tcW w:w="17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FXSJMC</w:t>
            </w:r>
          </w:p>
        </w:tc>
        <w:tc>
          <w:tcPr>
            <w:tcW w:w="8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001015</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ascii="宋体" w:hAnsi="宋体" w:eastAsia="宋体"/>
                <w:sz w:val="21"/>
                <w:szCs w:val="21"/>
              </w:rPr>
              <w:t>风险事件名称，机构自行定义，应具有唯一性。</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71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风险类型</w:t>
            </w:r>
          </w:p>
        </w:tc>
        <w:tc>
          <w:tcPr>
            <w:tcW w:w="17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FXLX</w:t>
            </w:r>
          </w:p>
        </w:tc>
        <w:tc>
          <w:tcPr>
            <w:tcW w:w="8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005001</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ascii="宋体" w:hAnsi="宋体" w:eastAsia="宋体"/>
                <w:sz w:val="21"/>
                <w:szCs w:val="21"/>
              </w:rPr>
              <w:t>风险事件类型。参照《业务代码表》中的“风险类型代码”，填报代码。</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55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风险事件发生时间</w:t>
            </w:r>
          </w:p>
        </w:tc>
        <w:tc>
          <w:tcPr>
            <w:tcW w:w="17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FXSJFSSJ</w:t>
            </w:r>
          </w:p>
        </w:tc>
        <w:tc>
          <w:tcPr>
            <w:tcW w:w="8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001005</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ascii="宋体" w:hAnsi="宋体" w:eastAsia="宋体"/>
                <w:sz w:val="21"/>
                <w:szCs w:val="21"/>
              </w:rPr>
              <w:t>风险事件发生时间。</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9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风险事件描述</w:t>
            </w:r>
          </w:p>
        </w:tc>
        <w:tc>
          <w:tcPr>
            <w:tcW w:w="17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FXSJMS</w:t>
            </w:r>
          </w:p>
        </w:tc>
        <w:tc>
          <w:tcPr>
            <w:tcW w:w="8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003007</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文字描述本次风险事件的起因、目前状态、可能产生的影响和拟采取的措施。</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820" w:hRule="atLeast"/>
        </w:trPr>
        <w:tc>
          <w:tcPr>
            <w:tcW w:w="16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采集日期</w:t>
            </w:r>
          </w:p>
        </w:tc>
        <w:tc>
          <w:tcPr>
            <w:tcW w:w="17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olor w:val="000000"/>
                <w:sz w:val="21"/>
                <w:szCs w:val="21"/>
              </w:rPr>
              <w:t>CJRQ</w:t>
            </w:r>
          </w:p>
        </w:tc>
        <w:tc>
          <w:tcPr>
            <w:tcW w:w="85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001005</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ascii="宋体" w:hAnsi="宋体" w:eastAsia="宋体"/>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是</w:t>
            </w:r>
          </w:p>
        </w:tc>
        <w:tc>
          <w:tcPr>
            <w:tcW w:w="75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bl>
    <w:p>
      <w:pPr>
        <w:ind w:firstLine="0" w:firstLineChars="0"/>
      </w:pPr>
    </w:p>
    <w:p>
      <w:pPr>
        <w:keepNext/>
        <w:keepLines/>
        <w:numPr>
          <w:ilvl w:val="1"/>
          <w:numId w:val="7"/>
        </w:numPr>
        <w:ind w:firstLineChars="0"/>
        <w:outlineLvl w:val="3"/>
        <w:rPr>
          <w:rFonts w:ascii="仿宋" w:hAnsi="仿宋" w:eastAsia="仿宋"/>
          <w:b/>
        </w:rPr>
      </w:pPr>
      <w:r>
        <w:rPr>
          <w:rFonts w:hint="eastAsia" w:ascii="仿宋" w:hAnsi="仿宋" w:eastAsia="仿宋"/>
          <w:b/>
        </w:rPr>
        <w:t>对外担保情况信息表</w:t>
      </w:r>
    </w:p>
    <w:tbl>
      <w:tblPr>
        <w:tblStyle w:val="25"/>
        <w:tblW w:w="8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349"/>
        <w:gridCol w:w="851"/>
        <w:gridCol w:w="3685"/>
        <w:gridCol w:w="709"/>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476" w:type="dxa"/>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表名</w:t>
            </w:r>
          </w:p>
        </w:tc>
        <w:tc>
          <w:tcPr>
            <w:tcW w:w="1349" w:type="dxa"/>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表中文名</w:t>
            </w:r>
          </w:p>
        </w:tc>
        <w:tc>
          <w:tcPr>
            <w:tcW w:w="851" w:type="dxa"/>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表编号</w:t>
            </w:r>
          </w:p>
        </w:tc>
        <w:tc>
          <w:tcPr>
            <w:tcW w:w="5148" w:type="dxa"/>
            <w:gridSpan w:val="3"/>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76" w:type="dxa"/>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DWDBQKXXB</w:t>
            </w:r>
          </w:p>
        </w:tc>
        <w:tc>
          <w:tcPr>
            <w:tcW w:w="1349" w:type="dxa"/>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对外担保情况信息表</w:t>
            </w:r>
          </w:p>
        </w:tc>
        <w:tc>
          <w:tcPr>
            <w:tcW w:w="851" w:type="dxa"/>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E0102</w:t>
            </w:r>
          </w:p>
        </w:tc>
        <w:tc>
          <w:tcPr>
            <w:tcW w:w="5148" w:type="dxa"/>
            <w:gridSpan w:val="3"/>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本表报送保险集团（控股）公司及子公司对外担保信息。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476" w:type="dxa"/>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数据项名称</w:t>
            </w:r>
          </w:p>
        </w:tc>
        <w:tc>
          <w:tcPr>
            <w:tcW w:w="1349" w:type="dxa"/>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数据项代码</w:t>
            </w:r>
          </w:p>
        </w:tc>
        <w:tc>
          <w:tcPr>
            <w:tcW w:w="851" w:type="dxa"/>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3685" w:type="dxa"/>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数据项说明</w:t>
            </w:r>
          </w:p>
        </w:tc>
        <w:tc>
          <w:tcPr>
            <w:tcW w:w="709" w:type="dxa"/>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是否必填</w:t>
            </w:r>
          </w:p>
        </w:tc>
        <w:tc>
          <w:tcPr>
            <w:tcW w:w="754" w:type="dxa"/>
            <w:shd w:val="clear" w:color="auto" w:fill="auto"/>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是否主键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476" w:type="dxa"/>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保险集团（控股）公司保险许可证号码</w:t>
            </w:r>
          </w:p>
        </w:tc>
        <w:tc>
          <w:tcPr>
            <w:tcW w:w="1349" w:type="dxa"/>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JT_BXXKZHM</w:t>
            </w:r>
          </w:p>
        </w:tc>
        <w:tc>
          <w:tcPr>
            <w:tcW w:w="851" w:type="dxa"/>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001042</w:t>
            </w:r>
          </w:p>
        </w:tc>
        <w:tc>
          <w:tcPr>
            <w:tcW w:w="3685" w:type="dxa"/>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ascii="宋体" w:hAnsi="宋体" w:eastAsia="宋体"/>
                <w:sz w:val="21"/>
                <w:szCs w:val="21"/>
              </w:rPr>
              <w:t>中国银保监会统一设计和印制，授权给保险机构经营保险业务的许可证上记录的机构编码。</w:t>
            </w:r>
          </w:p>
        </w:tc>
        <w:tc>
          <w:tcPr>
            <w:tcW w:w="709" w:type="dxa"/>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是</w:t>
            </w:r>
          </w:p>
        </w:tc>
        <w:tc>
          <w:tcPr>
            <w:tcW w:w="754" w:type="dxa"/>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476" w:type="dxa"/>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保险集团（控股）公司统一社会信用代码</w:t>
            </w:r>
          </w:p>
        </w:tc>
        <w:tc>
          <w:tcPr>
            <w:tcW w:w="1349" w:type="dxa"/>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JT_TYSHXYDM</w:t>
            </w:r>
          </w:p>
        </w:tc>
        <w:tc>
          <w:tcPr>
            <w:tcW w:w="851" w:type="dxa"/>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001003</w:t>
            </w:r>
          </w:p>
        </w:tc>
        <w:tc>
          <w:tcPr>
            <w:tcW w:w="3685" w:type="dxa"/>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保险集团（控股）公司</w:t>
            </w:r>
            <w:r>
              <w:rPr>
                <w:rFonts w:ascii="宋体" w:hAnsi="宋体" w:eastAsia="宋体"/>
                <w:sz w:val="21"/>
                <w:szCs w:val="21"/>
              </w:rPr>
              <w:t>的统一社会信用代码。</w:t>
            </w:r>
          </w:p>
        </w:tc>
        <w:tc>
          <w:tcPr>
            <w:tcW w:w="709" w:type="dxa"/>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是</w:t>
            </w:r>
          </w:p>
        </w:tc>
        <w:tc>
          <w:tcPr>
            <w:tcW w:w="754" w:type="dxa"/>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476" w:type="dxa"/>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保险集团（控股）公司名称</w:t>
            </w:r>
          </w:p>
        </w:tc>
        <w:tc>
          <w:tcPr>
            <w:tcW w:w="1349" w:type="dxa"/>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JT_MC</w:t>
            </w:r>
          </w:p>
        </w:tc>
        <w:tc>
          <w:tcPr>
            <w:tcW w:w="851" w:type="dxa"/>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001002</w:t>
            </w:r>
          </w:p>
        </w:tc>
        <w:tc>
          <w:tcPr>
            <w:tcW w:w="3685" w:type="dxa"/>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保险集团（控股）公司</w:t>
            </w:r>
            <w:r>
              <w:rPr>
                <w:rFonts w:ascii="宋体" w:hAnsi="宋体" w:eastAsia="宋体"/>
                <w:sz w:val="21"/>
                <w:szCs w:val="21"/>
              </w:rPr>
              <w:t>的保险许可证中的机构名称。</w:t>
            </w:r>
          </w:p>
        </w:tc>
        <w:tc>
          <w:tcPr>
            <w:tcW w:w="709" w:type="dxa"/>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是</w:t>
            </w:r>
          </w:p>
        </w:tc>
        <w:tc>
          <w:tcPr>
            <w:tcW w:w="754" w:type="dxa"/>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476" w:type="dxa"/>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流水号</w:t>
            </w:r>
          </w:p>
        </w:tc>
        <w:tc>
          <w:tcPr>
            <w:tcW w:w="1349" w:type="dxa"/>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LSH</w:t>
            </w:r>
          </w:p>
        </w:tc>
        <w:tc>
          <w:tcPr>
            <w:tcW w:w="851" w:type="dxa"/>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001001</w:t>
            </w:r>
          </w:p>
        </w:tc>
        <w:tc>
          <w:tcPr>
            <w:tcW w:w="3685" w:type="dxa"/>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ascii="宋体" w:hAnsi="宋体" w:eastAsia="宋体"/>
                <w:sz w:val="21"/>
                <w:szCs w:val="21"/>
              </w:rPr>
              <w:t>统一社会信用代码+日期（YYYYMMDD）+10位流水，流水号是每天的流水号，每天都是从‘0000000001’开始。其中日期为上报数据时当前的系统日期。</w:t>
            </w:r>
          </w:p>
        </w:tc>
        <w:tc>
          <w:tcPr>
            <w:tcW w:w="709" w:type="dxa"/>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是</w:t>
            </w:r>
          </w:p>
        </w:tc>
        <w:tc>
          <w:tcPr>
            <w:tcW w:w="754" w:type="dxa"/>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476" w:type="dxa"/>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成员公司保险许可证号码</w:t>
            </w:r>
          </w:p>
        </w:tc>
        <w:tc>
          <w:tcPr>
            <w:tcW w:w="1349" w:type="dxa"/>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CY_BXXKZHM</w:t>
            </w:r>
          </w:p>
        </w:tc>
        <w:tc>
          <w:tcPr>
            <w:tcW w:w="851" w:type="dxa"/>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001042</w:t>
            </w:r>
          </w:p>
        </w:tc>
        <w:tc>
          <w:tcPr>
            <w:tcW w:w="3685" w:type="dxa"/>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ascii="宋体" w:hAnsi="宋体" w:eastAsia="宋体"/>
                <w:sz w:val="21"/>
                <w:szCs w:val="21"/>
              </w:rPr>
              <w:t>中国银保监会统一设计和印制，授权给保险机构经营保险业务的许可证上记录的机构编码。</w:t>
            </w:r>
          </w:p>
        </w:tc>
        <w:tc>
          <w:tcPr>
            <w:tcW w:w="709" w:type="dxa"/>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否</w:t>
            </w:r>
          </w:p>
        </w:tc>
        <w:tc>
          <w:tcPr>
            <w:tcW w:w="754" w:type="dxa"/>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476" w:type="dxa"/>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成员公司统一社会信用代码</w:t>
            </w:r>
          </w:p>
        </w:tc>
        <w:tc>
          <w:tcPr>
            <w:tcW w:w="1349" w:type="dxa"/>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CY_TYSHXYDM</w:t>
            </w:r>
          </w:p>
        </w:tc>
        <w:tc>
          <w:tcPr>
            <w:tcW w:w="851" w:type="dxa"/>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001003</w:t>
            </w:r>
          </w:p>
        </w:tc>
        <w:tc>
          <w:tcPr>
            <w:tcW w:w="3685" w:type="dxa"/>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境内成员公司填写统一社会信用代码，境外成员公司则填写企业注册码、税务号等有效代码。如无上述代码，机构可自行定义。保险集团（控股）公司填写本公司统一社会信用代码。</w:t>
            </w:r>
          </w:p>
        </w:tc>
        <w:tc>
          <w:tcPr>
            <w:tcW w:w="709" w:type="dxa"/>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是</w:t>
            </w:r>
          </w:p>
        </w:tc>
        <w:tc>
          <w:tcPr>
            <w:tcW w:w="754" w:type="dxa"/>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476" w:type="dxa"/>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成员公司名称</w:t>
            </w:r>
          </w:p>
        </w:tc>
        <w:tc>
          <w:tcPr>
            <w:tcW w:w="1349" w:type="dxa"/>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CY_MC</w:t>
            </w:r>
          </w:p>
        </w:tc>
        <w:tc>
          <w:tcPr>
            <w:tcW w:w="851" w:type="dxa"/>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001002</w:t>
            </w:r>
          </w:p>
        </w:tc>
        <w:tc>
          <w:tcPr>
            <w:tcW w:w="3685" w:type="dxa"/>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ascii="宋体" w:hAnsi="宋体" w:eastAsia="宋体"/>
                <w:sz w:val="21"/>
                <w:szCs w:val="21"/>
              </w:rPr>
              <w:t>成员公司工商注册的名称。</w:t>
            </w:r>
          </w:p>
        </w:tc>
        <w:tc>
          <w:tcPr>
            <w:tcW w:w="709" w:type="dxa"/>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是</w:t>
            </w:r>
          </w:p>
        </w:tc>
        <w:tc>
          <w:tcPr>
            <w:tcW w:w="754" w:type="dxa"/>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476" w:type="dxa"/>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担保方式</w:t>
            </w:r>
          </w:p>
        </w:tc>
        <w:tc>
          <w:tcPr>
            <w:tcW w:w="1349" w:type="dxa"/>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DBFS</w:t>
            </w:r>
          </w:p>
        </w:tc>
        <w:tc>
          <w:tcPr>
            <w:tcW w:w="851" w:type="dxa"/>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005002</w:t>
            </w:r>
          </w:p>
        </w:tc>
        <w:tc>
          <w:tcPr>
            <w:tcW w:w="3685" w:type="dxa"/>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ascii="宋体" w:hAnsi="宋体" w:eastAsia="宋体"/>
                <w:sz w:val="21"/>
                <w:szCs w:val="21"/>
              </w:rPr>
              <w:t>担保方式。参照《业务代码表》中的“担保方式代码”，填报代码。</w:t>
            </w:r>
          </w:p>
        </w:tc>
        <w:tc>
          <w:tcPr>
            <w:tcW w:w="709" w:type="dxa"/>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是</w:t>
            </w:r>
          </w:p>
        </w:tc>
        <w:tc>
          <w:tcPr>
            <w:tcW w:w="754" w:type="dxa"/>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476" w:type="dxa"/>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对外担保余额</w:t>
            </w:r>
          </w:p>
        </w:tc>
        <w:tc>
          <w:tcPr>
            <w:tcW w:w="1349" w:type="dxa"/>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DWDBYE</w:t>
            </w:r>
          </w:p>
        </w:tc>
        <w:tc>
          <w:tcPr>
            <w:tcW w:w="851" w:type="dxa"/>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001015</w:t>
            </w:r>
          </w:p>
        </w:tc>
        <w:tc>
          <w:tcPr>
            <w:tcW w:w="3685" w:type="dxa"/>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sz w:val="21"/>
                <w:szCs w:val="21"/>
              </w:rPr>
              <w:t>截至报送日期，本公司对外担保的余额，以人民币填报，单位：元。</w:t>
            </w:r>
          </w:p>
        </w:tc>
        <w:tc>
          <w:tcPr>
            <w:tcW w:w="709" w:type="dxa"/>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是</w:t>
            </w:r>
          </w:p>
        </w:tc>
        <w:tc>
          <w:tcPr>
            <w:tcW w:w="754" w:type="dxa"/>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476" w:type="dxa"/>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sz w:val="21"/>
                <w:szCs w:val="21"/>
              </w:rPr>
              <w:t>采集日期</w:t>
            </w:r>
          </w:p>
        </w:tc>
        <w:tc>
          <w:tcPr>
            <w:tcW w:w="1349" w:type="dxa"/>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CJRQ</w:t>
            </w:r>
          </w:p>
        </w:tc>
        <w:tc>
          <w:tcPr>
            <w:tcW w:w="851" w:type="dxa"/>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001005</w:t>
            </w:r>
          </w:p>
        </w:tc>
        <w:tc>
          <w:tcPr>
            <w:tcW w:w="3685" w:type="dxa"/>
            <w:shd w:val="clear" w:color="auto" w:fill="auto"/>
            <w:vAlign w:val="center"/>
          </w:tcPr>
          <w:p>
            <w:pPr>
              <w:widowControl/>
              <w:spacing w:line="240" w:lineRule="auto"/>
              <w:ind w:firstLine="0" w:firstLineChars="0"/>
              <w:jc w:val="left"/>
              <w:rPr>
                <w:rFonts w:ascii="宋体" w:hAnsi="宋体" w:eastAsia="宋体" w:cs="宋体"/>
                <w:color w:val="000000"/>
                <w:kern w:val="0"/>
                <w:sz w:val="21"/>
                <w:szCs w:val="21"/>
              </w:rPr>
            </w:pPr>
            <w:r>
              <w:rPr>
                <w:rFonts w:ascii="宋体" w:hAnsi="宋体" w:eastAsia="宋体"/>
                <w:sz w:val="21"/>
                <w:szCs w:val="21"/>
              </w:rPr>
              <w:t>指该期（批次）数据报送的期末日期，例如：按日采集的表，采集日期应为每日；按月采集的表，采集日期应为月末最后一天；以此类推。有特殊报送要求的，应以报送要求的截至日期为采集日期。</w:t>
            </w:r>
          </w:p>
        </w:tc>
        <w:tc>
          <w:tcPr>
            <w:tcW w:w="709" w:type="dxa"/>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宋体" w:hAnsi="宋体" w:eastAsia="宋体"/>
                <w:sz w:val="21"/>
                <w:szCs w:val="21"/>
              </w:rPr>
              <w:t>是</w:t>
            </w:r>
          </w:p>
        </w:tc>
        <w:tc>
          <w:tcPr>
            <w:tcW w:w="754" w:type="dxa"/>
            <w:shd w:val="clear" w:color="auto" w:fill="auto"/>
            <w:vAlign w:val="center"/>
          </w:tcPr>
          <w:p>
            <w:pPr>
              <w:widowControl/>
              <w:spacing w:line="240" w:lineRule="auto"/>
              <w:ind w:firstLine="0" w:firstLineChars="0"/>
              <w:jc w:val="center"/>
              <w:rPr>
                <w:rFonts w:ascii="宋体" w:hAnsi="宋体" w:eastAsia="宋体" w:cs="宋体"/>
                <w:color w:val="000000"/>
                <w:kern w:val="0"/>
                <w:sz w:val="21"/>
                <w:szCs w:val="21"/>
              </w:rPr>
            </w:pPr>
          </w:p>
        </w:tc>
      </w:tr>
    </w:tbl>
    <w:p>
      <w:pPr>
        <w:ind w:firstLine="0" w:firstLineChars="0"/>
      </w:pPr>
    </w:p>
    <w:p>
      <w:pPr>
        <w:keepNext/>
        <w:keepLines/>
        <w:numPr>
          <w:ilvl w:val="0"/>
          <w:numId w:val="1"/>
        </w:numPr>
        <w:ind w:left="0" w:firstLine="600" w:firstLineChars="0"/>
        <w:outlineLvl w:val="0"/>
        <w:rPr>
          <w:rFonts w:ascii="黑体" w:hAnsi="黑体" w:eastAsia="黑体"/>
          <w:kern w:val="44"/>
          <w:szCs w:val="30"/>
        </w:rPr>
      </w:pPr>
      <w:bookmarkStart w:id="239" w:name="_Toc2110"/>
      <w:bookmarkStart w:id="240" w:name="_Toc6738"/>
      <w:bookmarkStart w:id="241" w:name="_Toc29349"/>
      <w:bookmarkStart w:id="242" w:name="_Toc98147820"/>
      <w:bookmarkStart w:id="243" w:name="_Toc1038"/>
      <w:bookmarkStart w:id="244" w:name="_Toc2887"/>
      <w:bookmarkStart w:id="245" w:name="_Toc31149"/>
      <w:bookmarkStart w:id="246" w:name="_Toc28139"/>
      <w:bookmarkStart w:id="247" w:name="_Toc15804"/>
      <w:bookmarkStart w:id="248" w:name="_Toc73958618"/>
      <w:r>
        <w:rPr>
          <w:rFonts w:hint="eastAsia" w:ascii="黑体" w:hAnsi="黑体" w:eastAsia="黑体"/>
          <w:kern w:val="44"/>
          <w:szCs w:val="30"/>
        </w:rPr>
        <w:t>数据元说明</w:t>
      </w:r>
      <w:bookmarkEnd w:id="239"/>
      <w:bookmarkEnd w:id="240"/>
      <w:bookmarkEnd w:id="241"/>
      <w:bookmarkEnd w:id="242"/>
      <w:bookmarkEnd w:id="243"/>
      <w:bookmarkEnd w:id="244"/>
      <w:bookmarkEnd w:id="245"/>
      <w:bookmarkEnd w:id="246"/>
      <w:bookmarkEnd w:id="247"/>
      <w:bookmarkEnd w:id="248"/>
    </w:p>
    <w:p>
      <w:pPr>
        <w:pStyle w:val="3"/>
        <w:numPr>
          <w:ilvl w:val="0"/>
          <w:numId w:val="28"/>
        </w:numPr>
        <w:rPr>
          <w:szCs w:val="30"/>
        </w:rPr>
      </w:pPr>
      <w:bookmarkStart w:id="249" w:name="_Toc25393"/>
      <w:bookmarkStart w:id="250" w:name="_Toc10050"/>
      <w:bookmarkStart w:id="251" w:name="_Toc1195"/>
      <w:bookmarkStart w:id="252" w:name="_Toc13363"/>
      <w:bookmarkStart w:id="253" w:name="_Toc10427"/>
      <w:bookmarkStart w:id="254" w:name="_Toc26865"/>
      <w:bookmarkStart w:id="255" w:name="_Toc73958619"/>
      <w:bookmarkStart w:id="256" w:name="_Toc27288"/>
      <w:bookmarkStart w:id="257" w:name="_Toc3297"/>
      <w:bookmarkStart w:id="258" w:name="_Toc98147821"/>
      <w:bookmarkStart w:id="259" w:name="_Toc31178"/>
      <w:bookmarkStart w:id="260" w:name="_Toc16676"/>
      <w:r>
        <w:rPr>
          <w:szCs w:val="30"/>
        </w:rPr>
        <w:t>数据元描述规则</w:t>
      </w:r>
      <w:bookmarkEnd w:id="249"/>
      <w:bookmarkEnd w:id="250"/>
      <w:bookmarkEnd w:id="251"/>
      <w:bookmarkEnd w:id="252"/>
      <w:bookmarkEnd w:id="253"/>
      <w:bookmarkEnd w:id="254"/>
      <w:bookmarkEnd w:id="255"/>
      <w:bookmarkEnd w:id="256"/>
      <w:bookmarkEnd w:id="257"/>
      <w:bookmarkEnd w:id="258"/>
      <w:bookmarkEnd w:id="259"/>
      <w:bookmarkEnd w:id="260"/>
    </w:p>
    <w:p>
      <w:pPr>
        <w:ind w:firstLine="600"/>
        <w:rPr>
          <w:rFonts w:ascii="仿宋" w:hAnsi="仿宋" w:eastAsia="仿宋" w:cs="仿宋_GB2312"/>
          <w:szCs w:val="30"/>
        </w:rPr>
      </w:pPr>
      <w:r>
        <w:rPr>
          <w:rFonts w:hint="eastAsia" w:ascii="仿宋" w:hAnsi="仿宋" w:eastAsia="仿宋" w:cs="仿宋_GB2312"/>
          <w:szCs w:val="30"/>
        </w:rPr>
        <w:t>数据元的描述格式如下：</w:t>
      </w:r>
    </w:p>
    <w:p>
      <w:pPr>
        <w:ind w:firstLine="600"/>
        <w:rPr>
          <w:rFonts w:ascii="仿宋" w:hAnsi="仿宋" w:eastAsia="仿宋" w:cs="仿宋_GB2312"/>
          <w:szCs w:val="30"/>
        </w:rPr>
      </w:pPr>
      <w:r>
        <w:rPr>
          <w:rFonts w:ascii="仿宋" w:hAnsi="仿宋" w:eastAsia="仿宋" w:cs="仿宋_GB2312"/>
          <w:szCs w:val="30"/>
        </w:rPr>
        <w:t>1.分类：数据元所在类目组。</w:t>
      </w:r>
    </w:p>
    <w:p>
      <w:pPr>
        <w:ind w:firstLine="600"/>
        <w:rPr>
          <w:rFonts w:ascii="仿宋" w:hAnsi="仿宋" w:eastAsia="仿宋" w:cs="仿宋_GB2312"/>
          <w:szCs w:val="30"/>
        </w:rPr>
      </w:pPr>
      <w:r>
        <w:rPr>
          <w:rFonts w:ascii="仿宋" w:hAnsi="仿宋" w:eastAsia="仿宋" w:cs="仿宋_GB2312"/>
          <w:szCs w:val="30"/>
        </w:rPr>
        <w:t>2.编码：该数据项所对应的数据元在数据元目录中的唯一标识符，采用六位数字来标记；其中第1-3位表示为元素类别号，第4-6位为数据表中经过元素标准化合并后的顺序号，如果某表中出现了之前已经编号的元素则不重复编号。本部分中，第1-3位的表示按如下分类：</w:t>
      </w:r>
    </w:p>
    <w:p>
      <w:pPr>
        <w:ind w:firstLine="600"/>
        <w:rPr>
          <w:rFonts w:ascii="仿宋" w:hAnsi="仿宋" w:eastAsia="仿宋" w:cs="仿宋_GB2312"/>
          <w:szCs w:val="30"/>
        </w:rPr>
      </w:pPr>
      <w:r>
        <w:rPr>
          <w:rFonts w:ascii="仿宋" w:hAnsi="仿宋" w:eastAsia="仿宋" w:cs="仿宋_GB2312"/>
          <w:szCs w:val="30"/>
        </w:rPr>
        <w:t>001-</w:t>
      </w:r>
      <w:r>
        <w:rPr>
          <w:rFonts w:hint="eastAsia" w:ascii="仿宋" w:hAnsi="仿宋" w:eastAsia="仿宋" w:cs="仿宋_GB2312"/>
          <w:szCs w:val="30"/>
        </w:rPr>
        <w:t>公司治理</w:t>
      </w:r>
    </w:p>
    <w:p>
      <w:pPr>
        <w:ind w:firstLine="600"/>
        <w:rPr>
          <w:rFonts w:ascii="仿宋" w:hAnsi="仿宋" w:eastAsia="仿宋" w:cs="仿宋_GB2312"/>
          <w:szCs w:val="30"/>
        </w:rPr>
      </w:pPr>
      <w:r>
        <w:rPr>
          <w:rFonts w:ascii="仿宋" w:hAnsi="仿宋" w:eastAsia="仿宋" w:cs="仿宋_GB2312"/>
          <w:szCs w:val="30"/>
        </w:rPr>
        <w:t>002-</w:t>
      </w:r>
      <w:r>
        <w:rPr>
          <w:rFonts w:hint="eastAsia" w:ascii="仿宋" w:hAnsi="仿宋" w:eastAsia="仿宋" w:cs="仿宋_GB2312"/>
          <w:szCs w:val="30"/>
        </w:rPr>
        <w:t>公司财务</w:t>
      </w:r>
    </w:p>
    <w:p>
      <w:pPr>
        <w:ind w:firstLine="600"/>
        <w:rPr>
          <w:rFonts w:ascii="仿宋" w:hAnsi="仿宋" w:eastAsia="仿宋" w:cs="仿宋_GB2312"/>
          <w:szCs w:val="30"/>
        </w:rPr>
      </w:pPr>
      <w:r>
        <w:rPr>
          <w:rFonts w:ascii="仿宋" w:hAnsi="仿宋" w:eastAsia="仿宋" w:cs="仿宋_GB2312"/>
          <w:szCs w:val="30"/>
        </w:rPr>
        <w:t>003-</w:t>
      </w:r>
      <w:r>
        <w:rPr>
          <w:rFonts w:hint="eastAsia" w:ascii="仿宋" w:hAnsi="仿宋" w:eastAsia="仿宋" w:cs="仿宋_GB2312"/>
          <w:szCs w:val="30"/>
        </w:rPr>
        <w:t>保险集团（控股）公司业务</w:t>
      </w:r>
    </w:p>
    <w:p>
      <w:pPr>
        <w:ind w:firstLine="600"/>
        <w:rPr>
          <w:rFonts w:ascii="仿宋" w:hAnsi="仿宋" w:eastAsia="仿宋" w:cs="仿宋_GB2312"/>
          <w:szCs w:val="30"/>
        </w:rPr>
      </w:pPr>
      <w:r>
        <w:rPr>
          <w:rFonts w:ascii="仿宋" w:hAnsi="仿宋" w:eastAsia="仿宋" w:cs="仿宋_GB2312"/>
          <w:szCs w:val="30"/>
        </w:rPr>
        <w:t>004-</w:t>
      </w:r>
      <w:r>
        <w:rPr>
          <w:rFonts w:hint="eastAsia" w:ascii="仿宋" w:hAnsi="仿宋" w:eastAsia="仿宋" w:cs="仿宋_GB2312"/>
          <w:szCs w:val="30"/>
        </w:rPr>
        <w:t>保险集团（控股）公司关联交易</w:t>
      </w:r>
    </w:p>
    <w:p>
      <w:pPr>
        <w:ind w:firstLine="600"/>
        <w:rPr>
          <w:rFonts w:ascii="仿宋" w:hAnsi="仿宋" w:eastAsia="仿宋" w:cs="仿宋_GB2312"/>
          <w:szCs w:val="30"/>
        </w:rPr>
      </w:pPr>
      <w:r>
        <w:rPr>
          <w:rFonts w:hint="eastAsia" w:ascii="仿宋" w:hAnsi="仿宋" w:eastAsia="仿宋" w:cs="仿宋_GB2312"/>
          <w:szCs w:val="30"/>
        </w:rPr>
        <w:t>0</w:t>
      </w:r>
      <w:r>
        <w:rPr>
          <w:rFonts w:ascii="仿宋" w:hAnsi="仿宋" w:eastAsia="仿宋" w:cs="仿宋_GB2312"/>
          <w:szCs w:val="30"/>
        </w:rPr>
        <w:t>05</w:t>
      </w:r>
      <w:r>
        <w:rPr>
          <w:rFonts w:hint="eastAsia" w:ascii="仿宋" w:hAnsi="仿宋" w:eastAsia="仿宋" w:cs="仿宋_GB2312"/>
          <w:szCs w:val="30"/>
        </w:rPr>
        <w:t>-风险管理</w:t>
      </w:r>
    </w:p>
    <w:p>
      <w:pPr>
        <w:ind w:firstLine="600"/>
        <w:rPr>
          <w:rFonts w:ascii="仿宋" w:hAnsi="仿宋" w:eastAsia="仿宋" w:cs="仿宋_GB2312"/>
          <w:szCs w:val="30"/>
        </w:rPr>
      </w:pPr>
      <w:r>
        <w:rPr>
          <w:rFonts w:ascii="仿宋" w:hAnsi="仿宋" w:eastAsia="仿宋" w:cs="仿宋_GB2312"/>
          <w:szCs w:val="30"/>
        </w:rPr>
        <w:t>3.名称：数据元的中文名称，应按照国家标准GB/T 18391.5-2009中规定的数据元命名原则进行命名。</w:t>
      </w:r>
    </w:p>
    <w:p>
      <w:pPr>
        <w:ind w:firstLine="600"/>
        <w:rPr>
          <w:rFonts w:ascii="仿宋" w:hAnsi="仿宋" w:eastAsia="仿宋" w:cs="仿宋_GB2312"/>
          <w:szCs w:val="30"/>
        </w:rPr>
      </w:pPr>
      <w:r>
        <w:rPr>
          <w:rFonts w:ascii="仿宋" w:hAnsi="仿宋" w:eastAsia="仿宋" w:cs="仿宋_GB2312"/>
          <w:szCs w:val="30"/>
        </w:rPr>
        <w:t>4.说明和取值范围：数据元的含义描述。</w:t>
      </w:r>
    </w:p>
    <w:p>
      <w:pPr>
        <w:ind w:firstLine="600"/>
        <w:rPr>
          <w:rFonts w:ascii="仿宋" w:hAnsi="仿宋" w:eastAsia="仿宋" w:cs="仿宋_GB2312"/>
          <w:szCs w:val="30"/>
        </w:rPr>
      </w:pPr>
      <w:r>
        <w:rPr>
          <w:rFonts w:ascii="仿宋" w:hAnsi="仿宋" w:eastAsia="仿宋" w:cs="仿宋_GB2312"/>
          <w:szCs w:val="30"/>
        </w:rPr>
        <w:t>5.格式：数据元值的类型及长度的表示形式，按照GB/T 18142-2017的要求进行规定。</w:t>
      </w:r>
    </w:p>
    <w:p>
      <w:pPr>
        <w:pStyle w:val="3"/>
        <w:numPr>
          <w:ilvl w:val="0"/>
          <w:numId w:val="28"/>
        </w:numPr>
        <w:rPr>
          <w:szCs w:val="30"/>
        </w:rPr>
      </w:pPr>
      <w:bookmarkStart w:id="261" w:name="_Toc98147822"/>
      <w:bookmarkStart w:id="262" w:name="_Toc740"/>
      <w:bookmarkStart w:id="263" w:name="_Toc73958620"/>
      <w:bookmarkStart w:id="264" w:name="_Toc2499"/>
      <w:bookmarkStart w:id="265" w:name="_Toc3221"/>
      <w:bookmarkStart w:id="266" w:name="_Toc18472"/>
      <w:bookmarkStart w:id="267" w:name="_Toc117"/>
      <w:bookmarkStart w:id="268" w:name="_Toc15619"/>
      <w:bookmarkStart w:id="269" w:name="_Toc12552"/>
      <w:bookmarkStart w:id="270" w:name="_Toc30548"/>
      <w:bookmarkStart w:id="271" w:name="_Toc22782"/>
      <w:bookmarkStart w:id="272" w:name="_Toc16994"/>
      <w:r>
        <w:rPr>
          <w:rFonts w:hint="eastAsia"/>
          <w:szCs w:val="30"/>
        </w:rPr>
        <w:t>数据元细目</w:t>
      </w:r>
      <w:bookmarkEnd w:id="261"/>
      <w:bookmarkEnd w:id="262"/>
      <w:bookmarkEnd w:id="263"/>
      <w:bookmarkEnd w:id="264"/>
      <w:bookmarkEnd w:id="265"/>
      <w:bookmarkEnd w:id="266"/>
      <w:bookmarkEnd w:id="267"/>
      <w:bookmarkEnd w:id="268"/>
      <w:bookmarkEnd w:id="269"/>
      <w:bookmarkEnd w:id="270"/>
      <w:bookmarkEnd w:id="271"/>
      <w:bookmarkEnd w:id="272"/>
    </w:p>
    <w:p>
      <w:pPr>
        <w:pStyle w:val="4"/>
        <w:numPr>
          <w:ilvl w:val="0"/>
          <w:numId w:val="29"/>
        </w:numPr>
        <w:tabs>
          <w:tab w:val="left" w:pos="709"/>
          <w:tab w:val="left" w:pos="993"/>
        </w:tabs>
        <w:rPr>
          <w:rFonts w:ascii="仿宋" w:hAnsi="仿宋" w:eastAsia="仿宋"/>
        </w:rPr>
      </w:pPr>
      <w:bookmarkStart w:id="273" w:name="_Toc23988"/>
      <w:bookmarkStart w:id="274" w:name="_Toc73958621"/>
      <w:bookmarkStart w:id="275" w:name="_Toc30224"/>
      <w:bookmarkStart w:id="276" w:name="_Toc5601"/>
      <w:bookmarkStart w:id="277" w:name="_Toc32300"/>
      <w:bookmarkStart w:id="278" w:name="_Toc25953"/>
      <w:bookmarkStart w:id="279" w:name="_Toc3572"/>
      <w:r>
        <w:rPr>
          <w:rFonts w:hint="eastAsia" w:ascii="仿宋" w:hAnsi="仿宋" w:eastAsia="仿宋"/>
        </w:rPr>
        <w:t>公司治理</w:t>
      </w:r>
      <w:bookmarkEnd w:id="273"/>
      <w:bookmarkEnd w:id="274"/>
      <w:bookmarkEnd w:id="275"/>
      <w:bookmarkEnd w:id="276"/>
      <w:bookmarkEnd w:id="277"/>
      <w:bookmarkEnd w:id="278"/>
      <w:bookmarkEnd w:id="279"/>
    </w:p>
    <w:tbl>
      <w:tblPr>
        <w:tblStyle w:val="25"/>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490"/>
        <w:gridCol w:w="2695"/>
        <w:gridCol w:w="2125"/>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340" w:type="dxa"/>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1490" w:type="dxa"/>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数据元名称</w:t>
            </w:r>
          </w:p>
        </w:tc>
        <w:tc>
          <w:tcPr>
            <w:tcW w:w="2695" w:type="dxa"/>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数据元说明</w:t>
            </w:r>
          </w:p>
        </w:tc>
        <w:tc>
          <w:tcPr>
            <w:tcW w:w="2125" w:type="dxa"/>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取值范围</w:t>
            </w:r>
          </w:p>
        </w:tc>
        <w:tc>
          <w:tcPr>
            <w:tcW w:w="1184" w:type="dxa"/>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4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001001</w:t>
            </w:r>
          </w:p>
        </w:tc>
        <w:tc>
          <w:tcPr>
            <w:tcW w:w="149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流水号</w:t>
            </w:r>
          </w:p>
        </w:tc>
        <w:tc>
          <w:tcPr>
            <w:tcW w:w="269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报送数据时系统自动生成的编号。统一社会信用代码+日期（YYYYMMDD）+10位流水，流水号是每天的流水号，每天都是从‘0000000001’开始。其中日期为上报数据时当前的系统日期。</w:t>
            </w:r>
          </w:p>
        </w:tc>
        <w:tc>
          <w:tcPr>
            <w:tcW w:w="212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184"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36!n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34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001002</w:t>
            </w:r>
          </w:p>
        </w:tc>
        <w:tc>
          <w:tcPr>
            <w:tcW w:w="149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机构名称</w:t>
            </w:r>
          </w:p>
        </w:tc>
        <w:tc>
          <w:tcPr>
            <w:tcW w:w="269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机构名称，对于工商注册机构，名称需与工商注册中的名称一致；对于非工商注册的机构，名称需与审核登记的批准文件中的名称一致。</w:t>
            </w:r>
          </w:p>
        </w:tc>
        <w:tc>
          <w:tcPr>
            <w:tcW w:w="212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184"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34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001003</w:t>
            </w:r>
          </w:p>
        </w:tc>
        <w:tc>
          <w:tcPr>
            <w:tcW w:w="149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机构代码</w:t>
            </w:r>
          </w:p>
        </w:tc>
        <w:tc>
          <w:tcPr>
            <w:tcW w:w="269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境内法人机构填写统一社会信用代码。境外法人机构填写企业注册码、税务号等有效代码。如无上述代码，机构可自行定义。</w:t>
            </w:r>
          </w:p>
        </w:tc>
        <w:tc>
          <w:tcPr>
            <w:tcW w:w="212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184"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134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001004</w:t>
            </w:r>
          </w:p>
        </w:tc>
        <w:tc>
          <w:tcPr>
            <w:tcW w:w="149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LEI编码</w:t>
            </w:r>
          </w:p>
        </w:tc>
        <w:tc>
          <w:tcPr>
            <w:tcW w:w="269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全球法人识别编码（LEI）是按照国际标准化组织的《金融服务法人机构识别编码》（ISO17442：2012）标准为法人机构分配的由20位数字和字母组成的唯一编码，可以用于标识与国际金融交易相关联的法人机构。</w:t>
            </w:r>
          </w:p>
        </w:tc>
        <w:tc>
          <w:tcPr>
            <w:tcW w:w="212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184"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34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001005</w:t>
            </w:r>
          </w:p>
        </w:tc>
        <w:tc>
          <w:tcPr>
            <w:tcW w:w="149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日期</w:t>
            </w:r>
          </w:p>
        </w:tc>
        <w:tc>
          <w:tcPr>
            <w:tcW w:w="269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年月日，格式YYYYMMDD。</w:t>
            </w:r>
          </w:p>
        </w:tc>
        <w:tc>
          <w:tcPr>
            <w:tcW w:w="212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184"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8!n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34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001006</w:t>
            </w:r>
          </w:p>
        </w:tc>
        <w:tc>
          <w:tcPr>
            <w:tcW w:w="149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批复文号</w:t>
            </w:r>
          </w:p>
        </w:tc>
        <w:tc>
          <w:tcPr>
            <w:tcW w:w="269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批复文件的文号。</w:t>
            </w:r>
          </w:p>
        </w:tc>
        <w:tc>
          <w:tcPr>
            <w:tcW w:w="212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184"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34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001007</w:t>
            </w:r>
          </w:p>
        </w:tc>
        <w:tc>
          <w:tcPr>
            <w:tcW w:w="149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经营范围</w:t>
            </w:r>
          </w:p>
        </w:tc>
        <w:tc>
          <w:tcPr>
            <w:tcW w:w="269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应与工商注册中的经营范围一致。</w:t>
            </w:r>
          </w:p>
        </w:tc>
        <w:tc>
          <w:tcPr>
            <w:tcW w:w="212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184"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34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001008</w:t>
            </w:r>
          </w:p>
        </w:tc>
        <w:tc>
          <w:tcPr>
            <w:tcW w:w="149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金额</w:t>
            </w:r>
          </w:p>
        </w:tc>
        <w:tc>
          <w:tcPr>
            <w:tcW w:w="269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默认人民币，单位元。在指定货币代码时，为相应的币种数额。</w:t>
            </w:r>
          </w:p>
        </w:tc>
        <w:tc>
          <w:tcPr>
            <w:tcW w:w="212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184"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34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001009</w:t>
            </w:r>
          </w:p>
        </w:tc>
        <w:tc>
          <w:tcPr>
            <w:tcW w:w="149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地址</w:t>
            </w:r>
          </w:p>
        </w:tc>
        <w:tc>
          <w:tcPr>
            <w:tcW w:w="269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详细地址信息，应包括具体的村镇、街道名称及门牌号码等。如填写工商注册地址，应以工商注册信息中的注册地为准。</w:t>
            </w:r>
          </w:p>
        </w:tc>
        <w:tc>
          <w:tcPr>
            <w:tcW w:w="212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184"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4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001010</w:t>
            </w:r>
          </w:p>
        </w:tc>
        <w:tc>
          <w:tcPr>
            <w:tcW w:w="149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是否标志</w:t>
            </w:r>
          </w:p>
        </w:tc>
        <w:tc>
          <w:tcPr>
            <w:tcW w:w="269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是否标志位。</w:t>
            </w:r>
          </w:p>
        </w:tc>
        <w:tc>
          <w:tcPr>
            <w:tcW w:w="212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参照《业务代码表》“是否判断代码”，编号CD000005。</w:t>
            </w:r>
          </w:p>
        </w:tc>
        <w:tc>
          <w:tcPr>
            <w:tcW w:w="1184"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34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001011</w:t>
            </w:r>
          </w:p>
        </w:tc>
        <w:tc>
          <w:tcPr>
            <w:tcW w:w="149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姓名</w:t>
            </w:r>
          </w:p>
        </w:tc>
        <w:tc>
          <w:tcPr>
            <w:tcW w:w="269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应与个人有效证件上的姓名保持一致。</w:t>
            </w:r>
          </w:p>
        </w:tc>
        <w:tc>
          <w:tcPr>
            <w:tcW w:w="212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184"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4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001012</w:t>
            </w:r>
          </w:p>
        </w:tc>
        <w:tc>
          <w:tcPr>
            <w:tcW w:w="149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利率/费率/汇率（六位）</w:t>
            </w:r>
          </w:p>
        </w:tc>
        <w:tc>
          <w:tcPr>
            <w:tcW w:w="269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精度保留到小数点后六位，如0.0001%应填0.000001。</w:t>
            </w:r>
          </w:p>
        </w:tc>
        <w:tc>
          <w:tcPr>
            <w:tcW w:w="212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184"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22n(6)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4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001013</w:t>
            </w:r>
          </w:p>
        </w:tc>
        <w:tc>
          <w:tcPr>
            <w:tcW w:w="149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数量（整数）</w:t>
            </w:r>
          </w:p>
        </w:tc>
        <w:tc>
          <w:tcPr>
            <w:tcW w:w="269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人数、次数、天数、月数、年数等可量化数据。</w:t>
            </w:r>
          </w:p>
        </w:tc>
        <w:tc>
          <w:tcPr>
            <w:tcW w:w="212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184"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n..10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4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001014</w:t>
            </w:r>
          </w:p>
        </w:tc>
        <w:tc>
          <w:tcPr>
            <w:tcW w:w="149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实际控制人类型</w:t>
            </w:r>
          </w:p>
        </w:tc>
        <w:tc>
          <w:tcPr>
            <w:tcW w:w="269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实际控制人类型。</w:t>
            </w:r>
          </w:p>
        </w:tc>
        <w:tc>
          <w:tcPr>
            <w:tcW w:w="212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参照《业务代码表》“实际控制人类型代码”，编号CD030012。</w:t>
            </w:r>
          </w:p>
        </w:tc>
        <w:tc>
          <w:tcPr>
            <w:tcW w:w="1184"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n..30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4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001015</w:t>
            </w:r>
          </w:p>
        </w:tc>
        <w:tc>
          <w:tcPr>
            <w:tcW w:w="149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名称</w:t>
            </w:r>
          </w:p>
        </w:tc>
        <w:tc>
          <w:tcPr>
            <w:tcW w:w="269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识别某一个体或群体(人或事物)的专属名词</w:t>
            </w:r>
          </w:p>
        </w:tc>
        <w:tc>
          <w:tcPr>
            <w:tcW w:w="212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184"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4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001016</w:t>
            </w:r>
          </w:p>
        </w:tc>
        <w:tc>
          <w:tcPr>
            <w:tcW w:w="149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名称集合</w:t>
            </w:r>
          </w:p>
        </w:tc>
        <w:tc>
          <w:tcPr>
            <w:tcW w:w="269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拼接多个名称，需用英文分号“;”（ASCII码0x3B）隔开。</w:t>
            </w:r>
          </w:p>
        </w:tc>
        <w:tc>
          <w:tcPr>
            <w:tcW w:w="212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184"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34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001017</w:t>
            </w:r>
          </w:p>
        </w:tc>
        <w:tc>
          <w:tcPr>
            <w:tcW w:w="149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行政区划</w:t>
            </w:r>
          </w:p>
        </w:tc>
        <w:tc>
          <w:tcPr>
            <w:tcW w:w="269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行政区划。</w:t>
            </w:r>
          </w:p>
        </w:tc>
        <w:tc>
          <w:tcPr>
            <w:tcW w:w="212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参照《业务代码表》“行政区划代码”，编号CD000003。</w:t>
            </w:r>
          </w:p>
        </w:tc>
        <w:tc>
          <w:tcPr>
            <w:tcW w:w="1184"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6!n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34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001018</w:t>
            </w:r>
          </w:p>
        </w:tc>
        <w:tc>
          <w:tcPr>
            <w:tcW w:w="149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证件号码</w:t>
            </w:r>
          </w:p>
        </w:tc>
        <w:tc>
          <w:tcPr>
            <w:tcW w:w="269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证件号码。</w:t>
            </w:r>
          </w:p>
        </w:tc>
        <w:tc>
          <w:tcPr>
            <w:tcW w:w="212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184"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4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001019</w:t>
            </w:r>
          </w:p>
        </w:tc>
        <w:tc>
          <w:tcPr>
            <w:tcW w:w="149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证件类型</w:t>
            </w:r>
          </w:p>
        </w:tc>
        <w:tc>
          <w:tcPr>
            <w:tcW w:w="269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证件类型名称。</w:t>
            </w:r>
          </w:p>
        </w:tc>
        <w:tc>
          <w:tcPr>
            <w:tcW w:w="212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参照《业务代码表》“证件类型代码”，编号CD000010。</w:t>
            </w:r>
          </w:p>
        </w:tc>
        <w:tc>
          <w:tcPr>
            <w:tcW w:w="1184"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4!n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134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001020</w:t>
            </w:r>
          </w:p>
        </w:tc>
        <w:tc>
          <w:tcPr>
            <w:tcW w:w="149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股东持股类型</w:t>
            </w:r>
          </w:p>
        </w:tc>
        <w:tc>
          <w:tcPr>
            <w:tcW w:w="269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根据持股比例、资质条件和对保险公司经营管理的影响，根据《保险公司股权管理办法》（保监会令〔2018〕5号 ）保险公司股东分为以下四类： 01-财务Ⅰ类股东，02-财务Ⅱ类股东 ，03-战略类股东 ，04-控制类股东。</w:t>
            </w:r>
          </w:p>
        </w:tc>
        <w:tc>
          <w:tcPr>
            <w:tcW w:w="212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参照《业务代码表》“股东类型代码”，编号CD030005。</w:t>
            </w:r>
          </w:p>
        </w:tc>
        <w:tc>
          <w:tcPr>
            <w:tcW w:w="1184"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n..30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4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001021</w:t>
            </w:r>
          </w:p>
        </w:tc>
        <w:tc>
          <w:tcPr>
            <w:tcW w:w="149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股东类别</w:t>
            </w:r>
          </w:p>
        </w:tc>
        <w:tc>
          <w:tcPr>
            <w:tcW w:w="269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按照股东自然人或机构属性。</w:t>
            </w:r>
          </w:p>
        </w:tc>
        <w:tc>
          <w:tcPr>
            <w:tcW w:w="212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参照《业务代码表》“股东类别代码”，编号CD030006。</w:t>
            </w:r>
          </w:p>
        </w:tc>
        <w:tc>
          <w:tcPr>
            <w:tcW w:w="1184"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n..30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34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001022</w:t>
            </w:r>
          </w:p>
        </w:tc>
        <w:tc>
          <w:tcPr>
            <w:tcW w:w="149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国家地区</w:t>
            </w:r>
          </w:p>
        </w:tc>
        <w:tc>
          <w:tcPr>
            <w:tcW w:w="269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国家地区。《GB/T 2659 世界各国和地区名称代码》定义的三字符代码，如CHN。</w:t>
            </w:r>
          </w:p>
        </w:tc>
        <w:tc>
          <w:tcPr>
            <w:tcW w:w="212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参照《业务代码表》“国家地区”，编号CD000001。</w:t>
            </w:r>
          </w:p>
        </w:tc>
        <w:tc>
          <w:tcPr>
            <w:tcW w:w="1184"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4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001023</w:t>
            </w:r>
          </w:p>
        </w:tc>
        <w:tc>
          <w:tcPr>
            <w:tcW w:w="149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标识号</w:t>
            </w:r>
          </w:p>
        </w:tc>
        <w:tc>
          <w:tcPr>
            <w:tcW w:w="269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记录相关事件、单据、参与方或实物的唯一标识。</w:t>
            </w:r>
          </w:p>
        </w:tc>
        <w:tc>
          <w:tcPr>
            <w:tcW w:w="212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184"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4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001024</w:t>
            </w:r>
          </w:p>
        </w:tc>
        <w:tc>
          <w:tcPr>
            <w:tcW w:w="149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行业类型</w:t>
            </w:r>
          </w:p>
        </w:tc>
        <w:tc>
          <w:tcPr>
            <w:tcW w:w="269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行业类型名称。</w:t>
            </w:r>
          </w:p>
        </w:tc>
        <w:tc>
          <w:tcPr>
            <w:tcW w:w="212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参照《业务代码表》“行业类型代码”，编号CD000004。</w:t>
            </w:r>
          </w:p>
        </w:tc>
        <w:tc>
          <w:tcPr>
            <w:tcW w:w="1184"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34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001025</w:t>
            </w:r>
          </w:p>
        </w:tc>
        <w:tc>
          <w:tcPr>
            <w:tcW w:w="149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序号</w:t>
            </w:r>
          </w:p>
        </w:tc>
        <w:tc>
          <w:tcPr>
            <w:tcW w:w="269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顺序号。</w:t>
            </w:r>
          </w:p>
        </w:tc>
        <w:tc>
          <w:tcPr>
            <w:tcW w:w="212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184"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n..10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134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001026</w:t>
            </w:r>
          </w:p>
        </w:tc>
        <w:tc>
          <w:tcPr>
            <w:tcW w:w="149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持股类型</w:t>
            </w:r>
          </w:p>
        </w:tc>
        <w:tc>
          <w:tcPr>
            <w:tcW w:w="269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持股类型分别为：绝对控股，指持有股权50%及以上，或者出资额享有的表决权足以对该企业股东（大）会的决议产生控制性影响；相对控制，指持有股权30%及以上，但不足50%，或者出资额享有的表决权足以对该企业股东（大）会的决议产生重大影响；一般控制，指持有股权5%及以上，但不足30%；无控制关系，指持有股权不足5%。</w:t>
            </w:r>
          </w:p>
        </w:tc>
        <w:tc>
          <w:tcPr>
            <w:tcW w:w="212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参照《业务代码表》“持股类型代码”，编号CD030007。</w:t>
            </w:r>
          </w:p>
        </w:tc>
        <w:tc>
          <w:tcPr>
            <w:tcW w:w="1184"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n..30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4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001027</w:t>
            </w:r>
          </w:p>
        </w:tc>
        <w:tc>
          <w:tcPr>
            <w:tcW w:w="149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管理模式</w:t>
            </w:r>
          </w:p>
        </w:tc>
        <w:tc>
          <w:tcPr>
            <w:tcW w:w="269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管理模式。</w:t>
            </w:r>
          </w:p>
        </w:tc>
        <w:tc>
          <w:tcPr>
            <w:tcW w:w="212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参照《业务代码表》“管理模式代码”，编号CD030010。</w:t>
            </w:r>
          </w:p>
        </w:tc>
        <w:tc>
          <w:tcPr>
            <w:tcW w:w="1184"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n..30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4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001028</w:t>
            </w:r>
          </w:p>
        </w:tc>
        <w:tc>
          <w:tcPr>
            <w:tcW w:w="149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员工编制</w:t>
            </w:r>
          </w:p>
        </w:tc>
        <w:tc>
          <w:tcPr>
            <w:tcW w:w="269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员工编制。</w:t>
            </w:r>
          </w:p>
        </w:tc>
        <w:tc>
          <w:tcPr>
            <w:tcW w:w="212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参照《业务代码表》“员工编制代码”，编号CD030009。</w:t>
            </w:r>
          </w:p>
        </w:tc>
        <w:tc>
          <w:tcPr>
            <w:tcW w:w="1184"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n..30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4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001029</w:t>
            </w:r>
          </w:p>
        </w:tc>
        <w:tc>
          <w:tcPr>
            <w:tcW w:w="149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员工状态</w:t>
            </w:r>
          </w:p>
        </w:tc>
        <w:tc>
          <w:tcPr>
            <w:tcW w:w="269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员工状态。</w:t>
            </w:r>
          </w:p>
        </w:tc>
        <w:tc>
          <w:tcPr>
            <w:tcW w:w="212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参照《业务代码表》“员工状态代码”，编号CD030001。</w:t>
            </w:r>
          </w:p>
        </w:tc>
        <w:tc>
          <w:tcPr>
            <w:tcW w:w="1184"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n..30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4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001030</w:t>
            </w:r>
          </w:p>
        </w:tc>
        <w:tc>
          <w:tcPr>
            <w:tcW w:w="149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性别</w:t>
            </w:r>
          </w:p>
        </w:tc>
        <w:tc>
          <w:tcPr>
            <w:tcW w:w="269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性别。</w:t>
            </w:r>
          </w:p>
        </w:tc>
        <w:tc>
          <w:tcPr>
            <w:tcW w:w="212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参照《业务代码表》“性别代码”，编号CD000006。</w:t>
            </w:r>
          </w:p>
        </w:tc>
        <w:tc>
          <w:tcPr>
            <w:tcW w:w="1184"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n..30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4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001031</w:t>
            </w:r>
          </w:p>
        </w:tc>
        <w:tc>
          <w:tcPr>
            <w:tcW w:w="149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政治面貌</w:t>
            </w:r>
          </w:p>
        </w:tc>
        <w:tc>
          <w:tcPr>
            <w:tcW w:w="269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政治面貌。</w:t>
            </w:r>
          </w:p>
        </w:tc>
        <w:tc>
          <w:tcPr>
            <w:tcW w:w="212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参照《业务代码表》“政治面貌代码”，编号CD000009。</w:t>
            </w:r>
          </w:p>
        </w:tc>
        <w:tc>
          <w:tcPr>
            <w:tcW w:w="1184"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n..30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134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001032</w:t>
            </w:r>
          </w:p>
        </w:tc>
        <w:tc>
          <w:tcPr>
            <w:tcW w:w="149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电话号码</w:t>
            </w:r>
          </w:p>
        </w:tc>
        <w:tc>
          <w:tcPr>
            <w:tcW w:w="269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固定及移动通讯电话号码。固定电话号码应由“国际长途区号+国内长途区号+电话号码”组成，国内电话可省略国际长途区号。移动通讯设备的号码，一般为手机号码，应由“国家代码”+“电话号码”组成，国内手机号可省略国家代码。</w:t>
            </w:r>
          </w:p>
        </w:tc>
        <w:tc>
          <w:tcPr>
            <w:tcW w:w="212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184"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4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001033</w:t>
            </w:r>
          </w:p>
        </w:tc>
        <w:tc>
          <w:tcPr>
            <w:tcW w:w="149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学历</w:t>
            </w:r>
          </w:p>
        </w:tc>
        <w:tc>
          <w:tcPr>
            <w:tcW w:w="269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学历。</w:t>
            </w:r>
          </w:p>
        </w:tc>
        <w:tc>
          <w:tcPr>
            <w:tcW w:w="212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参照《业务代码表》“学历代码”，编号CD000008。</w:t>
            </w:r>
          </w:p>
        </w:tc>
        <w:tc>
          <w:tcPr>
            <w:tcW w:w="1184"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n..30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34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001034</w:t>
            </w:r>
          </w:p>
        </w:tc>
        <w:tc>
          <w:tcPr>
            <w:tcW w:w="149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员工代码</w:t>
            </w:r>
          </w:p>
        </w:tc>
        <w:tc>
          <w:tcPr>
            <w:tcW w:w="269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员工代码。</w:t>
            </w:r>
          </w:p>
        </w:tc>
        <w:tc>
          <w:tcPr>
            <w:tcW w:w="212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184"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4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001035</w:t>
            </w:r>
          </w:p>
        </w:tc>
        <w:tc>
          <w:tcPr>
            <w:tcW w:w="149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问责原因</w:t>
            </w:r>
          </w:p>
        </w:tc>
        <w:tc>
          <w:tcPr>
            <w:tcW w:w="269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机构被问责员工的主要违法违纪事实和原由。</w:t>
            </w:r>
          </w:p>
        </w:tc>
        <w:tc>
          <w:tcPr>
            <w:tcW w:w="212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184"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4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001036</w:t>
            </w:r>
          </w:p>
        </w:tc>
        <w:tc>
          <w:tcPr>
            <w:tcW w:w="149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外部公司任职</w:t>
            </w:r>
          </w:p>
        </w:tc>
        <w:tc>
          <w:tcPr>
            <w:tcW w:w="269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董事、监事、高管在外部公司任职情况。</w:t>
            </w:r>
          </w:p>
        </w:tc>
        <w:tc>
          <w:tcPr>
            <w:tcW w:w="212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184"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4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001037</w:t>
            </w:r>
          </w:p>
        </w:tc>
        <w:tc>
          <w:tcPr>
            <w:tcW w:w="149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履职评价结果</w:t>
            </w:r>
          </w:p>
        </w:tc>
        <w:tc>
          <w:tcPr>
            <w:tcW w:w="269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董事、监事、高管的最近年度履职评价结果。</w:t>
            </w:r>
          </w:p>
        </w:tc>
        <w:tc>
          <w:tcPr>
            <w:tcW w:w="212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参照《业务代码表》“履职评价结果代码”，编号CD030011。</w:t>
            </w:r>
          </w:p>
        </w:tc>
        <w:tc>
          <w:tcPr>
            <w:tcW w:w="1184"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4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001038</w:t>
            </w:r>
          </w:p>
        </w:tc>
        <w:tc>
          <w:tcPr>
            <w:tcW w:w="149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处罚类型</w:t>
            </w:r>
          </w:p>
        </w:tc>
        <w:tc>
          <w:tcPr>
            <w:tcW w:w="269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董事、监事、高管处罚类型。</w:t>
            </w:r>
          </w:p>
        </w:tc>
        <w:tc>
          <w:tcPr>
            <w:tcW w:w="212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参照《业务代码表》“处罚类型代码”，编号CD030002。</w:t>
            </w:r>
          </w:p>
        </w:tc>
        <w:tc>
          <w:tcPr>
            <w:tcW w:w="1184"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n..100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4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001039</w:t>
            </w:r>
          </w:p>
        </w:tc>
        <w:tc>
          <w:tcPr>
            <w:tcW w:w="149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处罚原因</w:t>
            </w:r>
          </w:p>
        </w:tc>
        <w:tc>
          <w:tcPr>
            <w:tcW w:w="269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处罚原因的文字描述，若有处罚决定书，填写处罚决定书内容。</w:t>
            </w:r>
          </w:p>
        </w:tc>
        <w:tc>
          <w:tcPr>
            <w:tcW w:w="212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184"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34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001040</w:t>
            </w:r>
          </w:p>
        </w:tc>
        <w:tc>
          <w:tcPr>
            <w:tcW w:w="149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数量（小数）</w:t>
            </w:r>
          </w:p>
        </w:tc>
        <w:tc>
          <w:tcPr>
            <w:tcW w:w="269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份数、股数等可量化数据。</w:t>
            </w:r>
          </w:p>
        </w:tc>
        <w:tc>
          <w:tcPr>
            <w:tcW w:w="212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184"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18n(2)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34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001041</w:t>
            </w:r>
          </w:p>
        </w:tc>
        <w:tc>
          <w:tcPr>
            <w:tcW w:w="149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年月类型</w:t>
            </w:r>
          </w:p>
        </w:tc>
        <w:tc>
          <w:tcPr>
            <w:tcW w:w="269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年月类型，YYYYMM。</w:t>
            </w:r>
          </w:p>
        </w:tc>
        <w:tc>
          <w:tcPr>
            <w:tcW w:w="212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184"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6!n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34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001042</w:t>
            </w:r>
          </w:p>
        </w:tc>
        <w:tc>
          <w:tcPr>
            <w:tcW w:w="149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保险许可证机构编码</w:t>
            </w:r>
          </w:p>
        </w:tc>
        <w:tc>
          <w:tcPr>
            <w:tcW w:w="269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保险许可证机构编码。</w:t>
            </w:r>
          </w:p>
        </w:tc>
        <w:tc>
          <w:tcPr>
            <w:tcW w:w="212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184"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4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001043</w:t>
            </w:r>
          </w:p>
        </w:tc>
        <w:tc>
          <w:tcPr>
            <w:tcW w:w="149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董监高类型</w:t>
            </w:r>
          </w:p>
        </w:tc>
        <w:tc>
          <w:tcPr>
            <w:tcW w:w="269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董监高类型。</w:t>
            </w:r>
          </w:p>
        </w:tc>
        <w:tc>
          <w:tcPr>
            <w:tcW w:w="212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参照《业务代码表》“董监高类型代码”，编号CD030003。</w:t>
            </w:r>
          </w:p>
        </w:tc>
        <w:tc>
          <w:tcPr>
            <w:tcW w:w="1184"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n..50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4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001044</w:t>
            </w:r>
          </w:p>
        </w:tc>
        <w:tc>
          <w:tcPr>
            <w:tcW w:w="149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增减资标识</w:t>
            </w:r>
          </w:p>
        </w:tc>
        <w:tc>
          <w:tcPr>
            <w:tcW w:w="269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增减资标识。</w:t>
            </w:r>
          </w:p>
        </w:tc>
        <w:tc>
          <w:tcPr>
            <w:tcW w:w="212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参照《业务代码表》“增减资标识代码”，编号CD010008。</w:t>
            </w:r>
          </w:p>
        </w:tc>
        <w:tc>
          <w:tcPr>
            <w:tcW w:w="1184"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n..30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4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001045</w:t>
            </w:r>
          </w:p>
        </w:tc>
        <w:tc>
          <w:tcPr>
            <w:tcW w:w="149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与前一层的关系</w:t>
            </w:r>
          </w:p>
        </w:tc>
        <w:tc>
          <w:tcPr>
            <w:tcW w:w="269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与前一层的关系。</w:t>
            </w:r>
          </w:p>
        </w:tc>
        <w:tc>
          <w:tcPr>
            <w:tcW w:w="212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枚举值为“对前一层持有；被前一层持有”。</w:t>
            </w:r>
          </w:p>
        </w:tc>
        <w:tc>
          <w:tcPr>
            <w:tcW w:w="1184"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4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001047</w:t>
            </w:r>
          </w:p>
        </w:tc>
        <w:tc>
          <w:tcPr>
            <w:tcW w:w="149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民族</w:t>
            </w:r>
          </w:p>
        </w:tc>
        <w:tc>
          <w:tcPr>
            <w:tcW w:w="269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民族名称。</w:t>
            </w:r>
          </w:p>
        </w:tc>
        <w:tc>
          <w:tcPr>
            <w:tcW w:w="212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参照《业务代码表》“民族代码”，编号CD000002。</w:t>
            </w:r>
          </w:p>
        </w:tc>
        <w:tc>
          <w:tcPr>
            <w:tcW w:w="1184"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n..30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40" w:type="dxa"/>
            <w:shd w:val="clear" w:color="auto" w:fill="auto"/>
            <w:vAlign w:val="center"/>
          </w:tcPr>
          <w:p>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001048</w:t>
            </w:r>
          </w:p>
        </w:tc>
        <w:tc>
          <w:tcPr>
            <w:tcW w:w="1490" w:type="dxa"/>
            <w:shd w:val="clear" w:color="auto" w:fill="auto"/>
            <w:vAlign w:val="center"/>
          </w:tcPr>
          <w:p>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党内职务</w:t>
            </w:r>
          </w:p>
        </w:tc>
        <w:tc>
          <w:tcPr>
            <w:tcW w:w="2695" w:type="dxa"/>
            <w:shd w:val="clear" w:color="auto" w:fill="auto"/>
            <w:vAlign w:val="center"/>
          </w:tcPr>
          <w:p>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党内职务名称。</w:t>
            </w:r>
          </w:p>
        </w:tc>
        <w:tc>
          <w:tcPr>
            <w:tcW w:w="2125" w:type="dxa"/>
            <w:shd w:val="clear" w:color="auto" w:fill="auto"/>
            <w:vAlign w:val="center"/>
          </w:tcPr>
          <w:p>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参照《业务代码表》“党内职务代码”，编号CD030004。</w:t>
            </w:r>
          </w:p>
        </w:tc>
        <w:tc>
          <w:tcPr>
            <w:tcW w:w="1184" w:type="dxa"/>
            <w:shd w:val="clear" w:color="auto" w:fill="auto"/>
            <w:vAlign w:val="center"/>
          </w:tcPr>
          <w:p>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n..30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4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0010</w:t>
            </w:r>
            <w:r>
              <w:rPr>
                <w:rFonts w:ascii="宋体" w:hAnsi="宋体" w:eastAsia="宋体" w:cs="宋体"/>
                <w:kern w:val="0"/>
                <w:sz w:val="21"/>
                <w:szCs w:val="21"/>
              </w:rPr>
              <w:t>49</w:t>
            </w:r>
          </w:p>
        </w:tc>
        <w:tc>
          <w:tcPr>
            <w:tcW w:w="149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比例/比率</w:t>
            </w:r>
          </w:p>
        </w:tc>
        <w:tc>
          <w:tcPr>
            <w:tcW w:w="269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百分比类数据，精度保留到小数点后两位，如</w:t>
            </w:r>
            <w:r>
              <w:rPr>
                <w:rFonts w:ascii="宋体" w:hAnsi="宋体" w:eastAsia="宋体" w:cs="宋体"/>
                <w:kern w:val="0"/>
                <w:sz w:val="21"/>
                <w:szCs w:val="21"/>
              </w:rPr>
              <w:t>12.34</w:t>
            </w:r>
            <w:r>
              <w:rPr>
                <w:rFonts w:hint="eastAsia" w:ascii="宋体" w:hAnsi="宋体" w:eastAsia="宋体" w:cs="宋体"/>
                <w:kern w:val="0"/>
                <w:sz w:val="21"/>
                <w:szCs w:val="21"/>
              </w:rPr>
              <w:t>%应填</w:t>
            </w:r>
            <w:r>
              <w:rPr>
                <w:rFonts w:ascii="宋体" w:hAnsi="宋体" w:eastAsia="宋体" w:cs="宋体"/>
                <w:kern w:val="0"/>
                <w:sz w:val="21"/>
                <w:szCs w:val="21"/>
              </w:rPr>
              <w:t>12.34</w:t>
            </w:r>
            <w:r>
              <w:rPr>
                <w:rFonts w:hint="eastAsia" w:ascii="宋体" w:hAnsi="宋体" w:eastAsia="宋体" w:cs="宋体"/>
                <w:kern w:val="0"/>
                <w:sz w:val="21"/>
                <w:szCs w:val="21"/>
              </w:rPr>
              <w:t>。</w:t>
            </w:r>
          </w:p>
        </w:tc>
        <w:tc>
          <w:tcPr>
            <w:tcW w:w="2125"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184"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ascii="宋体" w:hAnsi="宋体" w:eastAsia="宋体" w:cs="宋体"/>
                <w:kern w:val="0"/>
                <w:sz w:val="21"/>
                <w:szCs w:val="21"/>
              </w:rPr>
              <w:t>6</w:t>
            </w:r>
            <w:r>
              <w:rPr>
                <w:rFonts w:hint="eastAsia" w:ascii="宋体" w:hAnsi="宋体" w:eastAsia="宋体" w:cs="宋体"/>
                <w:kern w:val="0"/>
                <w:sz w:val="21"/>
                <w:szCs w:val="21"/>
              </w:rPr>
              <w:t>n(</w:t>
            </w:r>
            <w:r>
              <w:rPr>
                <w:rFonts w:ascii="宋体" w:hAnsi="宋体" w:eastAsia="宋体" w:cs="宋体"/>
                <w:kern w:val="0"/>
                <w:sz w:val="21"/>
                <w:szCs w:val="21"/>
              </w:rPr>
              <w:t>2</w:t>
            </w:r>
            <w:r>
              <w:rPr>
                <w:rFonts w:hint="eastAsia" w:ascii="宋体" w:hAnsi="宋体" w:eastAsia="宋体" w:cs="宋体"/>
                <w:kern w:val="0"/>
                <w:sz w:val="21"/>
                <w:szCs w:val="21"/>
              </w:rPr>
              <w:t>)</w:t>
            </w:r>
          </w:p>
        </w:tc>
      </w:tr>
    </w:tbl>
    <w:p>
      <w:pPr>
        <w:pStyle w:val="4"/>
        <w:numPr>
          <w:ilvl w:val="0"/>
          <w:numId w:val="29"/>
        </w:numPr>
        <w:tabs>
          <w:tab w:val="left" w:pos="709"/>
          <w:tab w:val="left" w:pos="993"/>
        </w:tabs>
        <w:rPr>
          <w:rFonts w:ascii="仿宋" w:hAnsi="仿宋" w:eastAsia="仿宋"/>
        </w:rPr>
      </w:pPr>
      <w:bookmarkStart w:id="280" w:name="_Toc27108"/>
      <w:bookmarkStart w:id="281" w:name="_Toc23498"/>
      <w:bookmarkStart w:id="282" w:name="_Toc32295"/>
      <w:bookmarkStart w:id="283" w:name="_Toc18822"/>
      <w:bookmarkStart w:id="284" w:name="_Toc73958622"/>
      <w:bookmarkStart w:id="285" w:name="_Toc8178"/>
      <w:bookmarkStart w:id="286" w:name="_Toc19200"/>
      <w:r>
        <w:rPr>
          <w:rFonts w:hint="eastAsia" w:ascii="仿宋" w:hAnsi="仿宋" w:eastAsia="仿宋"/>
        </w:rPr>
        <w:t>公司财务</w:t>
      </w:r>
      <w:bookmarkEnd w:id="280"/>
      <w:bookmarkEnd w:id="281"/>
      <w:bookmarkEnd w:id="282"/>
      <w:bookmarkEnd w:id="283"/>
      <w:bookmarkEnd w:id="284"/>
      <w:bookmarkEnd w:id="285"/>
      <w:bookmarkEnd w:id="286"/>
    </w:p>
    <w:tbl>
      <w:tblPr>
        <w:tblStyle w:val="25"/>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559"/>
        <w:gridCol w:w="2693"/>
        <w:gridCol w:w="2103"/>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1271" w:type="dxa"/>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1559" w:type="dxa"/>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数据元名称</w:t>
            </w:r>
          </w:p>
        </w:tc>
        <w:tc>
          <w:tcPr>
            <w:tcW w:w="2693" w:type="dxa"/>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数据元说明</w:t>
            </w:r>
          </w:p>
        </w:tc>
        <w:tc>
          <w:tcPr>
            <w:tcW w:w="2103" w:type="dxa"/>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取值范围</w:t>
            </w:r>
          </w:p>
        </w:tc>
        <w:tc>
          <w:tcPr>
            <w:tcW w:w="1208" w:type="dxa"/>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71"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002001</w:t>
            </w:r>
          </w:p>
        </w:tc>
        <w:tc>
          <w:tcPr>
            <w:tcW w:w="1559"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币种</w:t>
            </w:r>
          </w:p>
        </w:tc>
        <w:tc>
          <w:tcPr>
            <w:tcW w:w="2693"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货币和资金的币种代码。例如：CNY、USD等。</w:t>
            </w:r>
          </w:p>
        </w:tc>
        <w:tc>
          <w:tcPr>
            <w:tcW w:w="2103"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参照《业务代码表》“币种代码”，编号CD000011。</w:t>
            </w:r>
          </w:p>
        </w:tc>
        <w:tc>
          <w:tcPr>
            <w:tcW w:w="1208"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1271"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002002</w:t>
            </w:r>
          </w:p>
        </w:tc>
        <w:tc>
          <w:tcPr>
            <w:tcW w:w="1559"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会计期间</w:t>
            </w:r>
          </w:p>
        </w:tc>
        <w:tc>
          <w:tcPr>
            <w:tcW w:w="2693"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归属期间。格式：</w:t>
            </w:r>
            <w:r>
              <w:rPr>
                <w:rFonts w:ascii="宋体" w:hAnsi="宋体" w:eastAsia="宋体" w:cs="宋体"/>
                <w:kern w:val="0"/>
                <w:sz w:val="21"/>
                <w:szCs w:val="21"/>
              </w:rPr>
              <w:t>YYYYMM。</w:t>
            </w:r>
          </w:p>
        </w:tc>
        <w:tc>
          <w:tcPr>
            <w:tcW w:w="2103"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208"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6!n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0" w:hRule="atLeast"/>
        </w:trPr>
        <w:tc>
          <w:tcPr>
            <w:tcW w:w="1271"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002003</w:t>
            </w:r>
          </w:p>
        </w:tc>
        <w:tc>
          <w:tcPr>
            <w:tcW w:w="1559"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会计核算方法</w:t>
            </w:r>
          </w:p>
        </w:tc>
        <w:tc>
          <w:tcPr>
            <w:tcW w:w="2693"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会计核算方法。</w:t>
            </w:r>
          </w:p>
        </w:tc>
        <w:tc>
          <w:tcPr>
            <w:tcW w:w="2103"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参照《业务代码表》“会计核算方法代码”，编号CD010002。</w:t>
            </w:r>
          </w:p>
        </w:tc>
        <w:tc>
          <w:tcPr>
            <w:tcW w:w="1208"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n..50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1271"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002004</w:t>
            </w:r>
          </w:p>
        </w:tc>
        <w:tc>
          <w:tcPr>
            <w:tcW w:w="1559"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会计科目类型</w:t>
            </w:r>
          </w:p>
        </w:tc>
        <w:tc>
          <w:tcPr>
            <w:tcW w:w="2693"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会计科目分类：“1资产；2负债；3所有者权益；4损益；5资产负债共同类；6表外；7其他”，填报数字。</w:t>
            </w:r>
          </w:p>
        </w:tc>
        <w:tc>
          <w:tcPr>
            <w:tcW w:w="2103"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参照《业务代码表》“会计科目类型代码”，编号CD010003。</w:t>
            </w:r>
          </w:p>
        </w:tc>
        <w:tc>
          <w:tcPr>
            <w:tcW w:w="1208"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trPr>
        <w:tc>
          <w:tcPr>
            <w:tcW w:w="1271"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002005</w:t>
            </w:r>
          </w:p>
        </w:tc>
        <w:tc>
          <w:tcPr>
            <w:tcW w:w="1559"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会计科目级次</w:t>
            </w:r>
          </w:p>
        </w:tc>
        <w:tc>
          <w:tcPr>
            <w:tcW w:w="2693"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总账会计科目编号在科目结构中所对应的级次：“1-一级科目；2-二级科目；3-三级科目；4-四级科目；5-五级科目；6-六级科目”，以此类推，填报数字。</w:t>
            </w:r>
          </w:p>
        </w:tc>
        <w:tc>
          <w:tcPr>
            <w:tcW w:w="2103"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枚举值为“1；2；3；4；5；6”，以此类推。</w:t>
            </w:r>
          </w:p>
        </w:tc>
        <w:tc>
          <w:tcPr>
            <w:tcW w:w="1208"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1271"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002006</w:t>
            </w:r>
          </w:p>
        </w:tc>
        <w:tc>
          <w:tcPr>
            <w:tcW w:w="1559"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会计科目编号</w:t>
            </w:r>
          </w:p>
        </w:tc>
        <w:tc>
          <w:tcPr>
            <w:tcW w:w="2693"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机构实际使用的会计科目编码。</w:t>
            </w:r>
          </w:p>
        </w:tc>
        <w:tc>
          <w:tcPr>
            <w:tcW w:w="2103"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208"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0" w:hRule="atLeast"/>
        </w:trPr>
        <w:tc>
          <w:tcPr>
            <w:tcW w:w="1271"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002007</w:t>
            </w:r>
          </w:p>
        </w:tc>
        <w:tc>
          <w:tcPr>
            <w:tcW w:w="1559"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会计科目名称</w:t>
            </w:r>
          </w:p>
        </w:tc>
        <w:tc>
          <w:tcPr>
            <w:tcW w:w="2693"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机构实际使用的会计科目编码对应的名称。</w:t>
            </w:r>
          </w:p>
        </w:tc>
        <w:tc>
          <w:tcPr>
            <w:tcW w:w="2103"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208"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1271"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002008</w:t>
            </w:r>
          </w:p>
        </w:tc>
        <w:tc>
          <w:tcPr>
            <w:tcW w:w="1559"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银行账户类型</w:t>
            </w:r>
          </w:p>
        </w:tc>
        <w:tc>
          <w:tcPr>
            <w:tcW w:w="2693"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银行账户类型，填报中文描述。</w:t>
            </w:r>
          </w:p>
        </w:tc>
        <w:tc>
          <w:tcPr>
            <w:tcW w:w="2103"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参照《业务代码表》“银行账户类型代码”，编号CD010005。</w:t>
            </w:r>
          </w:p>
        </w:tc>
        <w:tc>
          <w:tcPr>
            <w:tcW w:w="1208"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271"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002009</w:t>
            </w:r>
          </w:p>
        </w:tc>
        <w:tc>
          <w:tcPr>
            <w:tcW w:w="1559"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银行账户状态</w:t>
            </w:r>
          </w:p>
        </w:tc>
        <w:tc>
          <w:tcPr>
            <w:tcW w:w="2693"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保险公司银行账户的目前状态。</w:t>
            </w:r>
          </w:p>
        </w:tc>
        <w:tc>
          <w:tcPr>
            <w:tcW w:w="2103"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参照《业务代码表》“银行账户状态代码”，编号CD010006。</w:t>
            </w:r>
          </w:p>
        </w:tc>
        <w:tc>
          <w:tcPr>
            <w:tcW w:w="1208"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n..30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271"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002010</w:t>
            </w:r>
          </w:p>
        </w:tc>
        <w:tc>
          <w:tcPr>
            <w:tcW w:w="1559"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资金标识</w:t>
            </w:r>
          </w:p>
        </w:tc>
        <w:tc>
          <w:tcPr>
            <w:tcW w:w="2693"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资金标识。</w:t>
            </w:r>
          </w:p>
        </w:tc>
        <w:tc>
          <w:tcPr>
            <w:tcW w:w="2103"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参照《业务代码表》“资金标识代码”，编号CD010007。</w:t>
            </w:r>
          </w:p>
        </w:tc>
        <w:tc>
          <w:tcPr>
            <w:tcW w:w="1208"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n..30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0" w:hRule="atLeast"/>
        </w:trPr>
        <w:tc>
          <w:tcPr>
            <w:tcW w:w="1271"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002011</w:t>
            </w:r>
          </w:p>
        </w:tc>
        <w:tc>
          <w:tcPr>
            <w:tcW w:w="1559"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摘要</w:t>
            </w:r>
          </w:p>
        </w:tc>
        <w:tc>
          <w:tcPr>
            <w:tcW w:w="2693"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用于简明扼要说明相关事件、状况的内容。</w:t>
            </w:r>
          </w:p>
        </w:tc>
        <w:tc>
          <w:tcPr>
            <w:tcW w:w="2103"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208"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1271"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002013</w:t>
            </w:r>
          </w:p>
        </w:tc>
        <w:tc>
          <w:tcPr>
            <w:tcW w:w="1559"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凭证编号</w:t>
            </w:r>
          </w:p>
        </w:tc>
        <w:tc>
          <w:tcPr>
            <w:tcW w:w="2693"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会计凭证编号。</w:t>
            </w:r>
          </w:p>
        </w:tc>
        <w:tc>
          <w:tcPr>
            <w:tcW w:w="2103"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208"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271"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002014</w:t>
            </w:r>
          </w:p>
        </w:tc>
        <w:tc>
          <w:tcPr>
            <w:tcW w:w="1559"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会计科目体系代码</w:t>
            </w:r>
          </w:p>
        </w:tc>
        <w:tc>
          <w:tcPr>
            <w:tcW w:w="2693"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会计科目体系代码，应具有唯一标识。</w:t>
            </w:r>
          </w:p>
        </w:tc>
        <w:tc>
          <w:tcPr>
            <w:tcW w:w="2103"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208"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271"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002015</w:t>
            </w:r>
          </w:p>
        </w:tc>
        <w:tc>
          <w:tcPr>
            <w:tcW w:w="1559"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会计科目体系名称</w:t>
            </w:r>
          </w:p>
        </w:tc>
        <w:tc>
          <w:tcPr>
            <w:tcW w:w="2693"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会计科目体系名称，应具有唯一标识。</w:t>
            </w:r>
          </w:p>
        </w:tc>
        <w:tc>
          <w:tcPr>
            <w:tcW w:w="2103"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208"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0" w:hRule="atLeast"/>
        </w:trPr>
        <w:tc>
          <w:tcPr>
            <w:tcW w:w="1271"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002016</w:t>
            </w:r>
          </w:p>
        </w:tc>
        <w:tc>
          <w:tcPr>
            <w:tcW w:w="1559"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报送周期</w:t>
            </w:r>
          </w:p>
        </w:tc>
        <w:tc>
          <w:tcPr>
            <w:tcW w:w="2693"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报送周期。</w:t>
            </w:r>
          </w:p>
        </w:tc>
        <w:tc>
          <w:tcPr>
            <w:tcW w:w="2103"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参照《业务代码表》“报送周期类型代码”，编号CD010004。</w:t>
            </w:r>
          </w:p>
        </w:tc>
        <w:tc>
          <w:tcPr>
            <w:tcW w:w="1208"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w:t>
            </w:r>
            <w:r>
              <w:rPr>
                <w:rFonts w:ascii="宋体" w:hAnsi="宋体" w:eastAsia="宋体" w:cs="宋体"/>
                <w:kern w:val="0"/>
                <w:sz w:val="21"/>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271"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002017</w:t>
            </w:r>
          </w:p>
        </w:tc>
        <w:tc>
          <w:tcPr>
            <w:tcW w:w="1559"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境内外标识</w:t>
            </w:r>
          </w:p>
        </w:tc>
        <w:tc>
          <w:tcPr>
            <w:tcW w:w="2693"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境内外标识。</w:t>
            </w:r>
          </w:p>
        </w:tc>
        <w:tc>
          <w:tcPr>
            <w:tcW w:w="2103"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参照《业务代码表》“境内外标识代码”，编号CD000012。</w:t>
            </w:r>
          </w:p>
        </w:tc>
        <w:tc>
          <w:tcPr>
            <w:tcW w:w="1208"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n..30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1271"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002018</w:t>
            </w:r>
          </w:p>
        </w:tc>
        <w:tc>
          <w:tcPr>
            <w:tcW w:w="1559"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银行账户代码</w:t>
            </w:r>
          </w:p>
        </w:tc>
        <w:tc>
          <w:tcPr>
            <w:tcW w:w="2693"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银行账户代码。</w:t>
            </w:r>
          </w:p>
        </w:tc>
        <w:tc>
          <w:tcPr>
            <w:tcW w:w="2103"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208"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1271"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002019</w:t>
            </w:r>
          </w:p>
        </w:tc>
        <w:tc>
          <w:tcPr>
            <w:tcW w:w="1559"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银行账户名称</w:t>
            </w:r>
          </w:p>
        </w:tc>
        <w:tc>
          <w:tcPr>
            <w:tcW w:w="2693"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银行账户名称。</w:t>
            </w:r>
          </w:p>
        </w:tc>
        <w:tc>
          <w:tcPr>
            <w:tcW w:w="2103"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208"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0" w:hRule="atLeast"/>
        </w:trPr>
        <w:tc>
          <w:tcPr>
            <w:tcW w:w="1271"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002020</w:t>
            </w:r>
          </w:p>
        </w:tc>
        <w:tc>
          <w:tcPr>
            <w:tcW w:w="1559"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投资账户代码</w:t>
            </w:r>
          </w:p>
        </w:tc>
        <w:tc>
          <w:tcPr>
            <w:tcW w:w="2693"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投资账户代码。</w:t>
            </w:r>
          </w:p>
        </w:tc>
        <w:tc>
          <w:tcPr>
            <w:tcW w:w="2103"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208"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1271"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002021</w:t>
            </w:r>
          </w:p>
        </w:tc>
        <w:tc>
          <w:tcPr>
            <w:tcW w:w="1559"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投资账户名称</w:t>
            </w:r>
          </w:p>
        </w:tc>
        <w:tc>
          <w:tcPr>
            <w:tcW w:w="2693"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投资账户名称。</w:t>
            </w:r>
          </w:p>
        </w:tc>
        <w:tc>
          <w:tcPr>
            <w:tcW w:w="2103"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208"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271"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002022</w:t>
            </w:r>
          </w:p>
        </w:tc>
        <w:tc>
          <w:tcPr>
            <w:tcW w:w="1559"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余额</w:t>
            </w:r>
          </w:p>
        </w:tc>
        <w:tc>
          <w:tcPr>
            <w:tcW w:w="2693"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默认人民币，单位元。在指定货币代码时，为相应的币种数额。</w:t>
            </w:r>
          </w:p>
        </w:tc>
        <w:tc>
          <w:tcPr>
            <w:tcW w:w="2103"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208"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271"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002023</w:t>
            </w:r>
          </w:p>
        </w:tc>
        <w:tc>
          <w:tcPr>
            <w:tcW w:w="1559"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发生额</w:t>
            </w:r>
          </w:p>
        </w:tc>
        <w:tc>
          <w:tcPr>
            <w:tcW w:w="2693"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默认人民币，单位元。在指定货币代码时，为相应的币种数额。</w:t>
            </w:r>
          </w:p>
        </w:tc>
        <w:tc>
          <w:tcPr>
            <w:tcW w:w="2103" w:type="dxa"/>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208"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20n(4)</w:t>
            </w:r>
          </w:p>
        </w:tc>
      </w:tr>
    </w:tbl>
    <w:p>
      <w:pPr>
        <w:pStyle w:val="4"/>
        <w:numPr>
          <w:ilvl w:val="0"/>
          <w:numId w:val="29"/>
        </w:numPr>
        <w:tabs>
          <w:tab w:val="left" w:pos="709"/>
          <w:tab w:val="left" w:pos="993"/>
        </w:tabs>
        <w:rPr>
          <w:rFonts w:ascii="仿宋" w:hAnsi="仿宋" w:eastAsia="仿宋"/>
        </w:rPr>
      </w:pPr>
      <w:bookmarkStart w:id="287" w:name="_Toc5656"/>
      <w:bookmarkStart w:id="288" w:name="_Toc30071"/>
      <w:bookmarkStart w:id="289" w:name="_Toc73958623"/>
      <w:bookmarkStart w:id="290" w:name="_Toc32304"/>
      <w:bookmarkStart w:id="291" w:name="_Toc24686"/>
      <w:bookmarkStart w:id="292" w:name="_Toc22006"/>
      <w:bookmarkStart w:id="293" w:name="_Toc10328"/>
      <w:r>
        <w:rPr>
          <w:rFonts w:hint="eastAsia" w:ascii="仿宋" w:hAnsi="仿宋" w:eastAsia="仿宋"/>
        </w:rPr>
        <w:t>保险集团（控股）公司业务</w:t>
      </w:r>
      <w:bookmarkEnd w:id="287"/>
      <w:bookmarkEnd w:id="288"/>
      <w:bookmarkEnd w:id="289"/>
      <w:bookmarkEnd w:id="290"/>
      <w:bookmarkEnd w:id="291"/>
      <w:bookmarkEnd w:id="292"/>
      <w:bookmarkEnd w:id="293"/>
    </w:p>
    <w:tbl>
      <w:tblPr>
        <w:tblStyle w:val="25"/>
        <w:tblW w:w="8834" w:type="dxa"/>
        <w:tblInd w:w="0" w:type="dxa"/>
        <w:tblLayout w:type="fixed"/>
        <w:tblCellMar>
          <w:top w:w="0" w:type="dxa"/>
          <w:left w:w="108" w:type="dxa"/>
          <w:bottom w:w="0" w:type="dxa"/>
          <w:right w:w="108" w:type="dxa"/>
        </w:tblCellMar>
      </w:tblPr>
      <w:tblGrid>
        <w:gridCol w:w="1271"/>
        <w:gridCol w:w="1558"/>
        <w:gridCol w:w="2694"/>
        <w:gridCol w:w="2053"/>
        <w:gridCol w:w="1258"/>
      </w:tblGrid>
      <w:tr>
        <w:tblPrEx>
          <w:tblCellMar>
            <w:top w:w="0" w:type="dxa"/>
            <w:left w:w="108" w:type="dxa"/>
            <w:bottom w:w="0" w:type="dxa"/>
            <w:right w:w="108" w:type="dxa"/>
          </w:tblCellMar>
        </w:tblPrEx>
        <w:trPr>
          <w:trHeight w:val="290" w:hRule="atLeast"/>
        </w:trPr>
        <w:tc>
          <w:tcPr>
            <w:tcW w:w="1271"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1558" w:type="dxa"/>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数据元名称</w:t>
            </w:r>
          </w:p>
        </w:tc>
        <w:tc>
          <w:tcPr>
            <w:tcW w:w="2694" w:type="dxa"/>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数据元说明</w:t>
            </w:r>
          </w:p>
        </w:tc>
        <w:tc>
          <w:tcPr>
            <w:tcW w:w="2053" w:type="dxa"/>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取值范围</w:t>
            </w:r>
          </w:p>
        </w:tc>
        <w:tc>
          <w:tcPr>
            <w:tcW w:w="1258" w:type="dxa"/>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数据格式</w:t>
            </w:r>
          </w:p>
        </w:tc>
      </w:tr>
      <w:tr>
        <w:tblPrEx>
          <w:tblCellMar>
            <w:top w:w="0" w:type="dxa"/>
            <w:left w:w="108" w:type="dxa"/>
            <w:bottom w:w="0" w:type="dxa"/>
            <w:right w:w="108" w:type="dxa"/>
          </w:tblCellMar>
        </w:tblPrEx>
        <w:trPr>
          <w:trHeight w:val="7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003002</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资产代码</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填写确权登记等有关机构登记的资产代码，若无填写机构自定义代码。</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anc..100</w:t>
            </w:r>
          </w:p>
        </w:tc>
      </w:tr>
      <w:tr>
        <w:tblPrEx>
          <w:tblCellMar>
            <w:top w:w="0" w:type="dxa"/>
            <w:left w:w="108" w:type="dxa"/>
            <w:bottom w:w="0" w:type="dxa"/>
            <w:right w:w="108" w:type="dxa"/>
          </w:tblCellMar>
        </w:tblPrEx>
        <w:trPr>
          <w:trHeight w:val="55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003003</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统计科目编号</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统计科目编号，填报代码。</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参照《业务代码表》“资产负债统计科目代码”，编号CD010010。</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n..50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003005</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资金流向</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资金流向。</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参照《业务代码表》“资金流向代码”，编号CD010012。</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n..30</w:t>
            </w:r>
          </w:p>
        </w:tc>
      </w:tr>
      <w:tr>
        <w:tblPrEx>
          <w:tblCellMar>
            <w:top w:w="0" w:type="dxa"/>
            <w:left w:w="108" w:type="dxa"/>
            <w:bottom w:w="0" w:type="dxa"/>
            <w:right w:w="108" w:type="dxa"/>
          </w:tblCellMar>
        </w:tblPrEx>
        <w:trPr>
          <w:trHeight w:val="82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003006</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会计分类</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会计分类。</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参照《业务代码表》“会计分类代码”，编号CD010014。</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n..100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003007</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备注</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用于说明相关事件、状况的具体内容。</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anc..2000</w:t>
            </w:r>
          </w:p>
        </w:tc>
      </w:tr>
      <w:tr>
        <w:tblPrEx>
          <w:tblCellMar>
            <w:top w:w="0" w:type="dxa"/>
            <w:left w:w="108" w:type="dxa"/>
            <w:bottom w:w="0" w:type="dxa"/>
            <w:right w:w="108" w:type="dxa"/>
          </w:tblCellMar>
        </w:tblPrEx>
        <w:trPr>
          <w:trHeight w:val="82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003008</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资产名称</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资产名称。</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anc..100</w:t>
            </w:r>
          </w:p>
        </w:tc>
      </w:tr>
      <w:tr>
        <w:tblPrEx>
          <w:tblCellMar>
            <w:top w:w="0" w:type="dxa"/>
            <w:left w:w="108" w:type="dxa"/>
            <w:bottom w:w="0" w:type="dxa"/>
            <w:right w:w="108" w:type="dxa"/>
          </w:tblCellMar>
        </w:tblPrEx>
        <w:trPr>
          <w:trHeight w:val="55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003009</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交易市场类型</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交易市场类型，填报代码。</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参照《业务代码表》“交易市场类型代码”，编号CD010011。</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2!n</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003010</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五级分类</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五级分类。</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参照《业务代码表》“五级分类代码”，编号CD010015。</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anc..30</w:t>
            </w:r>
          </w:p>
        </w:tc>
      </w:tr>
      <w:tr>
        <w:tblPrEx>
          <w:tblCellMar>
            <w:top w:w="0" w:type="dxa"/>
            <w:left w:w="108" w:type="dxa"/>
            <w:bottom w:w="0" w:type="dxa"/>
            <w:right w:w="108" w:type="dxa"/>
          </w:tblCellMar>
        </w:tblPrEx>
        <w:trPr>
          <w:trHeight w:val="82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003011</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估值方法</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估值方法。</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参照《业务代码表》“估值方法代码”，编号CD010013。</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anc..30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003012</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利息</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默认人民币，单位元。在指定货币代码时，为相应的币种数额。</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20n(4)</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003013</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机构类型</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机构类型，填报中文描述。</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color w:val="000000"/>
                <w:kern w:val="0"/>
                <w:sz w:val="21"/>
                <w:szCs w:val="21"/>
              </w:rPr>
              <w:t>参照</w:t>
            </w:r>
            <w:r>
              <w:rPr>
                <w:rFonts w:hint="eastAsia" w:ascii="宋体" w:hAnsi="宋体" w:eastAsia="宋体" w:cs="宋体"/>
                <w:kern w:val="0"/>
                <w:sz w:val="21"/>
                <w:szCs w:val="21"/>
              </w:rPr>
              <w:t>《业务代码表》“机构类型代码”，编号CD000007。</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anc..100</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003014</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核算方式</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核算方式。</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枚举值为“净值型；非净值型”。</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anc..30</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003015</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管理方式</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管理方式。</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枚举值为“主动管理；非主动管理”。</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anc..30</w:t>
            </w:r>
          </w:p>
        </w:tc>
      </w:tr>
      <w:tr>
        <w:tblPrEx>
          <w:tblCellMar>
            <w:top w:w="0" w:type="dxa"/>
            <w:left w:w="108" w:type="dxa"/>
            <w:bottom w:w="0" w:type="dxa"/>
            <w:right w:w="108" w:type="dxa"/>
          </w:tblCellMar>
        </w:tblPrEx>
        <w:trPr>
          <w:trHeight w:val="7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003016</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产品代码</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填写确权登记等有关机构登记的产品代码，若无填写机构自定义代码。</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anc..50</w:t>
            </w:r>
          </w:p>
        </w:tc>
      </w:tr>
      <w:tr>
        <w:tblPrEx>
          <w:tblCellMar>
            <w:top w:w="0" w:type="dxa"/>
            <w:left w:w="108" w:type="dxa"/>
            <w:bottom w:w="0" w:type="dxa"/>
            <w:right w:w="108" w:type="dxa"/>
          </w:tblCellMar>
        </w:tblPrEx>
        <w:trPr>
          <w:trHeight w:val="7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003017</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产品名称</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填写确权登记等有关机构登记的产品名称，若无填写合同上的产品名称。</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anc..100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003018</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资管产品类型</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资管产品类型。</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枚举值为“固定收益类；权益类；商品及金融衍生品类；混合类”。</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anc..30</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003019</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结构化属性</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结构化属性。</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枚举值为“分级；非分级”。</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anc..30</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003020</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产品期限</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合同约定期限。</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18n(2)</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003021</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期限单位</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期限单位。</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枚举值为“日；月；年”。</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anc..4</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003022</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含权结构</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含权期限结构。</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anc..50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003023</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选择权类型</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选择权类型。</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枚举值为“投资人选择权；融资人选择权；双向选择权”。</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anc..30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003024</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还本付息方式</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还本付息方式，填报中文描述。</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参照《业务代码表》“还本付息方式代码”，编号CD040001。</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anc..50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003025</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付息周期</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付息周期。</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枚举值为“按月；按季；按半年；按年；其他”。</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anc..30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003026</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产品类型</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产品类型，填报中文描述。</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参照《业务代码表》“产品类型代码”，编号CD010001。</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anc..100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003027</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所属分级</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持有人持有产品时所属分级，填报中文描述。</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参照《业务代码表》“产品分级类别代码”，编号CD040002。</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anc..30</w:t>
            </w:r>
          </w:p>
        </w:tc>
      </w:tr>
      <w:tr>
        <w:tblPrEx>
          <w:tblCellMar>
            <w:top w:w="0" w:type="dxa"/>
            <w:left w:w="108" w:type="dxa"/>
            <w:bottom w:w="0" w:type="dxa"/>
            <w:right w:w="108" w:type="dxa"/>
          </w:tblCellMar>
        </w:tblPrEx>
        <w:trPr>
          <w:trHeight w:val="7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003028</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政策标签集合</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政策标签，填报中文描述，可多选，需用英文分号“;”（ASCII码0x3B）隔开。</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参照《业务代码表》“政策标签代码”，编号CD040005。</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anc..500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003029</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股权退出方式</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股权退出方式。</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枚举值为“回购；清算；转让第三方；IPO；并购；其他”。</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anc..30</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003030</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基础资产类别</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基础资产类别。</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枚举值为“单一项目；一组项目”。</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anc..30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003031</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基金组织形式</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基金组织形式。</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枚举值为“公司型；契约型；合伙型；其他”。</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anc..30</w:t>
            </w:r>
          </w:p>
        </w:tc>
      </w:tr>
      <w:tr>
        <w:tblPrEx>
          <w:tblCellMar>
            <w:top w:w="0" w:type="dxa"/>
            <w:left w:w="108" w:type="dxa"/>
            <w:bottom w:w="0" w:type="dxa"/>
            <w:right w:w="108" w:type="dxa"/>
          </w:tblCellMar>
        </w:tblPrEx>
        <w:trPr>
          <w:trHeight w:val="7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003032</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投资方向</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投资方向。</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枚举值为“综合；先进制造；能源；建筑；交通；电子信息；金融；房地产；医疗健康；教育文化；其他”。</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anc..30</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003033</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运行方式</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运行方式。</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枚举值为“开放式；封闭式”。</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anc..30</w:t>
            </w:r>
          </w:p>
        </w:tc>
      </w:tr>
      <w:tr>
        <w:tblPrEx>
          <w:tblCellMar>
            <w:top w:w="0" w:type="dxa"/>
            <w:left w:w="108" w:type="dxa"/>
            <w:bottom w:w="0" w:type="dxa"/>
            <w:right w:w="108" w:type="dxa"/>
          </w:tblCellMar>
        </w:tblPrEx>
        <w:trPr>
          <w:trHeight w:val="105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003034</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基础资产类型一</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基础资产类型一。</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枚举值为“融资租赁；金融租赁；保理债权；小额贷款；应收账款；基础设施收费权；重组债权；股权；供应链资产；信托资产；保单；其他”。</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anc..100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003035</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基础资产类型五</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基础资产类型五。</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枚举值为“企业贷款；汽车贷款；个人住房抵押贷款；其他”。</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anc..30</w:t>
            </w:r>
          </w:p>
        </w:tc>
      </w:tr>
      <w:tr>
        <w:tblPrEx>
          <w:tblCellMar>
            <w:top w:w="0" w:type="dxa"/>
            <w:left w:w="108" w:type="dxa"/>
            <w:bottom w:w="0" w:type="dxa"/>
            <w:right w:w="108" w:type="dxa"/>
          </w:tblCellMar>
        </w:tblPrEx>
        <w:trPr>
          <w:trHeight w:val="131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003036</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基金分类</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基金分类。</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枚举值为“私募证券投资基金；私募证券类FOF基金；私募股权投资基金；私募股权投资类FOF基金；创业投资基金；创业投资类FOF基金；其他类别私募基金；其他类别私募FOF基金”。</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anc..30</w:t>
            </w:r>
          </w:p>
        </w:tc>
      </w:tr>
      <w:tr>
        <w:tblPrEx>
          <w:tblCellMar>
            <w:top w:w="0" w:type="dxa"/>
            <w:left w:w="108" w:type="dxa"/>
            <w:bottom w:w="0" w:type="dxa"/>
            <w:right w:w="108" w:type="dxa"/>
          </w:tblCellMar>
        </w:tblPrEx>
        <w:trPr>
          <w:trHeight w:val="7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003037</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投资阶段</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投资阶段。</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枚举值为“天使投资；初创期投资；成长期投资；IPO前投资；并购投资；多个阶段投资；全阶段投资”。</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anc..30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003038</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基金状态</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基金状态。</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枚举值为“投资期；退出期；清算期；已清盘；其他”。</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anc..30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003039</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延期原因</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如有延期计划或已发生延期，请注明原因。</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anc..500</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003040</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发行方式</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发行方式。</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枚举值为“公开；不公开”。</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anc..30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003041</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信用评级等级</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信用评级等级，填报中文描述。</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参照《业务代码表》“信用评级等级代码”，编号CD040003。</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anc..30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003042</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收益形式</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收益形式。</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枚举值为“固定费率；固定费用；浮动费率；其他费率”。</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anc..30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003043</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私募投资基金退出方式</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私募投资基金退出方式。</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枚举值为“份额转让，基金清算，赎回，其他”。</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anc..30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003044</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年付息频率</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年付息频率，0时为到期一次还本付息；1年；2半年；4季；12月。</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枚举值为“0；1；2；4；12”。</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n..2</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003045</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信托产品名称</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信托计划全称。</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anc..100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003046</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产品登记编号</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信托产品登记编码是指在中国信登所登记的信托产品唯一编码。</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an..50</w:t>
            </w:r>
          </w:p>
        </w:tc>
      </w:tr>
      <w:tr>
        <w:tblPrEx>
          <w:tblCellMar>
            <w:top w:w="0" w:type="dxa"/>
            <w:left w:w="108" w:type="dxa"/>
            <w:bottom w:w="0" w:type="dxa"/>
            <w:right w:w="108" w:type="dxa"/>
          </w:tblCellMar>
        </w:tblPrEx>
        <w:trPr>
          <w:trHeight w:val="7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003047</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信托产品代码</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信托公司内部产品代码或编号，信托公司自定义，信托产品的内部唯一编号。</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anc..50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003048</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信托产品存续标识</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信托产品存续标识。</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枚举值为“存续(正常)；存续(展期)；存续(逾期)；终止”。</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anc..30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003049</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信托功能分类</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信托功能分类。</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枚举值为“融资类；投资类；事务管理类”。</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anc..30</w:t>
            </w:r>
          </w:p>
        </w:tc>
      </w:tr>
      <w:tr>
        <w:tblPrEx>
          <w:tblCellMar>
            <w:top w:w="0" w:type="dxa"/>
            <w:left w:w="108" w:type="dxa"/>
            <w:bottom w:w="0" w:type="dxa"/>
            <w:right w:w="108" w:type="dxa"/>
          </w:tblCellMar>
        </w:tblPrEx>
        <w:trPr>
          <w:trHeight w:val="235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003050</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信托财产运用方式</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信托财产运用方式。</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枚举值为“股票投资；债券投资；金融衍生品；信托贷款；信贷资产转让；资产收（受）益权；资产支持证券化；准资产支持证券化；特定目的载体份额；应收账款转让；其他非标准化债权投资；其他股权投资；非私募基金类有限合伙份额；固定资产投资；另类资产投资；出售；出租；持有并管理；其他”。</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anc..50</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003051</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信托计划管理方式</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信托计划管理方式。</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枚举值为“单一；集合”。</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anc..30</w:t>
            </w:r>
          </w:p>
        </w:tc>
      </w:tr>
      <w:tr>
        <w:tblPrEx>
          <w:tblCellMar>
            <w:top w:w="0" w:type="dxa"/>
            <w:left w:w="108" w:type="dxa"/>
            <w:bottom w:w="0" w:type="dxa"/>
            <w:right w:w="108" w:type="dxa"/>
          </w:tblCellMar>
        </w:tblPrEx>
        <w:trPr>
          <w:trHeight w:val="18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003052</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私募基金管理方式</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参与是指仅作为基金的出资人，不实际控制基金管理人；实际控制是指为基金管理人的第一大股东或出资人，并通过投资关系、协议或者其他安排，能够实际支配基金管理人行为。。</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olor w:val="000000"/>
                <w:sz w:val="21"/>
                <w:szCs w:val="21"/>
              </w:rPr>
              <w:t>枚举值为“参与；实际控制”。</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anc..30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003053</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投向行业</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投向行业。</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枚举值为“基础设施；工商企业；房地产；金融机构；证券类；其他”。</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anc..30</w:t>
            </w:r>
          </w:p>
        </w:tc>
      </w:tr>
      <w:tr>
        <w:tblPrEx>
          <w:tblCellMar>
            <w:top w:w="0" w:type="dxa"/>
            <w:left w:w="108" w:type="dxa"/>
            <w:bottom w:w="0" w:type="dxa"/>
            <w:right w:w="108" w:type="dxa"/>
          </w:tblCellMar>
        </w:tblPrEx>
        <w:trPr>
          <w:trHeight w:val="7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003054</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信用增级安排集合</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信用增级安排名称，可多选，需用英文分号“;”（ASCII码0x3B）隔开。</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枚举值为“无；保证担保；抵押担保；质押担保；流动性支持；回购承诺；差额补足；其他”。</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anc..100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003055</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收益率计提方式</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收益率计提方式.</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枚举值为“固定收益率；浮动收益率；固定+浮动收益率；其他”。</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anc..30</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003056</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合同编号</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合同编号。</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anc..50</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003057</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面积</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土地或物体的面积。</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18n(2)</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003058</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存款证实书编号</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存款银行给出的存款证实书编号。</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anc..50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003059</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存款证实书名称</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开户银行全称+发行年份+存款类型；参照银行间市场规则。</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anc..100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003060</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存款类型</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存款类型。</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枚举值为“定期存款；协议存款；结构性存款；同业存款；大额存款”。</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anc..30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003061</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利率类型</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利率类型。</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枚举值为“浮动；固定；结构化；其他”。</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anc..30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003062</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计息基准</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计息基准。</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枚举值为“实际/365；实际/实际；实际/360；30/360”。</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anc..30</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003063</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质押用途</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质押用途。</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枚举值为“融资；担保；委托贷款”。</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anc..30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003064</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收益类型</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收益类型。</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枚举值为“保本保收益类；保本浮动收益类；非保本浮动收益类；其他”。</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anc..30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003065</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风险评级</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风险评级。</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枚举值为“一级；二级；三级；四级；五级”。</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anc..30</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003066</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持有状态</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持有状态。</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枚举值为“持有；退出”。</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anc..30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003067</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资金运用</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文字描述，如用于某项目或投资某企业债。</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anc..1000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003068</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利率浮动形式</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利率浮动形式。</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枚举值为“即时；按月；按季度；按年”。</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anc..30</w:t>
            </w:r>
          </w:p>
        </w:tc>
      </w:tr>
      <w:tr>
        <w:tblPrEx>
          <w:tblCellMar>
            <w:top w:w="0" w:type="dxa"/>
            <w:left w:w="108" w:type="dxa"/>
            <w:bottom w:w="0" w:type="dxa"/>
            <w:right w:w="108" w:type="dxa"/>
          </w:tblCellMar>
        </w:tblPrEx>
        <w:trPr>
          <w:trHeight w:val="7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003070</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标的企业控股股东性质</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标的企业控股股东性质，填报中文描述。</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枚举值为“中央国有企业；地方国有企业；民营企业；外资企业；公众公司；其他”。</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anc..30</w:t>
            </w:r>
          </w:p>
        </w:tc>
      </w:tr>
      <w:tr>
        <w:tblPrEx>
          <w:tblCellMar>
            <w:top w:w="0" w:type="dxa"/>
            <w:left w:w="108" w:type="dxa"/>
            <w:bottom w:w="0" w:type="dxa"/>
            <w:right w:w="108" w:type="dxa"/>
          </w:tblCellMar>
        </w:tblPrEx>
        <w:trPr>
          <w:trHeight w:val="7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003071</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企业类型</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企业类型。</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枚举值为“保险类企业；非保险类金融企业；能源企业；资源企业；保险业务相关企业；其他”。</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anc..30</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003072</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投资类型</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投资类型。</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枚举值为“自用性；投资性”。</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anc..30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003073</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项目状态</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项目状态。</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枚举值为“已建成；在建工程；土地”。</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anc..30</w:t>
            </w:r>
          </w:p>
        </w:tc>
      </w:tr>
      <w:tr>
        <w:tblPrEx>
          <w:tblCellMar>
            <w:top w:w="0" w:type="dxa"/>
            <w:left w:w="108" w:type="dxa"/>
            <w:bottom w:w="0" w:type="dxa"/>
            <w:right w:w="108" w:type="dxa"/>
          </w:tblCellMar>
        </w:tblPrEx>
        <w:trPr>
          <w:trHeight w:val="7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003074</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不动产类型</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根据土地用途分类，具体填报标准参照物业土地证“用途”栏内容（标识库）。</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anc..1000</w:t>
            </w:r>
          </w:p>
        </w:tc>
      </w:tr>
      <w:tr>
        <w:tblPrEx>
          <w:tblCellMar>
            <w:top w:w="0" w:type="dxa"/>
            <w:left w:w="108" w:type="dxa"/>
            <w:bottom w:w="0" w:type="dxa"/>
            <w:right w:w="108" w:type="dxa"/>
          </w:tblCellMar>
        </w:tblPrEx>
        <w:trPr>
          <w:trHeight w:val="131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003075</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物业类型</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物业类型。</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枚举值为“养老不动产；医疗；汽车服务不动产；城市商住综合体；城市商业；其他”，其中，城市商业包括写字楼、商业公寓、商铺、会议会展中心、物流仓库等。</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anc..30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003076</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基准利率</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基准利率的类型，填报中文描述。</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参照《业务代码表》“基准利率代码”，编号CD040004。</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anc..50</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003077</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利差</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利差，单位为BP</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n..10</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003078</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理财产品发行人类型</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理财产品发行人类型。</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枚举值为“银行；银行理财子公司”。</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anc..30</w:t>
            </w:r>
          </w:p>
        </w:tc>
      </w:tr>
      <w:tr>
        <w:tblPrEx>
          <w:tblCellMar>
            <w:top w:w="0" w:type="dxa"/>
            <w:left w:w="108" w:type="dxa"/>
            <w:bottom w:w="0" w:type="dxa"/>
            <w:right w:w="108" w:type="dxa"/>
          </w:tblCellMar>
        </w:tblPrEx>
        <w:trPr>
          <w:trHeight w:val="7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003079</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融资人类型</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融资人类型。</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枚举值为“自然人；个体工商户；广义政府；非金融企业；金融机构（实体）；特定目的载体；境外”。</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anc..30</w:t>
            </w:r>
          </w:p>
        </w:tc>
      </w:tr>
      <w:tr>
        <w:tblPrEx>
          <w:tblCellMar>
            <w:top w:w="0" w:type="dxa"/>
            <w:left w:w="108" w:type="dxa"/>
            <w:bottom w:w="0" w:type="dxa"/>
            <w:right w:w="108" w:type="dxa"/>
          </w:tblCellMar>
        </w:tblPrEx>
        <w:trPr>
          <w:trHeight w:val="79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003080</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信托计划退出方式</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信托计划退出方式。</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枚举值为“正常持有到期；提前赎回；转让第三方；信托计划提前终止；其他”。</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anc..30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003081</w:t>
            </w:r>
          </w:p>
        </w:tc>
        <w:tc>
          <w:tcPr>
            <w:tcW w:w="15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控股方式</w:t>
            </w:r>
          </w:p>
        </w:tc>
        <w:tc>
          <w:tcPr>
            <w:tcW w:w="26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控股方式。</w:t>
            </w:r>
          </w:p>
        </w:tc>
        <w:tc>
          <w:tcPr>
            <w:tcW w:w="20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枚举值为“绝对控股，相对控股，协议控股，其他，非控股”。</w:t>
            </w:r>
          </w:p>
        </w:tc>
        <w:tc>
          <w:tcPr>
            <w:tcW w:w="12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anc..30</w:t>
            </w:r>
          </w:p>
        </w:tc>
      </w:tr>
    </w:tbl>
    <w:p>
      <w:pPr>
        <w:pStyle w:val="4"/>
        <w:numPr>
          <w:ilvl w:val="0"/>
          <w:numId w:val="29"/>
        </w:numPr>
        <w:tabs>
          <w:tab w:val="left" w:pos="709"/>
          <w:tab w:val="left" w:pos="993"/>
        </w:tabs>
        <w:rPr>
          <w:rFonts w:ascii="仿宋" w:hAnsi="仿宋" w:eastAsia="仿宋"/>
        </w:rPr>
      </w:pPr>
      <w:bookmarkStart w:id="294" w:name="_Toc16543"/>
      <w:bookmarkStart w:id="295" w:name="_Toc73958624"/>
      <w:bookmarkStart w:id="296" w:name="_Toc9131"/>
      <w:bookmarkStart w:id="297" w:name="_Toc4014"/>
      <w:bookmarkStart w:id="298" w:name="_Toc5338"/>
      <w:bookmarkStart w:id="299" w:name="_Toc17566"/>
      <w:bookmarkStart w:id="300" w:name="_Toc24310"/>
      <w:r>
        <w:rPr>
          <w:rFonts w:hint="eastAsia" w:ascii="仿宋" w:hAnsi="仿宋" w:eastAsia="仿宋"/>
        </w:rPr>
        <w:t>保险集团（控股）公司关联交易</w:t>
      </w:r>
      <w:bookmarkEnd w:id="294"/>
      <w:bookmarkEnd w:id="295"/>
      <w:bookmarkEnd w:id="296"/>
      <w:bookmarkEnd w:id="297"/>
      <w:bookmarkEnd w:id="298"/>
      <w:bookmarkEnd w:id="299"/>
      <w:bookmarkEnd w:id="300"/>
    </w:p>
    <w:tbl>
      <w:tblPr>
        <w:tblStyle w:val="25"/>
        <w:tblW w:w="8834" w:type="dxa"/>
        <w:tblInd w:w="0" w:type="dxa"/>
        <w:tblLayout w:type="fixed"/>
        <w:tblCellMar>
          <w:top w:w="0" w:type="dxa"/>
          <w:left w:w="108" w:type="dxa"/>
          <w:bottom w:w="0" w:type="dxa"/>
          <w:right w:w="108" w:type="dxa"/>
        </w:tblCellMar>
      </w:tblPr>
      <w:tblGrid>
        <w:gridCol w:w="1271"/>
        <w:gridCol w:w="1558"/>
        <w:gridCol w:w="2694"/>
        <w:gridCol w:w="2127"/>
        <w:gridCol w:w="1184"/>
      </w:tblGrid>
      <w:tr>
        <w:tblPrEx>
          <w:tblCellMar>
            <w:top w:w="0" w:type="dxa"/>
            <w:left w:w="108" w:type="dxa"/>
            <w:bottom w:w="0" w:type="dxa"/>
            <w:right w:w="108" w:type="dxa"/>
          </w:tblCellMar>
        </w:tblPrEx>
        <w:trPr>
          <w:trHeight w:val="290" w:hRule="atLeast"/>
        </w:trPr>
        <w:tc>
          <w:tcPr>
            <w:tcW w:w="1271"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1558" w:type="dxa"/>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数据元名称</w:t>
            </w:r>
          </w:p>
        </w:tc>
        <w:tc>
          <w:tcPr>
            <w:tcW w:w="2694" w:type="dxa"/>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数据元说明</w:t>
            </w:r>
          </w:p>
        </w:tc>
        <w:tc>
          <w:tcPr>
            <w:tcW w:w="2127" w:type="dxa"/>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取值范围</w:t>
            </w:r>
          </w:p>
        </w:tc>
        <w:tc>
          <w:tcPr>
            <w:tcW w:w="1184" w:type="dxa"/>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数据格式</w:t>
            </w:r>
          </w:p>
        </w:tc>
      </w:tr>
      <w:tr>
        <w:tblPrEx>
          <w:tblCellMar>
            <w:top w:w="0" w:type="dxa"/>
            <w:left w:w="108" w:type="dxa"/>
            <w:bottom w:w="0" w:type="dxa"/>
            <w:right w:w="108" w:type="dxa"/>
          </w:tblCellMar>
        </w:tblPrEx>
        <w:trPr>
          <w:trHeight w:val="570" w:hRule="atLeast"/>
        </w:trPr>
        <w:tc>
          <w:tcPr>
            <w:tcW w:w="1271" w:type="dxa"/>
            <w:tcBorders>
              <w:top w:val="nil"/>
              <w:left w:val="single" w:color="auto" w:sz="4" w:space="0"/>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eastAsia="宋体" w:cs="宋体"/>
                <w:kern w:val="0"/>
                <w:sz w:val="21"/>
                <w:szCs w:val="21"/>
              </w:rPr>
            </w:pPr>
            <w:r>
              <w:rPr>
                <w:rFonts w:ascii="宋体" w:hAnsi="宋体" w:eastAsia="宋体"/>
                <w:sz w:val="21"/>
                <w:szCs w:val="21"/>
              </w:rPr>
              <w:t>004001</w:t>
            </w:r>
          </w:p>
        </w:tc>
        <w:tc>
          <w:tcPr>
            <w:tcW w:w="1558"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eastAsia="宋体" w:cs="宋体"/>
                <w:kern w:val="0"/>
                <w:sz w:val="21"/>
                <w:szCs w:val="21"/>
              </w:rPr>
            </w:pPr>
            <w:r>
              <w:rPr>
                <w:rFonts w:ascii="宋体" w:hAnsi="宋体" w:eastAsia="宋体"/>
                <w:sz w:val="21"/>
                <w:szCs w:val="21"/>
              </w:rPr>
              <w:t>产品批准/注册/备案号</w:t>
            </w:r>
          </w:p>
        </w:tc>
        <w:tc>
          <w:tcPr>
            <w:tcW w:w="2694"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eastAsia="宋体" w:cs="宋体"/>
                <w:kern w:val="0"/>
                <w:sz w:val="21"/>
                <w:szCs w:val="21"/>
              </w:rPr>
            </w:pPr>
            <w:r>
              <w:rPr>
                <w:rFonts w:ascii="宋体" w:hAnsi="宋体" w:eastAsia="宋体"/>
                <w:sz w:val="21"/>
                <w:szCs w:val="21"/>
              </w:rPr>
              <w:t>产品批准、注册或备案机构配发的核准编号。如产品报送时产品批准、注册或备案号尚未公布，则填写产品管理人的内部编号，待后续产品批准、注册或备案号公布后及时更新。</w:t>
            </w:r>
          </w:p>
        </w:tc>
        <w:tc>
          <w:tcPr>
            <w:tcW w:w="2127"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eastAsia="宋体" w:cs="宋体"/>
                <w:kern w:val="0"/>
                <w:sz w:val="21"/>
                <w:szCs w:val="21"/>
              </w:rPr>
            </w:pP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anc..50</w:t>
            </w:r>
          </w:p>
        </w:tc>
      </w:tr>
      <w:tr>
        <w:tblPrEx>
          <w:tblCellMar>
            <w:top w:w="0" w:type="dxa"/>
            <w:left w:w="108" w:type="dxa"/>
            <w:bottom w:w="0" w:type="dxa"/>
            <w:right w:w="108" w:type="dxa"/>
          </w:tblCellMar>
        </w:tblPrEx>
        <w:trPr>
          <w:trHeight w:val="790" w:hRule="atLeast"/>
        </w:trPr>
        <w:tc>
          <w:tcPr>
            <w:tcW w:w="1271" w:type="dxa"/>
            <w:tcBorders>
              <w:top w:val="nil"/>
              <w:left w:val="single" w:color="auto" w:sz="4" w:space="0"/>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eastAsia="宋体" w:cs="宋体"/>
                <w:kern w:val="0"/>
                <w:sz w:val="21"/>
                <w:szCs w:val="21"/>
              </w:rPr>
            </w:pPr>
            <w:r>
              <w:rPr>
                <w:rFonts w:ascii="宋体" w:hAnsi="宋体" w:eastAsia="宋体"/>
                <w:sz w:val="21"/>
                <w:szCs w:val="21"/>
              </w:rPr>
              <w:t>004002</w:t>
            </w:r>
          </w:p>
        </w:tc>
        <w:tc>
          <w:tcPr>
            <w:tcW w:w="1558"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eastAsia="宋体" w:cs="宋体"/>
                <w:kern w:val="0"/>
                <w:sz w:val="21"/>
                <w:szCs w:val="21"/>
              </w:rPr>
            </w:pPr>
            <w:r>
              <w:rPr>
                <w:rFonts w:ascii="宋体" w:hAnsi="宋体" w:eastAsia="宋体"/>
                <w:sz w:val="21"/>
                <w:szCs w:val="21"/>
              </w:rPr>
              <w:t>关联方代码</w:t>
            </w:r>
          </w:p>
        </w:tc>
        <w:tc>
          <w:tcPr>
            <w:tcW w:w="2694"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eastAsia="宋体" w:cs="宋体"/>
                <w:kern w:val="0"/>
                <w:sz w:val="21"/>
                <w:szCs w:val="21"/>
              </w:rPr>
            </w:pPr>
            <w:r>
              <w:rPr>
                <w:rFonts w:ascii="宋体" w:hAnsi="宋体" w:eastAsia="宋体"/>
                <w:sz w:val="21"/>
                <w:szCs w:val="21"/>
              </w:rPr>
              <w:t>关联方代码法人或其他组织的统一社会信用代码等有效代码、自然人对应证件类型的证件号码。</w:t>
            </w:r>
          </w:p>
        </w:tc>
        <w:tc>
          <w:tcPr>
            <w:tcW w:w="2127"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eastAsia="宋体" w:cs="宋体"/>
                <w:kern w:val="0"/>
                <w:sz w:val="21"/>
                <w:szCs w:val="21"/>
              </w:rPr>
            </w:pP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anc..100</w:t>
            </w:r>
          </w:p>
        </w:tc>
      </w:tr>
      <w:tr>
        <w:tblPrEx>
          <w:tblCellMar>
            <w:top w:w="0" w:type="dxa"/>
            <w:left w:w="108" w:type="dxa"/>
            <w:bottom w:w="0" w:type="dxa"/>
            <w:right w:w="108" w:type="dxa"/>
          </w:tblCellMar>
        </w:tblPrEx>
        <w:trPr>
          <w:trHeight w:val="550" w:hRule="atLeast"/>
        </w:trPr>
        <w:tc>
          <w:tcPr>
            <w:tcW w:w="1271" w:type="dxa"/>
            <w:tcBorders>
              <w:top w:val="nil"/>
              <w:left w:val="single" w:color="auto" w:sz="4" w:space="0"/>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eastAsia="宋体" w:cs="宋体"/>
                <w:kern w:val="0"/>
                <w:sz w:val="21"/>
                <w:szCs w:val="21"/>
              </w:rPr>
            </w:pPr>
            <w:r>
              <w:rPr>
                <w:rFonts w:ascii="宋体" w:hAnsi="宋体" w:eastAsia="宋体"/>
                <w:sz w:val="21"/>
                <w:szCs w:val="21"/>
              </w:rPr>
              <w:t>004003</w:t>
            </w:r>
          </w:p>
        </w:tc>
        <w:tc>
          <w:tcPr>
            <w:tcW w:w="1558"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eastAsia="宋体" w:cs="宋体"/>
                <w:kern w:val="0"/>
                <w:sz w:val="21"/>
                <w:szCs w:val="21"/>
              </w:rPr>
            </w:pPr>
            <w:r>
              <w:rPr>
                <w:rFonts w:ascii="宋体" w:hAnsi="宋体" w:eastAsia="宋体"/>
                <w:sz w:val="21"/>
                <w:szCs w:val="21"/>
              </w:rPr>
              <w:t>关联方中间节点类型</w:t>
            </w:r>
          </w:p>
        </w:tc>
        <w:tc>
          <w:tcPr>
            <w:tcW w:w="2694"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eastAsia="宋体" w:cs="宋体"/>
                <w:kern w:val="0"/>
                <w:sz w:val="21"/>
                <w:szCs w:val="21"/>
              </w:rPr>
            </w:pPr>
            <w:r>
              <w:rPr>
                <w:rFonts w:ascii="宋体" w:hAnsi="宋体" w:eastAsia="宋体"/>
                <w:sz w:val="21"/>
                <w:szCs w:val="21"/>
              </w:rPr>
              <w:t>关联方中间节点类型。</w:t>
            </w:r>
          </w:p>
        </w:tc>
        <w:tc>
          <w:tcPr>
            <w:tcW w:w="2127"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sz w:val="21"/>
                <w:szCs w:val="21"/>
              </w:rPr>
              <w:t>枚举值为</w:t>
            </w:r>
            <w:r>
              <w:rPr>
                <w:rFonts w:hint="cs" w:ascii="宋体" w:hAnsi="宋体" w:eastAsia="宋体"/>
                <w:sz w:val="21"/>
                <w:szCs w:val="21"/>
              </w:rPr>
              <w:t>“</w:t>
            </w:r>
            <w:r>
              <w:rPr>
                <w:rFonts w:hint="eastAsia" w:ascii="宋体" w:hAnsi="宋体" w:eastAsia="宋体"/>
                <w:sz w:val="21"/>
                <w:szCs w:val="21"/>
              </w:rPr>
              <w:t>法人或其他组织；自然人；金融产品等其他</w:t>
            </w:r>
            <w:r>
              <w:rPr>
                <w:rFonts w:hint="cs" w:ascii="宋体" w:hAnsi="宋体" w:eastAsia="宋体"/>
                <w:sz w:val="21"/>
                <w:szCs w:val="21"/>
              </w:rPr>
              <w:t>”</w:t>
            </w:r>
            <w:r>
              <w:rPr>
                <w:rFonts w:hint="eastAsia" w:ascii="宋体" w:hAnsi="宋体" w:eastAsia="宋体"/>
                <w:sz w:val="21"/>
                <w:szCs w:val="21"/>
              </w:rPr>
              <w:t>。</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anc..30</w:t>
            </w:r>
          </w:p>
        </w:tc>
      </w:tr>
      <w:tr>
        <w:tblPrEx>
          <w:tblCellMar>
            <w:top w:w="0" w:type="dxa"/>
            <w:left w:w="108" w:type="dxa"/>
            <w:bottom w:w="0" w:type="dxa"/>
            <w:right w:w="108" w:type="dxa"/>
          </w:tblCellMar>
        </w:tblPrEx>
        <w:trPr>
          <w:trHeight w:val="550" w:hRule="atLeast"/>
        </w:trPr>
        <w:tc>
          <w:tcPr>
            <w:tcW w:w="1271" w:type="dxa"/>
            <w:tcBorders>
              <w:top w:val="nil"/>
              <w:left w:val="single" w:color="auto" w:sz="4" w:space="0"/>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eastAsia="宋体" w:cs="宋体"/>
                <w:kern w:val="0"/>
                <w:sz w:val="21"/>
                <w:szCs w:val="21"/>
              </w:rPr>
            </w:pPr>
            <w:r>
              <w:rPr>
                <w:rFonts w:ascii="宋体" w:hAnsi="宋体" w:eastAsia="宋体"/>
                <w:sz w:val="21"/>
                <w:szCs w:val="21"/>
              </w:rPr>
              <w:t>004004</w:t>
            </w:r>
          </w:p>
        </w:tc>
        <w:tc>
          <w:tcPr>
            <w:tcW w:w="1558"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eastAsia="宋体" w:cs="宋体"/>
                <w:kern w:val="0"/>
                <w:sz w:val="21"/>
                <w:szCs w:val="21"/>
              </w:rPr>
            </w:pPr>
            <w:r>
              <w:rPr>
                <w:rFonts w:ascii="宋体" w:hAnsi="宋体" w:eastAsia="宋体"/>
                <w:sz w:val="21"/>
                <w:szCs w:val="21"/>
              </w:rPr>
              <w:t>与前一层之间权益份额类型</w:t>
            </w:r>
          </w:p>
        </w:tc>
        <w:tc>
          <w:tcPr>
            <w:tcW w:w="2694"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eastAsia="宋体" w:cs="宋体"/>
                <w:kern w:val="0"/>
                <w:sz w:val="21"/>
                <w:szCs w:val="21"/>
              </w:rPr>
            </w:pPr>
            <w:r>
              <w:rPr>
                <w:rFonts w:ascii="宋体" w:hAnsi="宋体" w:eastAsia="宋体"/>
                <w:sz w:val="21"/>
                <w:szCs w:val="21"/>
              </w:rPr>
              <w:t>与前一层之间权益份额类型。</w:t>
            </w:r>
          </w:p>
        </w:tc>
        <w:tc>
          <w:tcPr>
            <w:tcW w:w="2127"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eastAsia="宋体" w:cs="宋体"/>
                <w:kern w:val="0"/>
                <w:sz w:val="21"/>
                <w:szCs w:val="21"/>
              </w:rPr>
            </w:pPr>
            <w:r>
              <w:rPr>
                <w:rFonts w:ascii="宋体" w:hAnsi="宋体" w:eastAsia="宋体"/>
                <w:sz w:val="21"/>
                <w:szCs w:val="21"/>
              </w:rPr>
              <w:t>枚举值为“是，对前一层持有；是，被前一层持有；否”。</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anc..30</w:t>
            </w:r>
          </w:p>
        </w:tc>
      </w:tr>
      <w:tr>
        <w:tblPrEx>
          <w:tblCellMar>
            <w:top w:w="0" w:type="dxa"/>
            <w:left w:w="108" w:type="dxa"/>
            <w:bottom w:w="0" w:type="dxa"/>
            <w:right w:w="108" w:type="dxa"/>
          </w:tblCellMar>
        </w:tblPrEx>
        <w:trPr>
          <w:trHeight w:val="790" w:hRule="atLeast"/>
        </w:trPr>
        <w:tc>
          <w:tcPr>
            <w:tcW w:w="1271" w:type="dxa"/>
            <w:tcBorders>
              <w:top w:val="nil"/>
              <w:left w:val="single" w:color="auto" w:sz="4" w:space="0"/>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eastAsia="宋体" w:cs="宋体"/>
                <w:kern w:val="0"/>
                <w:sz w:val="21"/>
                <w:szCs w:val="21"/>
              </w:rPr>
            </w:pPr>
            <w:r>
              <w:rPr>
                <w:rFonts w:ascii="宋体" w:hAnsi="宋体" w:eastAsia="宋体"/>
                <w:sz w:val="21"/>
                <w:szCs w:val="21"/>
              </w:rPr>
              <w:t>004005</w:t>
            </w:r>
          </w:p>
        </w:tc>
        <w:tc>
          <w:tcPr>
            <w:tcW w:w="1558"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eastAsia="宋体" w:cs="宋体"/>
                <w:kern w:val="0"/>
                <w:sz w:val="21"/>
                <w:szCs w:val="21"/>
              </w:rPr>
            </w:pPr>
            <w:r>
              <w:rPr>
                <w:rFonts w:ascii="宋体" w:hAnsi="宋体" w:eastAsia="宋体"/>
                <w:sz w:val="21"/>
                <w:szCs w:val="21"/>
              </w:rPr>
              <w:t>关联交易类型</w:t>
            </w:r>
          </w:p>
        </w:tc>
        <w:tc>
          <w:tcPr>
            <w:tcW w:w="2694"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eastAsia="宋体" w:cs="宋体"/>
                <w:kern w:val="0"/>
                <w:sz w:val="21"/>
                <w:szCs w:val="21"/>
              </w:rPr>
            </w:pPr>
            <w:r>
              <w:rPr>
                <w:rFonts w:ascii="宋体" w:hAnsi="宋体" w:eastAsia="宋体"/>
                <w:sz w:val="21"/>
                <w:szCs w:val="21"/>
              </w:rPr>
              <w:t>关联交易类型。</w:t>
            </w:r>
          </w:p>
        </w:tc>
        <w:tc>
          <w:tcPr>
            <w:tcW w:w="2127"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sz w:val="21"/>
                <w:szCs w:val="21"/>
              </w:rPr>
              <w:t>参照《业务代码表》“关联交易类型代码”，编号CD020002，填报关联交易类型代码。</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n..10</w:t>
            </w:r>
          </w:p>
        </w:tc>
      </w:tr>
      <w:tr>
        <w:tblPrEx>
          <w:tblCellMar>
            <w:top w:w="0" w:type="dxa"/>
            <w:left w:w="108" w:type="dxa"/>
            <w:bottom w:w="0" w:type="dxa"/>
            <w:right w:w="108" w:type="dxa"/>
          </w:tblCellMar>
        </w:tblPrEx>
        <w:trPr>
          <w:trHeight w:val="820" w:hRule="atLeast"/>
        </w:trPr>
        <w:tc>
          <w:tcPr>
            <w:tcW w:w="1271" w:type="dxa"/>
            <w:tcBorders>
              <w:top w:val="nil"/>
              <w:left w:val="single" w:color="auto" w:sz="4" w:space="0"/>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eastAsia="宋体" w:cs="宋体"/>
                <w:kern w:val="0"/>
                <w:sz w:val="21"/>
                <w:szCs w:val="21"/>
              </w:rPr>
            </w:pPr>
            <w:r>
              <w:rPr>
                <w:rFonts w:ascii="宋体" w:hAnsi="宋体" w:eastAsia="宋体"/>
                <w:sz w:val="21"/>
                <w:szCs w:val="21"/>
              </w:rPr>
              <w:t>004006</w:t>
            </w:r>
          </w:p>
        </w:tc>
        <w:tc>
          <w:tcPr>
            <w:tcW w:w="1558"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sz w:val="21"/>
                <w:szCs w:val="21"/>
              </w:rPr>
              <w:t>关联交易子类</w:t>
            </w:r>
          </w:p>
        </w:tc>
        <w:tc>
          <w:tcPr>
            <w:tcW w:w="2694"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sz w:val="21"/>
                <w:szCs w:val="21"/>
              </w:rPr>
              <w:t>关联交易子类。</w:t>
            </w:r>
          </w:p>
        </w:tc>
        <w:tc>
          <w:tcPr>
            <w:tcW w:w="2127"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eastAsia="宋体" w:cs="宋体"/>
                <w:kern w:val="0"/>
                <w:sz w:val="21"/>
                <w:szCs w:val="21"/>
              </w:rPr>
            </w:pPr>
            <w:r>
              <w:rPr>
                <w:rFonts w:hint="eastAsia" w:ascii="宋体" w:hAnsi="宋体" w:eastAsia="宋体"/>
                <w:sz w:val="21"/>
                <w:szCs w:val="21"/>
              </w:rPr>
              <w:t>参照《业务代码表》“关联交易类型代码”，编号CD020002，填报关联交易子类代码。</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n..10</w:t>
            </w:r>
          </w:p>
        </w:tc>
      </w:tr>
      <w:tr>
        <w:tblPrEx>
          <w:tblCellMar>
            <w:top w:w="0" w:type="dxa"/>
            <w:left w:w="108" w:type="dxa"/>
            <w:bottom w:w="0" w:type="dxa"/>
            <w:right w:w="108" w:type="dxa"/>
          </w:tblCellMar>
        </w:tblPrEx>
        <w:trPr>
          <w:trHeight w:val="290" w:hRule="atLeast"/>
        </w:trPr>
        <w:tc>
          <w:tcPr>
            <w:tcW w:w="1271" w:type="dxa"/>
            <w:tcBorders>
              <w:top w:val="nil"/>
              <w:left w:val="single" w:color="auto" w:sz="4" w:space="0"/>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eastAsia="宋体" w:cs="宋体"/>
                <w:kern w:val="0"/>
                <w:sz w:val="21"/>
                <w:szCs w:val="21"/>
              </w:rPr>
            </w:pPr>
            <w:r>
              <w:rPr>
                <w:rFonts w:ascii="宋体" w:hAnsi="宋体" w:eastAsia="宋体"/>
                <w:sz w:val="21"/>
                <w:szCs w:val="21"/>
              </w:rPr>
              <w:t>004007</w:t>
            </w:r>
          </w:p>
        </w:tc>
        <w:tc>
          <w:tcPr>
            <w:tcW w:w="1558"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eastAsia="宋体" w:cs="宋体"/>
                <w:kern w:val="0"/>
                <w:sz w:val="21"/>
                <w:szCs w:val="21"/>
              </w:rPr>
            </w:pPr>
            <w:r>
              <w:rPr>
                <w:rFonts w:ascii="宋体" w:hAnsi="宋体" w:eastAsia="宋体"/>
                <w:sz w:val="21"/>
                <w:szCs w:val="21"/>
              </w:rPr>
              <w:t>定价政策</w:t>
            </w:r>
          </w:p>
        </w:tc>
        <w:tc>
          <w:tcPr>
            <w:tcW w:w="2694"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eastAsia="宋体" w:cs="宋体"/>
                <w:kern w:val="0"/>
                <w:sz w:val="21"/>
                <w:szCs w:val="21"/>
              </w:rPr>
            </w:pPr>
            <w:r>
              <w:rPr>
                <w:rFonts w:ascii="宋体" w:hAnsi="宋体" w:eastAsia="宋体"/>
                <w:sz w:val="21"/>
                <w:szCs w:val="21"/>
              </w:rPr>
              <w:t>交易对价的确定原则及定价方法。</w:t>
            </w:r>
          </w:p>
        </w:tc>
        <w:tc>
          <w:tcPr>
            <w:tcW w:w="2127"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eastAsia="宋体" w:cs="宋体"/>
                <w:kern w:val="0"/>
                <w:sz w:val="21"/>
                <w:szCs w:val="21"/>
              </w:rPr>
            </w:pP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anc..500</w:t>
            </w:r>
          </w:p>
        </w:tc>
      </w:tr>
      <w:tr>
        <w:tblPrEx>
          <w:tblCellMar>
            <w:top w:w="0" w:type="dxa"/>
            <w:left w:w="108" w:type="dxa"/>
            <w:bottom w:w="0" w:type="dxa"/>
            <w:right w:w="108" w:type="dxa"/>
          </w:tblCellMar>
        </w:tblPrEx>
        <w:trPr>
          <w:trHeight w:val="820" w:hRule="atLeast"/>
        </w:trPr>
        <w:tc>
          <w:tcPr>
            <w:tcW w:w="1271" w:type="dxa"/>
            <w:tcBorders>
              <w:top w:val="nil"/>
              <w:left w:val="single" w:color="auto" w:sz="4" w:space="0"/>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eastAsia="宋体" w:cs="宋体"/>
                <w:kern w:val="0"/>
                <w:sz w:val="21"/>
                <w:szCs w:val="21"/>
              </w:rPr>
            </w:pPr>
            <w:r>
              <w:rPr>
                <w:rFonts w:ascii="宋体" w:hAnsi="宋体" w:eastAsia="宋体"/>
                <w:sz w:val="21"/>
                <w:szCs w:val="21"/>
              </w:rPr>
              <w:t>004008</w:t>
            </w:r>
          </w:p>
        </w:tc>
        <w:tc>
          <w:tcPr>
            <w:tcW w:w="1558"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eastAsia="宋体" w:cs="宋体"/>
                <w:kern w:val="0"/>
                <w:sz w:val="21"/>
                <w:szCs w:val="21"/>
              </w:rPr>
            </w:pPr>
            <w:r>
              <w:rPr>
                <w:rFonts w:ascii="宋体" w:hAnsi="宋体" w:eastAsia="宋体"/>
                <w:sz w:val="21"/>
                <w:szCs w:val="21"/>
              </w:rPr>
              <w:t>影响描述</w:t>
            </w:r>
          </w:p>
        </w:tc>
        <w:tc>
          <w:tcPr>
            <w:tcW w:w="2694"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eastAsia="宋体" w:cs="宋体"/>
                <w:kern w:val="0"/>
                <w:sz w:val="21"/>
                <w:szCs w:val="21"/>
              </w:rPr>
            </w:pPr>
            <w:r>
              <w:rPr>
                <w:rFonts w:ascii="宋体" w:hAnsi="宋体" w:eastAsia="宋体"/>
                <w:sz w:val="21"/>
                <w:szCs w:val="21"/>
              </w:rPr>
              <w:t>对填报机构财务状况及经营成果的描述。</w:t>
            </w:r>
          </w:p>
        </w:tc>
        <w:tc>
          <w:tcPr>
            <w:tcW w:w="2127"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eastAsia="宋体" w:cs="宋体"/>
                <w:kern w:val="0"/>
                <w:sz w:val="21"/>
                <w:szCs w:val="21"/>
              </w:rPr>
            </w:pP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anc..500</w:t>
            </w:r>
          </w:p>
        </w:tc>
      </w:tr>
      <w:tr>
        <w:tblPrEx>
          <w:tblCellMar>
            <w:top w:w="0" w:type="dxa"/>
            <w:left w:w="108" w:type="dxa"/>
            <w:bottom w:w="0" w:type="dxa"/>
            <w:right w:w="108" w:type="dxa"/>
          </w:tblCellMar>
        </w:tblPrEx>
        <w:trPr>
          <w:trHeight w:val="550" w:hRule="atLeast"/>
        </w:trPr>
        <w:tc>
          <w:tcPr>
            <w:tcW w:w="1271" w:type="dxa"/>
            <w:tcBorders>
              <w:top w:val="nil"/>
              <w:left w:val="single" w:color="auto" w:sz="4" w:space="0"/>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eastAsia="宋体" w:cs="宋体"/>
                <w:kern w:val="0"/>
                <w:sz w:val="21"/>
                <w:szCs w:val="21"/>
              </w:rPr>
            </w:pPr>
            <w:r>
              <w:rPr>
                <w:rFonts w:ascii="宋体" w:hAnsi="宋体" w:eastAsia="宋体"/>
                <w:sz w:val="21"/>
                <w:szCs w:val="21"/>
              </w:rPr>
              <w:t>004009</w:t>
            </w:r>
          </w:p>
        </w:tc>
        <w:tc>
          <w:tcPr>
            <w:tcW w:w="1558"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eastAsia="宋体" w:cs="宋体"/>
                <w:kern w:val="0"/>
                <w:sz w:val="21"/>
                <w:szCs w:val="21"/>
              </w:rPr>
            </w:pPr>
            <w:r>
              <w:rPr>
                <w:rFonts w:ascii="宋体" w:hAnsi="宋体" w:eastAsia="宋体"/>
                <w:sz w:val="21"/>
                <w:szCs w:val="21"/>
              </w:rPr>
              <w:t>交易标的</w:t>
            </w:r>
          </w:p>
        </w:tc>
        <w:tc>
          <w:tcPr>
            <w:tcW w:w="2694"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eastAsia="宋体" w:cs="宋体"/>
                <w:kern w:val="0"/>
                <w:sz w:val="21"/>
                <w:szCs w:val="21"/>
              </w:rPr>
            </w:pPr>
            <w:r>
              <w:rPr>
                <w:rFonts w:ascii="宋体" w:hAnsi="宋体" w:eastAsia="宋体"/>
                <w:sz w:val="21"/>
                <w:szCs w:val="21"/>
              </w:rPr>
              <w:t>与关联方发生关联交易的对象。</w:t>
            </w:r>
          </w:p>
        </w:tc>
        <w:tc>
          <w:tcPr>
            <w:tcW w:w="2127"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eastAsia="宋体" w:cs="宋体"/>
                <w:kern w:val="0"/>
                <w:sz w:val="21"/>
                <w:szCs w:val="21"/>
              </w:rPr>
            </w:pP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anc..500</w:t>
            </w:r>
          </w:p>
        </w:tc>
      </w:tr>
      <w:tr>
        <w:tblPrEx>
          <w:tblCellMar>
            <w:top w:w="0" w:type="dxa"/>
            <w:left w:w="108" w:type="dxa"/>
            <w:bottom w:w="0" w:type="dxa"/>
            <w:right w:w="108" w:type="dxa"/>
          </w:tblCellMar>
        </w:tblPrEx>
        <w:trPr>
          <w:trHeight w:val="530" w:hRule="atLeast"/>
        </w:trPr>
        <w:tc>
          <w:tcPr>
            <w:tcW w:w="1271" w:type="dxa"/>
            <w:tcBorders>
              <w:top w:val="nil"/>
              <w:left w:val="single" w:color="auto" w:sz="4" w:space="0"/>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eastAsia="宋体" w:cs="宋体"/>
                <w:kern w:val="0"/>
                <w:sz w:val="21"/>
                <w:szCs w:val="21"/>
              </w:rPr>
            </w:pPr>
            <w:r>
              <w:rPr>
                <w:rFonts w:ascii="宋体" w:hAnsi="宋体" w:eastAsia="宋体"/>
                <w:sz w:val="21"/>
                <w:szCs w:val="21"/>
              </w:rPr>
              <w:t>004010</w:t>
            </w:r>
          </w:p>
        </w:tc>
        <w:tc>
          <w:tcPr>
            <w:tcW w:w="1558"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eastAsia="宋体" w:cs="宋体"/>
                <w:kern w:val="0"/>
                <w:sz w:val="21"/>
                <w:szCs w:val="21"/>
              </w:rPr>
            </w:pPr>
            <w:r>
              <w:rPr>
                <w:rFonts w:ascii="宋体" w:hAnsi="宋体" w:eastAsia="宋体"/>
                <w:sz w:val="21"/>
                <w:szCs w:val="21"/>
              </w:rPr>
              <w:t>关联方类型</w:t>
            </w:r>
          </w:p>
        </w:tc>
        <w:tc>
          <w:tcPr>
            <w:tcW w:w="2694"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eastAsia="宋体" w:cs="宋体"/>
                <w:kern w:val="0"/>
                <w:sz w:val="21"/>
                <w:szCs w:val="21"/>
              </w:rPr>
            </w:pPr>
            <w:r>
              <w:rPr>
                <w:rFonts w:ascii="宋体" w:hAnsi="宋体" w:eastAsia="宋体"/>
                <w:sz w:val="21"/>
                <w:szCs w:val="21"/>
              </w:rPr>
              <w:t>关联方类型。</w:t>
            </w:r>
          </w:p>
        </w:tc>
        <w:tc>
          <w:tcPr>
            <w:tcW w:w="2127"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eastAsia="宋体" w:cs="宋体"/>
                <w:kern w:val="0"/>
                <w:sz w:val="21"/>
                <w:szCs w:val="21"/>
              </w:rPr>
            </w:pPr>
            <w:r>
              <w:rPr>
                <w:rFonts w:ascii="宋体" w:hAnsi="宋体" w:eastAsia="宋体"/>
                <w:sz w:val="21"/>
                <w:szCs w:val="21"/>
              </w:rPr>
              <w:t>参照《业务代码表》“关联方类型代码”，编号CD020003。</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n..10</w:t>
            </w:r>
          </w:p>
        </w:tc>
      </w:tr>
      <w:tr>
        <w:tblPrEx>
          <w:tblCellMar>
            <w:top w:w="0" w:type="dxa"/>
            <w:left w:w="108" w:type="dxa"/>
            <w:bottom w:w="0" w:type="dxa"/>
            <w:right w:w="108" w:type="dxa"/>
          </w:tblCellMar>
        </w:tblPrEx>
        <w:trPr>
          <w:trHeight w:val="820" w:hRule="atLeast"/>
        </w:trPr>
        <w:tc>
          <w:tcPr>
            <w:tcW w:w="1271" w:type="dxa"/>
            <w:tcBorders>
              <w:top w:val="nil"/>
              <w:left w:val="single" w:color="auto" w:sz="4" w:space="0"/>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eastAsia="宋体" w:cs="宋体"/>
                <w:kern w:val="0"/>
                <w:sz w:val="21"/>
                <w:szCs w:val="21"/>
              </w:rPr>
            </w:pPr>
            <w:r>
              <w:rPr>
                <w:rFonts w:ascii="宋体" w:hAnsi="宋体" w:eastAsia="宋体"/>
                <w:sz w:val="21"/>
                <w:szCs w:val="21"/>
              </w:rPr>
              <w:t>004011</w:t>
            </w:r>
          </w:p>
        </w:tc>
        <w:tc>
          <w:tcPr>
            <w:tcW w:w="1558"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eastAsia="宋体" w:cs="宋体"/>
                <w:kern w:val="0"/>
                <w:sz w:val="21"/>
                <w:szCs w:val="21"/>
              </w:rPr>
            </w:pPr>
            <w:r>
              <w:rPr>
                <w:rFonts w:ascii="宋体" w:hAnsi="宋体" w:eastAsia="宋体"/>
                <w:sz w:val="21"/>
                <w:szCs w:val="21"/>
              </w:rPr>
              <w:t>达到重大关联交易的情形</w:t>
            </w:r>
          </w:p>
        </w:tc>
        <w:tc>
          <w:tcPr>
            <w:tcW w:w="2694"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eastAsia="宋体" w:cs="宋体"/>
                <w:kern w:val="0"/>
                <w:sz w:val="21"/>
                <w:szCs w:val="21"/>
              </w:rPr>
            </w:pPr>
            <w:r>
              <w:rPr>
                <w:rFonts w:ascii="宋体" w:hAnsi="宋体" w:eastAsia="宋体"/>
                <w:sz w:val="21"/>
                <w:szCs w:val="21"/>
              </w:rPr>
              <w:t>达到重大关联交易的情形。</w:t>
            </w:r>
          </w:p>
        </w:tc>
        <w:tc>
          <w:tcPr>
            <w:tcW w:w="2127"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eastAsia="宋体" w:cs="宋体"/>
                <w:kern w:val="0"/>
                <w:sz w:val="21"/>
                <w:szCs w:val="21"/>
              </w:rPr>
            </w:pPr>
            <w:r>
              <w:rPr>
                <w:rFonts w:ascii="宋体" w:hAnsi="宋体" w:eastAsia="宋体"/>
                <w:sz w:val="21"/>
                <w:szCs w:val="21"/>
              </w:rPr>
              <w:t>枚举值为“单笔达到；累计达到”。</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anc..30</w:t>
            </w:r>
          </w:p>
        </w:tc>
      </w:tr>
      <w:tr>
        <w:tblPrEx>
          <w:tblCellMar>
            <w:top w:w="0" w:type="dxa"/>
            <w:left w:w="108" w:type="dxa"/>
            <w:bottom w:w="0" w:type="dxa"/>
            <w:right w:w="108" w:type="dxa"/>
          </w:tblCellMar>
        </w:tblPrEx>
        <w:trPr>
          <w:trHeight w:val="530" w:hRule="atLeast"/>
        </w:trPr>
        <w:tc>
          <w:tcPr>
            <w:tcW w:w="1271"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eastAsia="宋体" w:cs="宋体"/>
                <w:kern w:val="0"/>
                <w:sz w:val="21"/>
                <w:szCs w:val="21"/>
              </w:rPr>
            </w:pPr>
            <w:r>
              <w:rPr>
                <w:rFonts w:ascii="宋体" w:hAnsi="宋体" w:eastAsia="宋体"/>
                <w:sz w:val="21"/>
                <w:szCs w:val="21"/>
              </w:rPr>
              <w:t>004012</w:t>
            </w:r>
          </w:p>
        </w:tc>
        <w:tc>
          <w:tcPr>
            <w:tcW w:w="1558" w:type="dxa"/>
            <w:tcBorders>
              <w:top w:val="single" w:color="auto" w:sz="4" w:space="0"/>
              <w:left w:val="nil"/>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eastAsia="宋体" w:cs="宋体"/>
                <w:kern w:val="0"/>
                <w:sz w:val="21"/>
                <w:szCs w:val="21"/>
              </w:rPr>
            </w:pPr>
            <w:r>
              <w:rPr>
                <w:rFonts w:ascii="宋体" w:hAnsi="宋体" w:eastAsia="宋体"/>
                <w:sz w:val="21"/>
                <w:szCs w:val="21"/>
              </w:rPr>
              <w:t>关联关系类型</w:t>
            </w:r>
          </w:p>
        </w:tc>
        <w:tc>
          <w:tcPr>
            <w:tcW w:w="2694" w:type="dxa"/>
            <w:tcBorders>
              <w:top w:val="single" w:color="auto" w:sz="4" w:space="0"/>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eastAsia="宋体" w:cs="宋体"/>
                <w:kern w:val="0"/>
                <w:sz w:val="21"/>
                <w:szCs w:val="21"/>
              </w:rPr>
            </w:pPr>
            <w:r>
              <w:rPr>
                <w:rFonts w:ascii="宋体" w:hAnsi="宋体" w:eastAsia="宋体"/>
                <w:sz w:val="21"/>
                <w:szCs w:val="21"/>
              </w:rPr>
              <w:t>关联关系类型。</w:t>
            </w:r>
          </w:p>
        </w:tc>
        <w:tc>
          <w:tcPr>
            <w:tcW w:w="2127" w:type="dxa"/>
            <w:tcBorders>
              <w:top w:val="single" w:color="auto" w:sz="4" w:space="0"/>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eastAsia="宋体" w:cs="宋体"/>
                <w:kern w:val="0"/>
                <w:sz w:val="21"/>
                <w:szCs w:val="21"/>
              </w:rPr>
            </w:pPr>
            <w:r>
              <w:rPr>
                <w:rFonts w:ascii="宋体" w:hAnsi="宋体" w:eastAsia="宋体"/>
                <w:sz w:val="21"/>
                <w:szCs w:val="21"/>
              </w:rPr>
              <w:t>参照《业务代码表》“关联关系代码”，编号CD020001。</w:t>
            </w:r>
          </w:p>
        </w:tc>
        <w:tc>
          <w:tcPr>
            <w:tcW w:w="118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n..10</w:t>
            </w:r>
          </w:p>
        </w:tc>
      </w:tr>
      <w:tr>
        <w:tblPrEx>
          <w:tblCellMar>
            <w:top w:w="0" w:type="dxa"/>
            <w:left w:w="108" w:type="dxa"/>
            <w:bottom w:w="0" w:type="dxa"/>
            <w:right w:w="108" w:type="dxa"/>
          </w:tblCellMar>
        </w:tblPrEx>
        <w:trPr>
          <w:trHeight w:val="530" w:hRule="atLeast"/>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004013</w:t>
            </w: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rPr>
              <w:t>关联交易价格</w:t>
            </w:r>
          </w:p>
        </w:tc>
        <w:tc>
          <w:tcPr>
            <w:tcW w:w="269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sz w:val="21"/>
                <w:szCs w:val="21"/>
              </w:rPr>
            </w:pPr>
            <w:r>
              <w:rPr>
                <w:rFonts w:hint="eastAsia" w:ascii="宋体" w:hAnsi="宋体" w:eastAsia="宋体"/>
                <w:color w:val="000000"/>
                <w:sz w:val="21"/>
                <w:szCs w:val="21"/>
              </w:rPr>
              <w:t>以单笔关联交易各类业务的交易价格说明为准。单位：元。如交易价格无法数值表示，可文字描述。</w:t>
            </w:r>
          </w:p>
        </w:tc>
        <w:tc>
          <w:tcPr>
            <w:tcW w:w="2127" w:type="dxa"/>
            <w:tcBorders>
              <w:top w:val="single" w:color="auto" w:sz="4" w:space="0"/>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eastAsia="宋体"/>
                <w:sz w:val="21"/>
                <w:szCs w:val="21"/>
              </w:rPr>
            </w:pPr>
          </w:p>
        </w:tc>
        <w:tc>
          <w:tcPr>
            <w:tcW w:w="118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anc..500</w:t>
            </w:r>
          </w:p>
        </w:tc>
      </w:tr>
    </w:tbl>
    <w:p>
      <w:pPr>
        <w:pStyle w:val="4"/>
        <w:numPr>
          <w:ilvl w:val="0"/>
          <w:numId w:val="29"/>
        </w:numPr>
        <w:tabs>
          <w:tab w:val="left" w:pos="709"/>
          <w:tab w:val="left" w:pos="993"/>
        </w:tabs>
        <w:rPr>
          <w:rFonts w:ascii="仿宋" w:hAnsi="仿宋" w:eastAsia="仿宋"/>
        </w:rPr>
      </w:pPr>
      <w:r>
        <w:rPr>
          <w:rFonts w:hint="eastAsia" w:ascii="仿宋" w:hAnsi="仿宋" w:eastAsia="仿宋"/>
        </w:rPr>
        <w:t>风险管理</w:t>
      </w:r>
    </w:p>
    <w:tbl>
      <w:tblPr>
        <w:tblStyle w:val="25"/>
        <w:tblW w:w="8834" w:type="dxa"/>
        <w:tblInd w:w="0" w:type="dxa"/>
        <w:tblLayout w:type="fixed"/>
        <w:tblCellMar>
          <w:top w:w="0" w:type="dxa"/>
          <w:left w:w="108" w:type="dxa"/>
          <w:bottom w:w="0" w:type="dxa"/>
          <w:right w:w="108" w:type="dxa"/>
        </w:tblCellMar>
      </w:tblPr>
      <w:tblGrid>
        <w:gridCol w:w="1271"/>
        <w:gridCol w:w="1558"/>
        <w:gridCol w:w="2694"/>
        <w:gridCol w:w="2127"/>
        <w:gridCol w:w="1184"/>
      </w:tblGrid>
      <w:tr>
        <w:tblPrEx>
          <w:tblCellMar>
            <w:top w:w="0" w:type="dxa"/>
            <w:left w:w="108" w:type="dxa"/>
            <w:bottom w:w="0" w:type="dxa"/>
            <w:right w:w="108" w:type="dxa"/>
          </w:tblCellMar>
        </w:tblPrEx>
        <w:trPr>
          <w:trHeight w:val="290" w:hRule="atLeast"/>
        </w:trPr>
        <w:tc>
          <w:tcPr>
            <w:tcW w:w="1271"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数据元编码</w:t>
            </w:r>
          </w:p>
        </w:tc>
        <w:tc>
          <w:tcPr>
            <w:tcW w:w="1558" w:type="dxa"/>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数据元名称</w:t>
            </w:r>
          </w:p>
        </w:tc>
        <w:tc>
          <w:tcPr>
            <w:tcW w:w="2694" w:type="dxa"/>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数据元说明</w:t>
            </w:r>
          </w:p>
        </w:tc>
        <w:tc>
          <w:tcPr>
            <w:tcW w:w="2127" w:type="dxa"/>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取值范围</w:t>
            </w:r>
          </w:p>
        </w:tc>
        <w:tc>
          <w:tcPr>
            <w:tcW w:w="1184" w:type="dxa"/>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数据格式</w:t>
            </w:r>
          </w:p>
        </w:tc>
      </w:tr>
      <w:tr>
        <w:tblPrEx>
          <w:tblCellMar>
            <w:top w:w="0" w:type="dxa"/>
            <w:left w:w="108" w:type="dxa"/>
            <w:bottom w:w="0" w:type="dxa"/>
            <w:right w:w="108" w:type="dxa"/>
          </w:tblCellMar>
        </w:tblPrEx>
        <w:trPr>
          <w:trHeight w:val="570" w:hRule="atLeast"/>
        </w:trPr>
        <w:tc>
          <w:tcPr>
            <w:tcW w:w="1271" w:type="dxa"/>
            <w:tcBorders>
              <w:top w:val="nil"/>
              <w:left w:val="single" w:color="auto" w:sz="4" w:space="0"/>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eastAsia="宋体" w:cs="宋体"/>
                <w:kern w:val="0"/>
                <w:sz w:val="21"/>
                <w:szCs w:val="21"/>
              </w:rPr>
            </w:pPr>
            <w:r>
              <w:rPr>
                <w:rFonts w:ascii="宋体" w:hAnsi="宋体" w:eastAsia="宋体"/>
                <w:sz w:val="21"/>
                <w:szCs w:val="21"/>
              </w:rPr>
              <w:t>005001</w:t>
            </w:r>
          </w:p>
        </w:tc>
        <w:tc>
          <w:tcPr>
            <w:tcW w:w="1558"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eastAsia="宋体" w:cs="宋体"/>
                <w:kern w:val="0"/>
                <w:sz w:val="21"/>
                <w:szCs w:val="21"/>
              </w:rPr>
            </w:pPr>
            <w:r>
              <w:rPr>
                <w:rFonts w:ascii="宋体" w:hAnsi="宋体" w:eastAsia="宋体"/>
                <w:sz w:val="21"/>
                <w:szCs w:val="21"/>
              </w:rPr>
              <w:t>风险类型</w:t>
            </w:r>
          </w:p>
        </w:tc>
        <w:tc>
          <w:tcPr>
            <w:tcW w:w="2694"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eastAsia="宋体" w:cs="宋体"/>
                <w:kern w:val="0"/>
                <w:sz w:val="21"/>
                <w:szCs w:val="21"/>
              </w:rPr>
            </w:pPr>
            <w:r>
              <w:rPr>
                <w:rFonts w:ascii="宋体" w:hAnsi="宋体" w:eastAsia="宋体"/>
                <w:sz w:val="21"/>
                <w:szCs w:val="21"/>
              </w:rPr>
              <w:t>风险类型。</w:t>
            </w:r>
          </w:p>
        </w:tc>
        <w:tc>
          <w:tcPr>
            <w:tcW w:w="2127"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eastAsia="宋体" w:cs="宋体"/>
                <w:kern w:val="0"/>
                <w:sz w:val="21"/>
                <w:szCs w:val="21"/>
              </w:rPr>
            </w:pPr>
            <w:r>
              <w:rPr>
                <w:rFonts w:ascii="宋体" w:hAnsi="宋体" w:eastAsia="宋体"/>
                <w:sz w:val="21"/>
                <w:szCs w:val="21"/>
              </w:rPr>
              <w:t>参照《业务代码表》“风险类型代码”，编号CD050001。</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n..10</w:t>
            </w:r>
          </w:p>
        </w:tc>
      </w:tr>
      <w:tr>
        <w:tblPrEx>
          <w:tblCellMar>
            <w:top w:w="0" w:type="dxa"/>
            <w:left w:w="108" w:type="dxa"/>
            <w:bottom w:w="0" w:type="dxa"/>
            <w:right w:w="108" w:type="dxa"/>
          </w:tblCellMar>
        </w:tblPrEx>
        <w:trPr>
          <w:trHeight w:val="790" w:hRule="atLeast"/>
        </w:trPr>
        <w:tc>
          <w:tcPr>
            <w:tcW w:w="1271" w:type="dxa"/>
            <w:tcBorders>
              <w:top w:val="nil"/>
              <w:left w:val="single" w:color="auto" w:sz="4" w:space="0"/>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eastAsia="宋体" w:cs="宋体"/>
                <w:kern w:val="0"/>
                <w:sz w:val="21"/>
                <w:szCs w:val="21"/>
              </w:rPr>
            </w:pPr>
            <w:r>
              <w:rPr>
                <w:rFonts w:ascii="宋体" w:hAnsi="宋体" w:eastAsia="宋体"/>
                <w:sz w:val="21"/>
                <w:szCs w:val="21"/>
              </w:rPr>
              <w:t>005002</w:t>
            </w:r>
          </w:p>
        </w:tc>
        <w:tc>
          <w:tcPr>
            <w:tcW w:w="1558"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center"/>
              <w:rPr>
                <w:rFonts w:ascii="宋体" w:hAnsi="宋体" w:eastAsia="宋体" w:cs="宋体"/>
                <w:kern w:val="0"/>
                <w:sz w:val="21"/>
                <w:szCs w:val="21"/>
              </w:rPr>
            </w:pPr>
            <w:r>
              <w:rPr>
                <w:rFonts w:ascii="宋体" w:hAnsi="宋体" w:eastAsia="宋体"/>
                <w:sz w:val="21"/>
                <w:szCs w:val="21"/>
              </w:rPr>
              <w:t>担保方式</w:t>
            </w:r>
          </w:p>
        </w:tc>
        <w:tc>
          <w:tcPr>
            <w:tcW w:w="2694"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eastAsia="宋体" w:cs="宋体"/>
                <w:kern w:val="0"/>
                <w:sz w:val="21"/>
                <w:szCs w:val="21"/>
              </w:rPr>
            </w:pPr>
            <w:r>
              <w:rPr>
                <w:rFonts w:ascii="宋体" w:hAnsi="宋体" w:eastAsia="宋体"/>
                <w:sz w:val="21"/>
                <w:szCs w:val="21"/>
              </w:rPr>
              <w:t>担保方式。</w:t>
            </w:r>
          </w:p>
        </w:tc>
        <w:tc>
          <w:tcPr>
            <w:tcW w:w="2127" w:type="dxa"/>
            <w:tcBorders>
              <w:top w:val="nil"/>
              <w:left w:val="nil"/>
              <w:bottom w:val="single" w:color="auto" w:sz="4" w:space="0"/>
              <w:right w:val="single" w:color="auto" w:sz="4" w:space="0"/>
            </w:tcBorders>
            <w:shd w:val="clear" w:color="auto" w:fill="auto"/>
          </w:tcPr>
          <w:p>
            <w:pPr>
              <w:widowControl/>
              <w:spacing w:line="240" w:lineRule="auto"/>
              <w:ind w:firstLine="0" w:firstLineChars="0"/>
              <w:jc w:val="left"/>
              <w:rPr>
                <w:rFonts w:ascii="宋体" w:hAnsi="宋体" w:eastAsia="宋体" w:cs="宋体"/>
                <w:kern w:val="0"/>
                <w:sz w:val="21"/>
                <w:szCs w:val="21"/>
              </w:rPr>
            </w:pPr>
            <w:r>
              <w:rPr>
                <w:rFonts w:ascii="宋体" w:hAnsi="宋体" w:eastAsia="宋体"/>
                <w:sz w:val="21"/>
                <w:szCs w:val="21"/>
              </w:rPr>
              <w:t>参照《业务代码表》“担保方式代码”，编号CD050002。</w:t>
            </w:r>
          </w:p>
        </w:tc>
        <w:tc>
          <w:tcPr>
            <w:tcW w:w="11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n..10</w:t>
            </w:r>
          </w:p>
        </w:tc>
      </w:tr>
    </w:tbl>
    <w:p>
      <w:pPr>
        <w:ind w:firstLine="0" w:firstLineChars="0"/>
      </w:pPr>
    </w:p>
    <w:sectPr>
      <w:headerReference r:id="rId12" w:type="default"/>
      <w:footerReference r:id="rId13" w:type="default"/>
      <w:pgSz w:w="11906" w:h="16838"/>
      <w:pgMar w:top="2154" w:right="1474" w:bottom="1984" w:left="1588" w:header="851" w:footer="1021"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NanumGothic">
    <w:panose1 w:val="020D0604000000000000"/>
    <w:charset w:val="81"/>
    <w:family w:val="auto"/>
    <w:pitch w:val="default"/>
    <w:sig w:usb0="900002A7" w:usb1="29D7FCFB" w:usb2="00000010" w:usb3="00000000" w:csb0="0008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宋体" w:hAnsi="宋体"/>
        <w:sz w:val="21"/>
        <w:szCs w:val="21"/>
      </w:rPr>
    </w:sdtEndPr>
    <w:sdtContent>
      <w:p>
        <w:pPr>
          <w:pStyle w:val="15"/>
          <w:ind w:firstLine="36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w:t>
        </w:r>
        <w:r>
          <w:rPr>
            <w:rFonts w:ascii="宋体" w:hAnsi="宋体"/>
            <w:sz w:val="21"/>
            <w:szCs w:val="21"/>
          </w:rPr>
          <w:t xml:space="preserve"> 1 -</w:t>
        </w:r>
        <w:r>
          <w:rPr>
            <w:rFonts w:ascii="宋体" w:hAnsi="宋体"/>
            <w:sz w:val="21"/>
            <w:szCs w:val="21"/>
          </w:rPr>
          <w:fldChar w:fldCharType="end"/>
        </w:r>
      </w:p>
    </w:sdtContent>
  </w:sdt>
  <w:p>
    <w:pPr>
      <w:pStyle w:val="15"/>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2E4A2"/>
    <w:multiLevelType w:val="singleLevel"/>
    <w:tmpl w:val="99F2E4A2"/>
    <w:lvl w:ilvl="0" w:tentative="0">
      <w:start w:val="1"/>
      <w:numFmt w:val="chineseCounting"/>
      <w:pStyle w:val="2"/>
      <w:suff w:val="nothing"/>
      <w:lvlText w:val="%1、"/>
      <w:lvlJc w:val="left"/>
      <w:pPr>
        <w:ind w:left="451" w:firstLine="420"/>
      </w:pPr>
      <w:rPr>
        <w:rFonts w:hint="eastAsia"/>
      </w:rPr>
    </w:lvl>
  </w:abstractNum>
  <w:abstractNum w:abstractNumId="1">
    <w:nsid w:val="C0CEB84B"/>
    <w:multiLevelType w:val="singleLevel"/>
    <w:tmpl w:val="C0CEB84B"/>
    <w:lvl w:ilvl="0" w:tentative="0">
      <w:start w:val="1"/>
      <w:numFmt w:val="decimal"/>
      <w:pStyle w:val="5"/>
      <w:lvlText w:val="(%1)"/>
      <w:lvlJc w:val="left"/>
      <w:pPr>
        <w:ind w:left="425" w:hanging="425"/>
      </w:pPr>
      <w:rPr>
        <w:rFonts w:hint="default"/>
      </w:rPr>
    </w:lvl>
  </w:abstractNum>
  <w:abstractNum w:abstractNumId="2">
    <w:nsid w:val="3C230CCA"/>
    <w:multiLevelType w:val="multilevel"/>
    <w:tmpl w:val="3C230CCA"/>
    <w:lvl w:ilvl="0" w:tentative="0">
      <w:start w:val="1"/>
      <w:numFmt w:val="decimal"/>
      <w:pStyle w:val="4"/>
      <w:lvlText w:val="%1."/>
      <w:lvlJc w:val="left"/>
      <w:pPr>
        <w:ind w:left="992" w:hanging="425"/>
      </w:pPr>
      <w:rPr>
        <w:rFonts w:hint="default"/>
      </w:rPr>
    </w:lvl>
    <w:lvl w:ilvl="1" w:tentative="0">
      <w:start w:val="1"/>
      <w:numFmt w:val="decimal"/>
      <w:isLgl/>
      <w:lvlText w:val="%1.%2"/>
      <w:lvlJc w:val="left"/>
      <w:pPr>
        <w:ind w:left="1134" w:hanging="112"/>
      </w:pPr>
      <w:rPr>
        <w:rFonts w:hint="default"/>
      </w:rPr>
    </w:lvl>
    <w:lvl w:ilvl="2" w:tentative="0">
      <w:start w:val="1"/>
      <w:numFmt w:val="decimal"/>
      <w:isLgl/>
      <w:lvlText w:val="%1.%2.%3"/>
      <w:lvlJc w:val="left"/>
      <w:pPr>
        <w:ind w:left="2704" w:hanging="1080"/>
      </w:pPr>
      <w:rPr>
        <w:rFonts w:hint="default"/>
      </w:rPr>
    </w:lvl>
    <w:lvl w:ilvl="3" w:tentative="0">
      <w:start w:val="1"/>
      <w:numFmt w:val="decimal"/>
      <w:isLgl/>
      <w:lvlText w:val="%1.%2.%3.%4"/>
      <w:lvlJc w:val="left"/>
      <w:pPr>
        <w:ind w:left="3306" w:hanging="1080"/>
      </w:pPr>
      <w:rPr>
        <w:rFonts w:hint="default"/>
      </w:rPr>
    </w:lvl>
    <w:lvl w:ilvl="4" w:tentative="0">
      <w:start w:val="1"/>
      <w:numFmt w:val="decimal"/>
      <w:isLgl/>
      <w:lvlText w:val="%1.%2.%3.%4.%5"/>
      <w:lvlJc w:val="left"/>
      <w:pPr>
        <w:ind w:left="4268" w:hanging="1440"/>
      </w:pPr>
      <w:rPr>
        <w:rFonts w:hint="default"/>
      </w:rPr>
    </w:lvl>
    <w:lvl w:ilvl="5" w:tentative="0">
      <w:start w:val="1"/>
      <w:numFmt w:val="decimal"/>
      <w:isLgl/>
      <w:lvlText w:val="%1.%2.%3.%4.%5.%6"/>
      <w:lvlJc w:val="left"/>
      <w:pPr>
        <w:ind w:left="5230" w:hanging="1800"/>
      </w:pPr>
      <w:rPr>
        <w:rFonts w:hint="default"/>
      </w:rPr>
    </w:lvl>
    <w:lvl w:ilvl="6" w:tentative="0">
      <w:start w:val="1"/>
      <w:numFmt w:val="decimal"/>
      <w:isLgl/>
      <w:lvlText w:val="%1.%2.%3.%4.%5.%6.%7"/>
      <w:lvlJc w:val="left"/>
      <w:pPr>
        <w:ind w:left="6192" w:hanging="2160"/>
      </w:pPr>
      <w:rPr>
        <w:rFonts w:hint="default"/>
      </w:rPr>
    </w:lvl>
    <w:lvl w:ilvl="7" w:tentative="0">
      <w:start w:val="1"/>
      <w:numFmt w:val="decimal"/>
      <w:isLgl/>
      <w:lvlText w:val="%1.%2.%3.%4.%5.%6.%7.%8"/>
      <w:lvlJc w:val="left"/>
      <w:pPr>
        <w:ind w:left="7154" w:hanging="2520"/>
      </w:pPr>
      <w:rPr>
        <w:rFonts w:hint="default"/>
      </w:rPr>
    </w:lvl>
    <w:lvl w:ilvl="8" w:tentative="0">
      <w:start w:val="1"/>
      <w:numFmt w:val="decimal"/>
      <w:isLgl/>
      <w:lvlText w:val="%1.%2.%3.%4.%5.%6.%7.%8.%9"/>
      <w:lvlJc w:val="left"/>
      <w:pPr>
        <w:ind w:left="8116" w:hanging="2880"/>
      </w:pPr>
      <w:rPr>
        <w:rFonts w:hint="default"/>
      </w:rPr>
    </w:lvl>
  </w:abstractNum>
  <w:abstractNum w:abstractNumId="3">
    <w:nsid w:val="6A3342DB"/>
    <w:multiLevelType w:val="singleLevel"/>
    <w:tmpl w:val="6A3342DB"/>
    <w:lvl w:ilvl="0" w:tentative="0">
      <w:start w:val="1"/>
      <w:numFmt w:val="chineseCounting"/>
      <w:pStyle w:val="3"/>
      <w:suff w:val="nothing"/>
      <w:lvlText w:val="（%1）"/>
      <w:lvlJc w:val="left"/>
      <w:pPr>
        <w:ind w:left="714" w:firstLine="420"/>
      </w:pPr>
      <w:rPr>
        <w:rFonts w:hint="eastAsia"/>
      </w:rPr>
    </w:lvl>
  </w:abstractNum>
  <w:num w:numId="1">
    <w:abstractNumId w:val="0"/>
  </w:num>
  <w:num w:numId="2">
    <w:abstractNumId w:val="3"/>
  </w:num>
  <w:num w:numId="3">
    <w:abstractNumId w:val="2"/>
  </w:num>
  <w:num w:numId="4">
    <w:abstractNumId w:val="1"/>
  </w:num>
  <w:num w:numId="5">
    <w:abstractNumId w:val="3"/>
    <w:lvlOverride w:ilvl="0">
      <w:startOverride w:val="1"/>
    </w:lvlOverride>
  </w:num>
  <w:num w:numId="6">
    <w:abstractNumId w:val="3"/>
    <w:lvlOverride w:ilvl="0">
      <w:startOverride w:val="1"/>
    </w:lvlOverride>
  </w:num>
  <w:num w:numId="7">
    <w:abstractNumId w:val="2"/>
    <w:lvlOverride w:ilvl="0">
      <w:lvl w:ilvl="0" w:tentative="1">
        <w:start w:val="1"/>
        <w:numFmt w:val="decimal"/>
        <w:lvlText w:val="%1."/>
        <w:lvlJc w:val="left"/>
        <w:pPr>
          <w:ind w:left="850" w:hanging="425"/>
        </w:pPr>
        <w:rPr>
          <w:rFonts w:hint="default"/>
        </w:rPr>
      </w:lvl>
    </w:lvlOverride>
    <w:lvlOverride w:ilvl="1">
      <w:lvl w:ilvl="1" w:tentative="1">
        <w:start w:val="1"/>
        <w:numFmt w:val="decimal"/>
        <w:isLgl/>
        <w:lvlText w:val="%1.%2"/>
        <w:lvlJc w:val="left"/>
        <w:pPr>
          <w:ind w:left="1134" w:hanging="420"/>
        </w:pPr>
        <w:rPr>
          <w:rFonts w:hint="default"/>
        </w:rPr>
      </w:lvl>
    </w:lvlOverride>
    <w:lvlOverride w:ilvl="2">
      <w:lvl w:ilvl="2" w:tentative="1">
        <w:start w:val="1"/>
        <w:numFmt w:val="decimal"/>
        <w:isLgl/>
        <w:lvlText w:val="%1.%2.%3"/>
        <w:lvlJc w:val="left"/>
        <w:pPr>
          <w:ind w:left="2704" w:hanging="1080"/>
        </w:pPr>
        <w:rPr>
          <w:rFonts w:hint="default"/>
        </w:rPr>
      </w:lvl>
    </w:lvlOverride>
    <w:lvlOverride w:ilvl="3">
      <w:lvl w:ilvl="3" w:tentative="1">
        <w:start w:val="1"/>
        <w:numFmt w:val="decimal"/>
        <w:isLgl/>
        <w:lvlText w:val="%1.%2.%3.%4"/>
        <w:lvlJc w:val="left"/>
        <w:pPr>
          <w:ind w:left="3306" w:hanging="1080"/>
        </w:pPr>
        <w:rPr>
          <w:rFonts w:hint="default"/>
        </w:rPr>
      </w:lvl>
    </w:lvlOverride>
    <w:lvlOverride w:ilvl="4">
      <w:lvl w:ilvl="4" w:tentative="1">
        <w:start w:val="1"/>
        <w:numFmt w:val="decimal"/>
        <w:isLgl/>
        <w:lvlText w:val="%1.%2.%3.%4.%5"/>
        <w:lvlJc w:val="left"/>
        <w:pPr>
          <w:ind w:left="4268" w:hanging="1440"/>
        </w:pPr>
        <w:rPr>
          <w:rFonts w:hint="default"/>
        </w:rPr>
      </w:lvl>
    </w:lvlOverride>
    <w:lvlOverride w:ilvl="5">
      <w:lvl w:ilvl="5" w:tentative="1">
        <w:start w:val="1"/>
        <w:numFmt w:val="decimal"/>
        <w:isLgl/>
        <w:lvlText w:val="%1.%2.%3.%4.%5.%6"/>
        <w:lvlJc w:val="left"/>
        <w:pPr>
          <w:ind w:left="5230" w:hanging="1800"/>
        </w:pPr>
        <w:rPr>
          <w:rFonts w:hint="default"/>
        </w:rPr>
      </w:lvl>
    </w:lvlOverride>
    <w:lvlOverride w:ilvl="6">
      <w:lvl w:ilvl="6" w:tentative="1">
        <w:start w:val="1"/>
        <w:numFmt w:val="decimal"/>
        <w:isLgl/>
        <w:lvlText w:val="%1.%2.%3.%4.%5.%6.%7"/>
        <w:lvlJc w:val="left"/>
        <w:pPr>
          <w:ind w:left="6192" w:hanging="2160"/>
        </w:pPr>
        <w:rPr>
          <w:rFonts w:hint="default"/>
        </w:rPr>
      </w:lvl>
    </w:lvlOverride>
    <w:lvlOverride w:ilvl="7">
      <w:lvl w:ilvl="7" w:tentative="1">
        <w:start w:val="1"/>
        <w:numFmt w:val="decimal"/>
        <w:isLgl/>
        <w:lvlText w:val="%1.%2.%3.%4.%5.%6.%7.%8"/>
        <w:lvlJc w:val="left"/>
        <w:pPr>
          <w:ind w:left="7154" w:hanging="2520"/>
        </w:pPr>
        <w:rPr>
          <w:rFonts w:hint="default"/>
        </w:rPr>
      </w:lvl>
    </w:lvlOverride>
    <w:lvlOverride w:ilvl="8">
      <w:lvl w:ilvl="8" w:tentative="1">
        <w:start w:val="1"/>
        <w:numFmt w:val="decimal"/>
        <w:isLgl/>
        <w:lvlText w:val="%1.%2.%3.%4.%5.%6.%7.%8.%9"/>
        <w:lvlJc w:val="left"/>
        <w:pPr>
          <w:ind w:left="8116" w:hanging="2880"/>
        </w:pPr>
        <w:rPr>
          <w:rFonts w:hint="default"/>
        </w:rPr>
      </w:lvl>
    </w:lvlOverride>
  </w:num>
  <w:num w:numId="8">
    <w:abstractNumId w:val="2"/>
    <w:lvlOverride w:ilvl="0">
      <w:lvl w:ilvl="0" w:tentative="1">
        <w:start w:val="1"/>
        <w:numFmt w:val="decimal"/>
        <w:lvlText w:val="%1."/>
        <w:lvlJc w:val="left"/>
        <w:pPr>
          <w:ind w:left="850" w:hanging="425"/>
        </w:pPr>
        <w:rPr>
          <w:rFonts w:hint="default"/>
        </w:rPr>
      </w:lvl>
    </w:lvlOverride>
    <w:lvlOverride w:ilvl="1">
      <w:lvl w:ilvl="1" w:tentative="1">
        <w:start w:val="1"/>
        <w:numFmt w:val="decimal"/>
        <w:isLgl/>
        <w:lvlText w:val="%1.%2"/>
        <w:lvlJc w:val="left"/>
        <w:pPr>
          <w:ind w:left="1134" w:hanging="420"/>
        </w:pPr>
        <w:rPr>
          <w:rFonts w:hint="default"/>
        </w:rPr>
      </w:lvl>
    </w:lvlOverride>
    <w:lvlOverride w:ilvl="2">
      <w:lvl w:ilvl="2" w:tentative="1">
        <w:start w:val="1"/>
        <w:numFmt w:val="decimal"/>
        <w:isLgl/>
        <w:lvlText w:val="%1.%2.%3"/>
        <w:lvlJc w:val="left"/>
        <w:pPr>
          <w:ind w:left="2704" w:hanging="1080"/>
        </w:pPr>
        <w:rPr>
          <w:rFonts w:hint="default"/>
        </w:rPr>
      </w:lvl>
    </w:lvlOverride>
    <w:lvlOverride w:ilvl="3">
      <w:lvl w:ilvl="3" w:tentative="1">
        <w:start w:val="1"/>
        <w:numFmt w:val="decimal"/>
        <w:isLgl/>
        <w:lvlText w:val="%1.%2.%3.%4"/>
        <w:lvlJc w:val="left"/>
        <w:pPr>
          <w:ind w:left="3306" w:hanging="1080"/>
        </w:pPr>
        <w:rPr>
          <w:rFonts w:hint="default"/>
        </w:rPr>
      </w:lvl>
    </w:lvlOverride>
    <w:lvlOverride w:ilvl="4">
      <w:lvl w:ilvl="4" w:tentative="1">
        <w:start w:val="1"/>
        <w:numFmt w:val="decimal"/>
        <w:isLgl/>
        <w:lvlText w:val="%1.%2.%3.%4.%5"/>
        <w:lvlJc w:val="left"/>
        <w:pPr>
          <w:ind w:left="4268" w:hanging="1440"/>
        </w:pPr>
        <w:rPr>
          <w:rFonts w:hint="default"/>
        </w:rPr>
      </w:lvl>
    </w:lvlOverride>
    <w:lvlOverride w:ilvl="5">
      <w:lvl w:ilvl="5" w:tentative="1">
        <w:start w:val="1"/>
        <w:numFmt w:val="decimal"/>
        <w:isLgl/>
        <w:lvlText w:val="%1.%2.%3.%4.%5.%6"/>
        <w:lvlJc w:val="left"/>
        <w:pPr>
          <w:ind w:left="5230" w:hanging="1800"/>
        </w:pPr>
        <w:rPr>
          <w:rFonts w:hint="default"/>
        </w:rPr>
      </w:lvl>
    </w:lvlOverride>
    <w:lvlOverride w:ilvl="6">
      <w:lvl w:ilvl="6" w:tentative="1">
        <w:start w:val="1"/>
        <w:numFmt w:val="decimal"/>
        <w:isLgl/>
        <w:lvlText w:val="%1.%2.%3.%4.%5.%6.%7"/>
        <w:lvlJc w:val="left"/>
        <w:pPr>
          <w:ind w:left="6192" w:hanging="2160"/>
        </w:pPr>
        <w:rPr>
          <w:rFonts w:hint="default"/>
        </w:rPr>
      </w:lvl>
    </w:lvlOverride>
    <w:lvlOverride w:ilvl="7">
      <w:lvl w:ilvl="7" w:tentative="1">
        <w:start w:val="1"/>
        <w:numFmt w:val="decimal"/>
        <w:isLgl/>
        <w:lvlText w:val="%1.%2.%3.%4.%5.%6.%7.%8"/>
        <w:lvlJc w:val="left"/>
        <w:pPr>
          <w:ind w:left="7154" w:hanging="2520"/>
        </w:pPr>
        <w:rPr>
          <w:rFonts w:hint="default"/>
        </w:rPr>
      </w:lvl>
    </w:lvlOverride>
    <w:lvlOverride w:ilvl="8">
      <w:lvl w:ilvl="8" w:tentative="1">
        <w:start w:val="1"/>
        <w:numFmt w:val="decimal"/>
        <w:isLgl/>
        <w:lvlText w:val="%1.%2.%3.%4.%5.%6.%7.%8.%9"/>
        <w:lvlJc w:val="left"/>
        <w:pPr>
          <w:ind w:left="8116" w:hanging="2880"/>
        </w:pPr>
        <w:rPr>
          <w:rFonts w:hint="default"/>
        </w:rPr>
      </w:lvl>
    </w:lvlOverride>
  </w:num>
  <w:num w:numId="9">
    <w:abstractNumId w:val="2"/>
    <w:lvlOverride w:ilvl="0">
      <w:lvl w:ilvl="0" w:tentative="1">
        <w:start w:val="1"/>
        <w:numFmt w:val="decimal"/>
        <w:lvlText w:val="%1."/>
        <w:lvlJc w:val="left"/>
        <w:pPr>
          <w:ind w:left="850" w:hanging="425"/>
        </w:pPr>
        <w:rPr>
          <w:rFonts w:hint="default"/>
        </w:rPr>
      </w:lvl>
    </w:lvlOverride>
    <w:lvlOverride w:ilvl="1">
      <w:lvl w:ilvl="1" w:tentative="1">
        <w:start w:val="1"/>
        <w:numFmt w:val="decimal"/>
        <w:isLgl/>
        <w:lvlText w:val="%1.%2"/>
        <w:lvlJc w:val="left"/>
        <w:pPr>
          <w:ind w:left="1134" w:hanging="420"/>
        </w:pPr>
        <w:rPr>
          <w:rFonts w:hint="default"/>
        </w:rPr>
      </w:lvl>
    </w:lvlOverride>
    <w:lvlOverride w:ilvl="2">
      <w:lvl w:ilvl="2" w:tentative="1">
        <w:start w:val="1"/>
        <w:numFmt w:val="decimal"/>
        <w:isLgl/>
        <w:lvlText w:val="%1.%2.%3"/>
        <w:lvlJc w:val="left"/>
        <w:pPr>
          <w:ind w:left="2704" w:hanging="1080"/>
        </w:pPr>
        <w:rPr>
          <w:rFonts w:hint="default"/>
        </w:rPr>
      </w:lvl>
    </w:lvlOverride>
    <w:lvlOverride w:ilvl="3">
      <w:lvl w:ilvl="3" w:tentative="1">
        <w:start w:val="1"/>
        <w:numFmt w:val="decimal"/>
        <w:isLgl/>
        <w:lvlText w:val="%1.%2.%3.%4"/>
        <w:lvlJc w:val="left"/>
        <w:pPr>
          <w:ind w:left="3306" w:hanging="1080"/>
        </w:pPr>
        <w:rPr>
          <w:rFonts w:hint="default"/>
        </w:rPr>
      </w:lvl>
    </w:lvlOverride>
    <w:lvlOverride w:ilvl="4">
      <w:lvl w:ilvl="4" w:tentative="1">
        <w:start w:val="1"/>
        <w:numFmt w:val="decimal"/>
        <w:isLgl/>
        <w:lvlText w:val="%1.%2.%3.%4.%5"/>
        <w:lvlJc w:val="left"/>
        <w:pPr>
          <w:ind w:left="4268" w:hanging="1440"/>
        </w:pPr>
        <w:rPr>
          <w:rFonts w:hint="default"/>
        </w:rPr>
      </w:lvl>
    </w:lvlOverride>
    <w:lvlOverride w:ilvl="5">
      <w:lvl w:ilvl="5" w:tentative="1">
        <w:start w:val="1"/>
        <w:numFmt w:val="decimal"/>
        <w:isLgl/>
        <w:lvlText w:val="%1.%2.%3.%4.%5.%6"/>
        <w:lvlJc w:val="left"/>
        <w:pPr>
          <w:ind w:left="5230" w:hanging="1800"/>
        </w:pPr>
        <w:rPr>
          <w:rFonts w:hint="default"/>
        </w:rPr>
      </w:lvl>
    </w:lvlOverride>
    <w:lvlOverride w:ilvl="6">
      <w:lvl w:ilvl="6" w:tentative="1">
        <w:start w:val="1"/>
        <w:numFmt w:val="decimal"/>
        <w:isLgl/>
        <w:lvlText w:val="%1.%2.%3.%4.%5.%6.%7"/>
        <w:lvlJc w:val="left"/>
        <w:pPr>
          <w:ind w:left="6192" w:hanging="2160"/>
        </w:pPr>
        <w:rPr>
          <w:rFonts w:hint="default"/>
        </w:rPr>
      </w:lvl>
    </w:lvlOverride>
    <w:lvlOverride w:ilvl="7">
      <w:lvl w:ilvl="7" w:tentative="1">
        <w:start w:val="1"/>
        <w:numFmt w:val="decimal"/>
        <w:isLgl/>
        <w:lvlText w:val="%1.%2.%3.%4.%5.%6.%7.%8"/>
        <w:lvlJc w:val="left"/>
        <w:pPr>
          <w:ind w:left="7154" w:hanging="2520"/>
        </w:pPr>
        <w:rPr>
          <w:rFonts w:hint="default"/>
        </w:rPr>
      </w:lvl>
    </w:lvlOverride>
    <w:lvlOverride w:ilvl="8">
      <w:lvl w:ilvl="8" w:tentative="1">
        <w:start w:val="1"/>
        <w:numFmt w:val="decimal"/>
        <w:isLgl/>
        <w:lvlText w:val="%1.%2.%3.%4.%5.%6.%7.%8.%9"/>
        <w:lvlJc w:val="left"/>
        <w:pPr>
          <w:ind w:left="8116" w:hanging="2880"/>
        </w:pPr>
        <w:rPr>
          <w:rFonts w:hint="default"/>
        </w:rPr>
      </w:lvl>
    </w:lvlOverride>
  </w:num>
  <w:num w:numId="10">
    <w:abstractNumId w:val="2"/>
    <w:lvlOverride w:ilvl="0">
      <w:lvl w:ilvl="0" w:tentative="1">
        <w:start w:val="1"/>
        <w:numFmt w:val="decimal"/>
        <w:lvlText w:val="%1."/>
        <w:lvlJc w:val="left"/>
        <w:pPr>
          <w:ind w:left="850" w:hanging="425"/>
        </w:pPr>
        <w:rPr>
          <w:rFonts w:hint="default"/>
        </w:rPr>
      </w:lvl>
    </w:lvlOverride>
    <w:lvlOverride w:ilvl="1">
      <w:lvl w:ilvl="1" w:tentative="1">
        <w:start w:val="1"/>
        <w:numFmt w:val="decimal"/>
        <w:isLgl/>
        <w:lvlText w:val="%1.%2"/>
        <w:lvlJc w:val="left"/>
        <w:pPr>
          <w:ind w:left="1134" w:hanging="420"/>
        </w:pPr>
        <w:rPr>
          <w:rFonts w:hint="default"/>
        </w:rPr>
      </w:lvl>
    </w:lvlOverride>
    <w:lvlOverride w:ilvl="2">
      <w:lvl w:ilvl="2" w:tentative="1">
        <w:start w:val="1"/>
        <w:numFmt w:val="decimal"/>
        <w:isLgl/>
        <w:lvlText w:val="%1.%2.%3"/>
        <w:lvlJc w:val="left"/>
        <w:pPr>
          <w:ind w:left="2704" w:hanging="1080"/>
        </w:pPr>
        <w:rPr>
          <w:rFonts w:hint="default"/>
        </w:rPr>
      </w:lvl>
    </w:lvlOverride>
    <w:lvlOverride w:ilvl="3">
      <w:lvl w:ilvl="3" w:tentative="1">
        <w:start w:val="1"/>
        <w:numFmt w:val="decimal"/>
        <w:isLgl/>
        <w:lvlText w:val="%1.%2.%3.%4"/>
        <w:lvlJc w:val="left"/>
        <w:pPr>
          <w:ind w:left="3306" w:hanging="1080"/>
        </w:pPr>
        <w:rPr>
          <w:rFonts w:hint="default"/>
        </w:rPr>
      </w:lvl>
    </w:lvlOverride>
    <w:lvlOverride w:ilvl="4">
      <w:lvl w:ilvl="4" w:tentative="1">
        <w:start w:val="1"/>
        <w:numFmt w:val="decimal"/>
        <w:isLgl/>
        <w:lvlText w:val="%1.%2.%3.%4.%5"/>
        <w:lvlJc w:val="left"/>
        <w:pPr>
          <w:ind w:left="4268" w:hanging="1440"/>
        </w:pPr>
        <w:rPr>
          <w:rFonts w:hint="default"/>
        </w:rPr>
      </w:lvl>
    </w:lvlOverride>
    <w:lvlOverride w:ilvl="5">
      <w:lvl w:ilvl="5" w:tentative="1">
        <w:start w:val="1"/>
        <w:numFmt w:val="decimal"/>
        <w:isLgl/>
        <w:lvlText w:val="%1.%2.%3.%4.%5.%6"/>
        <w:lvlJc w:val="left"/>
        <w:pPr>
          <w:ind w:left="5230" w:hanging="1800"/>
        </w:pPr>
        <w:rPr>
          <w:rFonts w:hint="default"/>
        </w:rPr>
      </w:lvl>
    </w:lvlOverride>
    <w:lvlOverride w:ilvl="6">
      <w:lvl w:ilvl="6" w:tentative="1">
        <w:start w:val="1"/>
        <w:numFmt w:val="decimal"/>
        <w:isLgl/>
        <w:lvlText w:val="%1.%2.%3.%4.%5.%6.%7"/>
        <w:lvlJc w:val="left"/>
        <w:pPr>
          <w:ind w:left="6192" w:hanging="2160"/>
        </w:pPr>
        <w:rPr>
          <w:rFonts w:hint="default"/>
        </w:rPr>
      </w:lvl>
    </w:lvlOverride>
    <w:lvlOverride w:ilvl="7">
      <w:lvl w:ilvl="7" w:tentative="1">
        <w:start w:val="1"/>
        <w:numFmt w:val="decimal"/>
        <w:isLgl/>
        <w:lvlText w:val="%1.%2.%3.%4.%5.%6.%7.%8"/>
        <w:lvlJc w:val="left"/>
        <w:pPr>
          <w:ind w:left="7154" w:hanging="2520"/>
        </w:pPr>
        <w:rPr>
          <w:rFonts w:hint="default"/>
        </w:rPr>
      </w:lvl>
    </w:lvlOverride>
    <w:lvlOverride w:ilvl="8">
      <w:lvl w:ilvl="8" w:tentative="1">
        <w:start w:val="1"/>
        <w:numFmt w:val="decimal"/>
        <w:isLgl/>
        <w:lvlText w:val="%1.%2.%3.%4.%5.%6.%7.%8.%9"/>
        <w:lvlJc w:val="left"/>
        <w:pPr>
          <w:ind w:left="8116" w:hanging="2880"/>
        </w:pPr>
        <w:rPr>
          <w:rFonts w:hint="default"/>
        </w:rPr>
      </w:lvl>
    </w:lvlOverride>
  </w:num>
  <w:num w:numId="11">
    <w:abstractNumId w:val="2"/>
    <w:lvlOverride w:ilvl="0">
      <w:lvl w:ilvl="0" w:tentative="1">
        <w:start w:val="1"/>
        <w:numFmt w:val="decimal"/>
        <w:lvlText w:val="%1."/>
        <w:lvlJc w:val="left"/>
        <w:pPr>
          <w:ind w:left="850" w:hanging="425"/>
        </w:pPr>
        <w:rPr>
          <w:rFonts w:hint="default"/>
        </w:rPr>
      </w:lvl>
    </w:lvlOverride>
    <w:lvlOverride w:ilvl="1">
      <w:lvl w:ilvl="1" w:tentative="1">
        <w:start w:val="1"/>
        <w:numFmt w:val="decimal"/>
        <w:isLgl/>
        <w:lvlText w:val="%1.%2"/>
        <w:lvlJc w:val="left"/>
        <w:pPr>
          <w:ind w:left="1134" w:hanging="420"/>
        </w:pPr>
        <w:rPr>
          <w:rFonts w:hint="default"/>
        </w:rPr>
      </w:lvl>
    </w:lvlOverride>
    <w:lvlOverride w:ilvl="2">
      <w:lvl w:ilvl="2" w:tentative="1">
        <w:start w:val="1"/>
        <w:numFmt w:val="decimal"/>
        <w:isLgl/>
        <w:lvlText w:val="%1.%2.%3"/>
        <w:lvlJc w:val="left"/>
        <w:pPr>
          <w:ind w:left="2704" w:hanging="1080"/>
        </w:pPr>
        <w:rPr>
          <w:rFonts w:hint="default"/>
        </w:rPr>
      </w:lvl>
    </w:lvlOverride>
    <w:lvlOverride w:ilvl="3">
      <w:lvl w:ilvl="3" w:tentative="1">
        <w:start w:val="1"/>
        <w:numFmt w:val="decimal"/>
        <w:isLgl/>
        <w:lvlText w:val="%1.%2.%3.%4"/>
        <w:lvlJc w:val="left"/>
        <w:pPr>
          <w:ind w:left="3306" w:hanging="1080"/>
        </w:pPr>
        <w:rPr>
          <w:rFonts w:hint="default"/>
        </w:rPr>
      </w:lvl>
    </w:lvlOverride>
    <w:lvlOverride w:ilvl="4">
      <w:lvl w:ilvl="4" w:tentative="1">
        <w:start w:val="1"/>
        <w:numFmt w:val="decimal"/>
        <w:isLgl/>
        <w:lvlText w:val="%1.%2.%3.%4.%5"/>
        <w:lvlJc w:val="left"/>
        <w:pPr>
          <w:ind w:left="4268" w:hanging="1440"/>
        </w:pPr>
        <w:rPr>
          <w:rFonts w:hint="default"/>
        </w:rPr>
      </w:lvl>
    </w:lvlOverride>
    <w:lvlOverride w:ilvl="5">
      <w:lvl w:ilvl="5" w:tentative="1">
        <w:start w:val="1"/>
        <w:numFmt w:val="decimal"/>
        <w:isLgl/>
        <w:lvlText w:val="%1.%2.%3.%4.%5.%6"/>
        <w:lvlJc w:val="left"/>
        <w:pPr>
          <w:ind w:left="5230" w:hanging="1800"/>
        </w:pPr>
        <w:rPr>
          <w:rFonts w:hint="default"/>
        </w:rPr>
      </w:lvl>
    </w:lvlOverride>
    <w:lvlOverride w:ilvl="6">
      <w:lvl w:ilvl="6" w:tentative="1">
        <w:start w:val="1"/>
        <w:numFmt w:val="decimal"/>
        <w:isLgl/>
        <w:lvlText w:val="%1.%2.%3.%4.%5.%6.%7"/>
        <w:lvlJc w:val="left"/>
        <w:pPr>
          <w:ind w:left="6192" w:hanging="2160"/>
        </w:pPr>
        <w:rPr>
          <w:rFonts w:hint="default"/>
        </w:rPr>
      </w:lvl>
    </w:lvlOverride>
    <w:lvlOverride w:ilvl="7">
      <w:lvl w:ilvl="7" w:tentative="1">
        <w:start w:val="1"/>
        <w:numFmt w:val="decimal"/>
        <w:isLgl/>
        <w:lvlText w:val="%1.%2.%3.%4.%5.%6.%7.%8"/>
        <w:lvlJc w:val="left"/>
        <w:pPr>
          <w:ind w:left="7154" w:hanging="2520"/>
        </w:pPr>
        <w:rPr>
          <w:rFonts w:hint="default"/>
        </w:rPr>
      </w:lvl>
    </w:lvlOverride>
    <w:lvlOverride w:ilvl="8">
      <w:lvl w:ilvl="8" w:tentative="1">
        <w:start w:val="1"/>
        <w:numFmt w:val="decimal"/>
        <w:isLgl/>
        <w:lvlText w:val="%1.%2.%3.%4.%5.%6.%7.%8.%9"/>
        <w:lvlJc w:val="left"/>
        <w:pPr>
          <w:ind w:left="8116" w:hanging="2880"/>
        </w:pPr>
        <w:rPr>
          <w:rFonts w:hint="default"/>
        </w:rPr>
      </w:lvl>
    </w:lvlOverride>
  </w:num>
  <w:num w:numId="12">
    <w:abstractNumId w:val="2"/>
    <w:lvlOverride w:ilvl="0">
      <w:lvl w:ilvl="0" w:tentative="1">
        <w:start w:val="1"/>
        <w:numFmt w:val="decimal"/>
        <w:lvlText w:val="%1."/>
        <w:lvlJc w:val="left"/>
        <w:pPr>
          <w:ind w:left="850" w:hanging="425"/>
        </w:pPr>
        <w:rPr>
          <w:rFonts w:hint="default"/>
        </w:rPr>
      </w:lvl>
    </w:lvlOverride>
    <w:lvlOverride w:ilvl="1">
      <w:lvl w:ilvl="1" w:tentative="1">
        <w:start w:val="1"/>
        <w:numFmt w:val="decimal"/>
        <w:isLgl/>
        <w:lvlText w:val="%1.%2"/>
        <w:lvlJc w:val="left"/>
        <w:pPr>
          <w:ind w:left="1134" w:hanging="420"/>
        </w:pPr>
        <w:rPr>
          <w:rFonts w:hint="default"/>
        </w:rPr>
      </w:lvl>
    </w:lvlOverride>
    <w:lvlOverride w:ilvl="2">
      <w:lvl w:ilvl="2" w:tentative="1">
        <w:start w:val="1"/>
        <w:numFmt w:val="decimal"/>
        <w:isLgl/>
        <w:lvlText w:val="%1.%2.%3"/>
        <w:lvlJc w:val="left"/>
        <w:pPr>
          <w:ind w:left="2704" w:hanging="1080"/>
        </w:pPr>
        <w:rPr>
          <w:rFonts w:hint="default"/>
        </w:rPr>
      </w:lvl>
    </w:lvlOverride>
    <w:lvlOverride w:ilvl="3">
      <w:lvl w:ilvl="3" w:tentative="1">
        <w:start w:val="1"/>
        <w:numFmt w:val="decimal"/>
        <w:isLgl/>
        <w:lvlText w:val="%1.%2.%3.%4"/>
        <w:lvlJc w:val="left"/>
        <w:pPr>
          <w:ind w:left="3306" w:hanging="1080"/>
        </w:pPr>
        <w:rPr>
          <w:rFonts w:hint="default"/>
        </w:rPr>
      </w:lvl>
    </w:lvlOverride>
    <w:lvlOverride w:ilvl="4">
      <w:lvl w:ilvl="4" w:tentative="1">
        <w:start w:val="1"/>
        <w:numFmt w:val="decimal"/>
        <w:isLgl/>
        <w:lvlText w:val="%1.%2.%3.%4.%5"/>
        <w:lvlJc w:val="left"/>
        <w:pPr>
          <w:ind w:left="4268" w:hanging="1440"/>
        </w:pPr>
        <w:rPr>
          <w:rFonts w:hint="default"/>
        </w:rPr>
      </w:lvl>
    </w:lvlOverride>
    <w:lvlOverride w:ilvl="5">
      <w:lvl w:ilvl="5" w:tentative="1">
        <w:start w:val="1"/>
        <w:numFmt w:val="decimal"/>
        <w:isLgl/>
        <w:lvlText w:val="%1.%2.%3.%4.%5.%6"/>
        <w:lvlJc w:val="left"/>
        <w:pPr>
          <w:ind w:left="5230" w:hanging="1800"/>
        </w:pPr>
        <w:rPr>
          <w:rFonts w:hint="default"/>
        </w:rPr>
      </w:lvl>
    </w:lvlOverride>
    <w:lvlOverride w:ilvl="6">
      <w:lvl w:ilvl="6" w:tentative="1">
        <w:start w:val="1"/>
        <w:numFmt w:val="decimal"/>
        <w:isLgl/>
        <w:lvlText w:val="%1.%2.%3.%4.%5.%6.%7"/>
        <w:lvlJc w:val="left"/>
        <w:pPr>
          <w:ind w:left="6192" w:hanging="2160"/>
        </w:pPr>
        <w:rPr>
          <w:rFonts w:hint="default"/>
        </w:rPr>
      </w:lvl>
    </w:lvlOverride>
    <w:lvlOverride w:ilvl="7">
      <w:lvl w:ilvl="7" w:tentative="1">
        <w:start w:val="1"/>
        <w:numFmt w:val="decimal"/>
        <w:isLgl/>
        <w:lvlText w:val="%1.%2.%3.%4.%5.%6.%7.%8"/>
        <w:lvlJc w:val="left"/>
        <w:pPr>
          <w:ind w:left="7154" w:hanging="2520"/>
        </w:pPr>
        <w:rPr>
          <w:rFonts w:hint="default"/>
        </w:rPr>
      </w:lvl>
    </w:lvlOverride>
    <w:lvlOverride w:ilvl="8">
      <w:lvl w:ilvl="8" w:tentative="1">
        <w:start w:val="1"/>
        <w:numFmt w:val="decimal"/>
        <w:isLgl/>
        <w:lvlText w:val="%1.%2.%3.%4.%5.%6.%7.%8.%9"/>
        <w:lvlJc w:val="left"/>
        <w:pPr>
          <w:ind w:left="8116" w:hanging="2880"/>
        </w:pPr>
        <w:rPr>
          <w:rFonts w:hint="default"/>
        </w:rPr>
      </w:lvl>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 w:ilvl="0" w:tentative="1">
        <w:start w:val="1"/>
        <w:numFmt w:val="decimal"/>
        <w:lvlText w:val="%1."/>
        <w:lvlJc w:val="left"/>
        <w:pPr>
          <w:ind w:left="850" w:hanging="425"/>
        </w:pPr>
        <w:rPr>
          <w:rFonts w:hint="default"/>
        </w:rPr>
      </w:lvl>
    </w:lvlOverride>
    <w:lvlOverride w:ilvl="1">
      <w:lvl w:ilvl="1" w:tentative="1">
        <w:start w:val="1"/>
        <w:numFmt w:val="decimal"/>
        <w:isLgl/>
        <w:lvlText w:val="%1.%2"/>
        <w:lvlJc w:val="left"/>
        <w:pPr>
          <w:ind w:left="1134" w:hanging="420"/>
        </w:pPr>
        <w:rPr>
          <w:rFonts w:hint="default"/>
        </w:rPr>
      </w:lvl>
    </w:lvlOverride>
    <w:lvlOverride w:ilvl="2">
      <w:lvl w:ilvl="2" w:tentative="1">
        <w:start w:val="1"/>
        <w:numFmt w:val="decimal"/>
        <w:isLgl/>
        <w:lvlText w:val="%1.%2.%3"/>
        <w:lvlJc w:val="left"/>
        <w:pPr>
          <w:ind w:left="2704" w:hanging="1080"/>
        </w:pPr>
        <w:rPr>
          <w:rFonts w:hint="default"/>
        </w:rPr>
      </w:lvl>
    </w:lvlOverride>
    <w:lvlOverride w:ilvl="3">
      <w:lvl w:ilvl="3" w:tentative="1">
        <w:start w:val="1"/>
        <w:numFmt w:val="decimal"/>
        <w:isLgl/>
        <w:lvlText w:val="%1.%2.%3.%4"/>
        <w:lvlJc w:val="left"/>
        <w:pPr>
          <w:ind w:left="3306" w:hanging="1080"/>
        </w:pPr>
        <w:rPr>
          <w:rFonts w:hint="default"/>
        </w:rPr>
      </w:lvl>
    </w:lvlOverride>
    <w:lvlOverride w:ilvl="4">
      <w:lvl w:ilvl="4" w:tentative="1">
        <w:start w:val="1"/>
        <w:numFmt w:val="decimal"/>
        <w:isLgl/>
        <w:lvlText w:val="%1.%2.%3.%4.%5"/>
        <w:lvlJc w:val="left"/>
        <w:pPr>
          <w:ind w:left="4268" w:hanging="1440"/>
        </w:pPr>
        <w:rPr>
          <w:rFonts w:hint="default"/>
        </w:rPr>
      </w:lvl>
    </w:lvlOverride>
    <w:lvlOverride w:ilvl="5">
      <w:lvl w:ilvl="5" w:tentative="1">
        <w:start w:val="1"/>
        <w:numFmt w:val="decimal"/>
        <w:isLgl/>
        <w:lvlText w:val="%1.%2.%3.%4.%5.%6"/>
        <w:lvlJc w:val="left"/>
        <w:pPr>
          <w:ind w:left="5230" w:hanging="1800"/>
        </w:pPr>
        <w:rPr>
          <w:rFonts w:hint="default"/>
        </w:rPr>
      </w:lvl>
    </w:lvlOverride>
    <w:lvlOverride w:ilvl="6">
      <w:lvl w:ilvl="6" w:tentative="1">
        <w:start w:val="1"/>
        <w:numFmt w:val="decimal"/>
        <w:isLgl/>
        <w:lvlText w:val="%1.%2.%3.%4.%5.%6.%7"/>
        <w:lvlJc w:val="left"/>
        <w:pPr>
          <w:ind w:left="6192" w:hanging="2160"/>
        </w:pPr>
        <w:rPr>
          <w:rFonts w:hint="default"/>
        </w:rPr>
      </w:lvl>
    </w:lvlOverride>
    <w:lvlOverride w:ilvl="7">
      <w:lvl w:ilvl="7" w:tentative="1">
        <w:start w:val="1"/>
        <w:numFmt w:val="decimal"/>
        <w:isLgl/>
        <w:lvlText w:val="%1.%2.%3.%4.%5.%6.%7.%8"/>
        <w:lvlJc w:val="left"/>
        <w:pPr>
          <w:ind w:left="7154" w:hanging="2520"/>
        </w:pPr>
        <w:rPr>
          <w:rFonts w:hint="default"/>
        </w:rPr>
      </w:lvl>
    </w:lvlOverride>
    <w:lvlOverride w:ilvl="8">
      <w:lvl w:ilvl="8" w:tentative="1">
        <w:start w:val="1"/>
        <w:numFmt w:val="decimal"/>
        <w:isLgl/>
        <w:lvlText w:val="%1.%2.%3.%4.%5.%6.%7.%8.%9"/>
        <w:lvlJc w:val="left"/>
        <w:pPr>
          <w:ind w:left="8116" w:hanging="2880"/>
        </w:pPr>
        <w:rPr>
          <w:rFonts w:hint="default"/>
        </w:rPr>
      </w:lvl>
    </w:lvlOverride>
  </w:num>
  <w:num w:numId="16">
    <w:abstractNumId w:val="2"/>
    <w:lvlOverride w:ilvl="0">
      <w:lvl w:ilvl="0" w:tentative="1">
        <w:start w:val="1"/>
        <w:numFmt w:val="decimal"/>
        <w:lvlText w:val="%1."/>
        <w:lvlJc w:val="left"/>
        <w:pPr>
          <w:ind w:left="850" w:hanging="425"/>
        </w:pPr>
        <w:rPr>
          <w:rFonts w:hint="default"/>
        </w:rPr>
      </w:lvl>
    </w:lvlOverride>
    <w:lvlOverride w:ilvl="1">
      <w:lvl w:ilvl="1" w:tentative="1">
        <w:start w:val="1"/>
        <w:numFmt w:val="decimal"/>
        <w:isLgl/>
        <w:lvlText w:val="%1.%2"/>
        <w:lvlJc w:val="left"/>
        <w:pPr>
          <w:ind w:left="1134" w:hanging="420"/>
        </w:pPr>
        <w:rPr>
          <w:rFonts w:hint="default"/>
        </w:rPr>
      </w:lvl>
    </w:lvlOverride>
    <w:lvlOverride w:ilvl="2">
      <w:lvl w:ilvl="2" w:tentative="1">
        <w:start w:val="1"/>
        <w:numFmt w:val="decimal"/>
        <w:isLgl/>
        <w:lvlText w:val="%1.%2.%3"/>
        <w:lvlJc w:val="left"/>
        <w:pPr>
          <w:ind w:left="2704" w:hanging="1080"/>
        </w:pPr>
        <w:rPr>
          <w:rFonts w:hint="default"/>
        </w:rPr>
      </w:lvl>
    </w:lvlOverride>
    <w:lvlOverride w:ilvl="3">
      <w:lvl w:ilvl="3" w:tentative="1">
        <w:start w:val="1"/>
        <w:numFmt w:val="decimal"/>
        <w:isLgl/>
        <w:lvlText w:val="%1.%2.%3.%4"/>
        <w:lvlJc w:val="left"/>
        <w:pPr>
          <w:ind w:left="3306" w:hanging="1080"/>
        </w:pPr>
        <w:rPr>
          <w:rFonts w:hint="default"/>
        </w:rPr>
      </w:lvl>
    </w:lvlOverride>
    <w:lvlOverride w:ilvl="4">
      <w:lvl w:ilvl="4" w:tentative="1">
        <w:start w:val="1"/>
        <w:numFmt w:val="decimal"/>
        <w:isLgl/>
        <w:lvlText w:val="%1.%2.%3.%4.%5"/>
        <w:lvlJc w:val="left"/>
        <w:pPr>
          <w:ind w:left="4268" w:hanging="1440"/>
        </w:pPr>
        <w:rPr>
          <w:rFonts w:hint="default"/>
        </w:rPr>
      </w:lvl>
    </w:lvlOverride>
    <w:lvlOverride w:ilvl="5">
      <w:lvl w:ilvl="5" w:tentative="1">
        <w:start w:val="1"/>
        <w:numFmt w:val="decimal"/>
        <w:isLgl/>
        <w:lvlText w:val="%1.%2.%3.%4.%5.%6"/>
        <w:lvlJc w:val="left"/>
        <w:pPr>
          <w:ind w:left="5230" w:hanging="1800"/>
        </w:pPr>
        <w:rPr>
          <w:rFonts w:hint="default"/>
        </w:rPr>
      </w:lvl>
    </w:lvlOverride>
    <w:lvlOverride w:ilvl="6">
      <w:lvl w:ilvl="6" w:tentative="1">
        <w:start w:val="1"/>
        <w:numFmt w:val="decimal"/>
        <w:isLgl/>
        <w:lvlText w:val="%1.%2.%3.%4.%5.%6.%7"/>
        <w:lvlJc w:val="left"/>
        <w:pPr>
          <w:ind w:left="6192" w:hanging="2160"/>
        </w:pPr>
        <w:rPr>
          <w:rFonts w:hint="default"/>
        </w:rPr>
      </w:lvl>
    </w:lvlOverride>
    <w:lvlOverride w:ilvl="7">
      <w:lvl w:ilvl="7" w:tentative="1">
        <w:start w:val="1"/>
        <w:numFmt w:val="decimal"/>
        <w:isLgl/>
        <w:lvlText w:val="%1.%2.%3.%4.%5.%6.%7.%8"/>
        <w:lvlJc w:val="left"/>
        <w:pPr>
          <w:ind w:left="7154" w:hanging="2520"/>
        </w:pPr>
        <w:rPr>
          <w:rFonts w:hint="default"/>
        </w:rPr>
      </w:lvl>
    </w:lvlOverride>
    <w:lvlOverride w:ilvl="8">
      <w:lvl w:ilvl="8" w:tentative="1">
        <w:start w:val="1"/>
        <w:numFmt w:val="decimal"/>
        <w:isLgl/>
        <w:lvlText w:val="%1.%2.%3.%4.%5.%6.%7.%8.%9"/>
        <w:lvlJc w:val="left"/>
        <w:pPr>
          <w:ind w:left="8116" w:hanging="2880"/>
        </w:pPr>
        <w:rPr>
          <w:rFonts w:hint="default"/>
        </w:rPr>
      </w:lvl>
    </w:lvlOverride>
  </w:num>
  <w:num w:numId="17">
    <w:abstractNumId w:val="2"/>
    <w:lvlOverride w:ilvl="0">
      <w:lvl w:ilvl="0" w:tentative="1">
        <w:start w:val="1"/>
        <w:numFmt w:val="decimal"/>
        <w:lvlText w:val="%1."/>
        <w:lvlJc w:val="left"/>
        <w:pPr>
          <w:ind w:left="850" w:hanging="425"/>
        </w:pPr>
        <w:rPr>
          <w:rFonts w:hint="default"/>
        </w:rPr>
      </w:lvl>
    </w:lvlOverride>
    <w:lvlOverride w:ilvl="1">
      <w:lvl w:ilvl="1" w:tentative="1">
        <w:start w:val="1"/>
        <w:numFmt w:val="decimal"/>
        <w:isLgl/>
        <w:lvlText w:val="%1.%2"/>
        <w:lvlJc w:val="left"/>
        <w:pPr>
          <w:ind w:left="1134" w:hanging="420"/>
        </w:pPr>
        <w:rPr>
          <w:rFonts w:hint="default"/>
        </w:rPr>
      </w:lvl>
    </w:lvlOverride>
    <w:lvlOverride w:ilvl="2">
      <w:lvl w:ilvl="2" w:tentative="1">
        <w:start w:val="1"/>
        <w:numFmt w:val="decimal"/>
        <w:isLgl/>
        <w:lvlText w:val="%1.%2.%3"/>
        <w:lvlJc w:val="left"/>
        <w:pPr>
          <w:ind w:left="2704" w:hanging="1080"/>
        </w:pPr>
        <w:rPr>
          <w:rFonts w:hint="default"/>
        </w:rPr>
      </w:lvl>
    </w:lvlOverride>
    <w:lvlOverride w:ilvl="3">
      <w:lvl w:ilvl="3" w:tentative="1">
        <w:start w:val="1"/>
        <w:numFmt w:val="decimal"/>
        <w:isLgl/>
        <w:lvlText w:val="%1.%2.%3.%4"/>
        <w:lvlJc w:val="left"/>
        <w:pPr>
          <w:ind w:left="3306" w:hanging="1080"/>
        </w:pPr>
        <w:rPr>
          <w:rFonts w:hint="default"/>
        </w:rPr>
      </w:lvl>
    </w:lvlOverride>
    <w:lvlOverride w:ilvl="4">
      <w:lvl w:ilvl="4" w:tentative="1">
        <w:start w:val="1"/>
        <w:numFmt w:val="decimal"/>
        <w:isLgl/>
        <w:lvlText w:val="%1.%2.%3.%4.%5"/>
        <w:lvlJc w:val="left"/>
        <w:pPr>
          <w:ind w:left="4268" w:hanging="1440"/>
        </w:pPr>
        <w:rPr>
          <w:rFonts w:hint="default"/>
        </w:rPr>
      </w:lvl>
    </w:lvlOverride>
    <w:lvlOverride w:ilvl="5">
      <w:lvl w:ilvl="5" w:tentative="1">
        <w:start w:val="1"/>
        <w:numFmt w:val="decimal"/>
        <w:isLgl/>
        <w:lvlText w:val="%1.%2.%3.%4.%5.%6"/>
        <w:lvlJc w:val="left"/>
        <w:pPr>
          <w:ind w:left="5230" w:hanging="1800"/>
        </w:pPr>
        <w:rPr>
          <w:rFonts w:hint="default"/>
        </w:rPr>
      </w:lvl>
    </w:lvlOverride>
    <w:lvlOverride w:ilvl="6">
      <w:lvl w:ilvl="6" w:tentative="1">
        <w:start w:val="1"/>
        <w:numFmt w:val="decimal"/>
        <w:isLgl/>
        <w:lvlText w:val="%1.%2.%3.%4.%5.%6.%7"/>
        <w:lvlJc w:val="left"/>
        <w:pPr>
          <w:ind w:left="6192" w:hanging="2160"/>
        </w:pPr>
        <w:rPr>
          <w:rFonts w:hint="default"/>
        </w:rPr>
      </w:lvl>
    </w:lvlOverride>
    <w:lvlOverride w:ilvl="7">
      <w:lvl w:ilvl="7" w:tentative="1">
        <w:start w:val="1"/>
        <w:numFmt w:val="decimal"/>
        <w:isLgl/>
        <w:lvlText w:val="%1.%2.%3.%4.%5.%6.%7.%8"/>
        <w:lvlJc w:val="left"/>
        <w:pPr>
          <w:ind w:left="7154" w:hanging="2520"/>
        </w:pPr>
        <w:rPr>
          <w:rFonts w:hint="default"/>
        </w:rPr>
      </w:lvl>
    </w:lvlOverride>
    <w:lvlOverride w:ilvl="8">
      <w:lvl w:ilvl="8" w:tentative="1">
        <w:start w:val="1"/>
        <w:numFmt w:val="decimal"/>
        <w:isLgl/>
        <w:lvlText w:val="%1.%2.%3.%4.%5.%6.%7.%8.%9"/>
        <w:lvlJc w:val="left"/>
        <w:pPr>
          <w:ind w:left="8116" w:hanging="2880"/>
        </w:pPr>
        <w:rPr>
          <w:rFonts w:hint="default"/>
        </w:rPr>
      </w:lvl>
    </w:lvlOverride>
  </w:num>
  <w:num w:numId="18">
    <w:abstractNumId w:val="2"/>
    <w:lvlOverride w:ilvl="0">
      <w:lvl w:ilvl="0" w:tentative="1">
        <w:start w:val="1"/>
        <w:numFmt w:val="decimal"/>
        <w:lvlText w:val="%1."/>
        <w:lvlJc w:val="left"/>
        <w:pPr>
          <w:ind w:left="850" w:hanging="425"/>
        </w:pPr>
        <w:rPr>
          <w:rFonts w:hint="default"/>
        </w:rPr>
      </w:lvl>
    </w:lvlOverride>
    <w:lvlOverride w:ilvl="1">
      <w:lvl w:ilvl="1" w:tentative="1">
        <w:start w:val="1"/>
        <w:numFmt w:val="decimal"/>
        <w:isLgl/>
        <w:lvlText w:val="%1.%2"/>
        <w:lvlJc w:val="left"/>
        <w:pPr>
          <w:ind w:left="1134" w:hanging="420"/>
        </w:pPr>
        <w:rPr>
          <w:rFonts w:hint="default"/>
        </w:rPr>
      </w:lvl>
    </w:lvlOverride>
    <w:lvlOverride w:ilvl="2">
      <w:lvl w:ilvl="2" w:tentative="1">
        <w:start w:val="1"/>
        <w:numFmt w:val="decimal"/>
        <w:isLgl/>
        <w:lvlText w:val="%1.%2.%3"/>
        <w:lvlJc w:val="left"/>
        <w:pPr>
          <w:ind w:left="2704" w:hanging="1080"/>
        </w:pPr>
        <w:rPr>
          <w:rFonts w:hint="default"/>
        </w:rPr>
      </w:lvl>
    </w:lvlOverride>
    <w:lvlOverride w:ilvl="3">
      <w:lvl w:ilvl="3" w:tentative="1">
        <w:start w:val="1"/>
        <w:numFmt w:val="decimal"/>
        <w:isLgl/>
        <w:lvlText w:val="%1.%2.%3.%4"/>
        <w:lvlJc w:val="left"/>
        <w:pPr>
          <w:ind w:left="3306" w:hanging="1080"/>
        </w:pPr>
        <w:rPr>
          <w:rFonts w:hint="default"/>
        </w:rPr>
      </w:lvl>
    </w:lvlOverride>
    <w:lvlOverride w:ilvl="4">
      <w:lvl w:ilvl="4" w:tentative="1">
        <w:start w:val="1"/>
        <w:numFmt w:val="decimal"/>
        <w:isLgl/>
        <w:lvlText w:val="%1.%2.%3.%4.%5"/>
        <w:lvlJc w:val="left"/>
        <w:pPr>
          <w:ind w:left="4268" w:hanging="1440"/>
        </w:pPr>
        <w:rPr>
          <w:rFonts w:hint="default"/>
        </w:rPr>
      </w:lvl>
    </w:lvlOverride>
    <w:lvlOverride w:ilvl="5">
      <w:lvl w:ilvl="5" w:tentative="1">
        <w:start w:val="1"/>
        <w:numFmt w:val="decimal"/>
        <w:isLgl/>
        <w:lvlText w:val="%1.%2.%3.%4.%5.%6"/>
        <w:lvlJc w:val="left"/>
        <w:pPr>
          <w:ind w:left="5230" w:hanging="1800"/>
        </w:pPr>
        <w:rPr>
          <w:rFonts w:hint="default"/>
        </w:rPr>
      </w:lvl>
    </w:lvlOverride>
    <w:lvlOverride w:ilvl="6">
      <w:lvl w:ilvl="6" w:tentative="1">
        <w:start w:val="1"/>
        <w:numFmt w:val="decimal"/>
        <w:isLgl/>
        <w:lvlText w:val="%1.%2.%3.%4.%5.%6.%7"/>
        <w:lvlJc w:val="left"/>
        <w:pPr>
          <w:ind w:left="6192" w:hanging="2160"/>
        </w:pPr>
        <w:rPr>
          <w:rFonts w:hint="default"/>
        </w:rPr>
      </w:lvl>
    </w:lvlOverride>
    <w:lvlOverride w:ilvl="7">
      <w:lvl w:ilvl="7" w:tentative="1">
        <w:start w:val="1"/>
        <w:numFmt w:val="decimal"/>
        <w:isLgl/>
        <w:lvlText w:val="%1.%2.%3.%4.%5.%6.%7.%8"/>
        <w:lvlJc w:val="left"/>
        <w:pPr>
          <w:ind w:left="7154" w:hanging="2520"/>
        </w:pPr>
        <w:rPr>
          <w:rFonts w:hint="default"/>
        </w:rPr>
      </w:lvl>
    </w:lvlOverride>
    <w:lvlOverride w:ilvl="8">
      <w:lvl w:ilvl="8" w:tentative="1">
        <w:start w:val="1"/>
        <w:numFmt w:val="decimal"/>
        <w:isLgl/>
        <w:lvlText w:val="%1.%2.%3.%4.%5.%6.%7.%8.%9"/>
        <w:lvlJc w:val="left"/>
        <w:pPr>
          <w:ind w:left="8116" w:hanging="2880"/>
        </w:pPr>
        <w:rPr>
          <w:rFonts w:hint="default"/>
        </w:rPr>
      </w:lvl>
    </w:lvlOverride>
  </w:num>
  <w:num w:numId="19">
    <w:abstractNumId w:val="2"/>
    <w:lvlOverride w:ilvl="0">
      <w:lvl w:ilvl="0" w:tentative="1">
        <w:start w:val="1"/>
        <w:numFmt w:val="decimal"/>
        <w:lvlText w:val="%1."/>
        <w:lvlJc w:val="left"/>
        <w:pPr>
          <w:ind w:left="850" w:hanging="425"/>
        </w:pPr>
        <w:rPr>
          <w:rFonts w:hint="default"/>
        </w:rPr>
      </w:lvl>
    </w:lvlOverride>
    <w:lvlOverride w:ilvl="1">
      <w:lvl w:ilvl="1" w:tentative="1">
        <w:start w:val="1"/>
        <w:numFmt w:val="decimal"/>
        <w:isLgl/>
        <w:lvlText w:val="%1.%2"/>
        <w:lvlJc w:val="left"/>
        <w:pPr>
          <w:ind w:left="1134" w:hanging="420"/>
        </w:pPr>
        <w:rPr>
          <w:rFonts w:hint="default"/>
        </w:rPr>
      </w:lvl>
    </w:lvlOverride>
    <w:lvlOverride w:ilvl="2">
      <w:lvl w:ilvl="2" w:tentative="1">
        <w:start w:val="1"/>
        <w:numFmt w:val="decimal"/>
        <w:isLgl/>
        <w:lvlText w:val="%1.%2.%3"/>
        <w:lvlJc w:val="left"/>
        <w:pPr>
          <w:ind w:left="2704" w:hanging="1080"/>
        </w:pPr>
        <w:rPr>
          <w:rFonts w:hint="default"/>
        </w:rPr>
      </w:lvl>
    </w:lvlOverride>
    <w:lvlOverride w:ilvl="3">
      <w:lvl w:ilvl="3" w:tentative="1">
        <w:start w:val="1"/>
        <w:numFmt w:val="decimal"/>
        <w:isLgl/>
        <w:lvlText w:val="%1.%2.%3.%4"/>
        <w:lvlJc w:val="left"/>
        <w:pPr>
          <w:ind w:left="3306" w:hanging="1080"/>
        </w:pPr>
        <w:rPr>
          <w:rFonts w:hint="default"/>
        </w:rPr>
      </w:lvl>
    </w:lvlOverride>
    <w:lvlOverride w:ilvl="4">
      <w:lvl w:ilvl="4" w:tentative="1">
        <w:start w:val="1"/>
        <w:numFmt w:val="decimal"/>
        <w:isLgl/>
        <w:lvlText w:val="%1.%2.%3.%4.%5"/>
        <w:lvlJc w:val="left"/>
        <w:pPr>
          <w:ind w:left="4268" w:hanging="1440"/>
        </w:pPr>
        <w:rPr>
          <w:rFonts w:hint="default"/>
        </w:rPr>
      </w:lvl>
    </w:lvlOverride>
    <w:lvlOverride w:ilvl="5">
      <w:lvl w:ilvl="5" w:tentative="1">
        <w:start w:val="1"/>
        <w:numFmt w:val="decimal"/>
        <w:isLgl/>
        <w:lvlText w:val="%1.%2.%3.%4.%5.%6"/>
        <w:lvlJc w:val="left"/>
        <w:pPr>
          <w:ind w:left="5230" w:hanging="1800"/>
        </w:pPr>
        <w:rPr>
          <w:rFonts w:hint="default"/>
        </w:rPr>
      </w:lvl>
    </w:lvlOverride>
    <w:lvlOverride w:ilvl="6">
      <w:lvl w:ilvl="6" w:tentative="1">
        <w:start w:val="1"/>
        <w:numFmt w:val="decimal"/>
        <w:isLgl/>
        <w:lvlText w:val="%1.%2.%3.%4.%5.%6.%7"/>
        <w:lvlJc w:val="left"/>
        <w:pPr>
          <w:ind w:left="6192" w:hanging="2160"/>
        </w:pPr>
        <w:rPr>
          <w:rFonts w:hint="default"/>
        </w:rPr>
      </w:lvl>
    </w:lvlOverride>
    <w:lvlOverride w:ilvl="7">
      <w:lvl w:ilvl="7" w:tentative="1">
        <w:start w:val="1"/>
        <w:numFmt w:val="decimal"/>
        <w:isLgl/>
        <w:lvlText w:val="%1.%2.%3.%4.%5.%6.%7.%8"/>
        <w:lvlJc w:val="left"/>
        <w:pPr>
          <w:ind w:left="7154" w:hanging="2520"/>
        </w:pPr>
        <w:rPr>
          <w:rFonts w:hint="default"/>
        </w:rPr>
      </w:lvl>
    </w:lvlOverride>
    <w:lvlOverride w:ilvl="8">
      <w:lvl w:ilvl="8" w:tentative="1">
        <w:start w:val="1"/>
        <w:numFmt w:val="decimal"/>
        <w:isLgl/>
        <w:lvlText w:val="%1.%2.%3.%4.%5.%6.%7.%8.%9"/>
        <w:lvlJc w:val="left"/>
        <w:pPr>
          <w:ind w:left="8116" w:hanging="2880"/>
        </w:pPr>
        <w:rPr>
          <w:rFonts w:hint="default"/>
        </w:rPr>
      </w:lvl>
    </w:lvlOverride>
  </w:num>
  <w:num w:numId="20">
    <w:abstractNumId w:val="2"/>
    <w:lvlOverride w:ilvl="0">
      <w:lvl w:ilvl="0" w:tentative="1">
        <w:start w:val="1"/>
        <w:numFmt w:val="decimal"/>
        <w:lvlText w:val="%1."/>
        <w:lvlJc w:val="left"/>
        <w:pPr>
          <w:ind w:left="850" w:hanging="425"/>
        </w:pPr>
        <w:rPr>
          <w:rFonts w:hint="default"/>
        </w:rPr>
      </w:lvl>
    </w:lvlOverride>
    <w:lvlOverride w:ilvl="1">
      <w:lvl w:ilvl="1" w:tentative="1">
        <w:start w:val="1"/>
        <w:numFmt w:val="decimal"/>
        <w:isLgl/>
        <w:lvlText w:val="%1.%2"/>
        <w:lvlJc w:val="left"/>
        <w:pPr>
          <w:ind w:left="1134" w:hanging="420"/>
        </w:pPr>
        <w:rPr>
          <w:rFonts w:hint="default"/>
        </w:rPr>
      </w:lvl>
    </w:lvlOverride>
    <w:lvlOverride w:ilvl="2">
      <w:lvl w:ilvl="2" w:tentative="1">
        <w:start w:val="1"/>
        <w:numFmt w:val="decimal"/>
        <w:isLgl/>
        <w:lvlText w:val="%1.%2.%3"/>
        <w:lvlJc w:val="left"/>
        <w:pPr>
          <w:ind w:left="2704" w:hanging="1080"/>
        </w:pPr>
        <w:rPr>
          <w:rFonts w:hint="default"/>
        </w:rPr>
      </w:lvl>
    </w:lvlOverride>
    <w:lvlOverride w:ilvl="3">
      <w:lvl w:ilvl="3" w:tentative="1">
        <w:start w:val="1"/>
        <w:numFmt w:val="decimal"/>
        <w:isLgl/>
        <w:lvlText w:val="%1.%2.%3.%4"/>
        <w:lvlJc w:val="left"/>
        <w:pPr>
          <w:ind w:left="3306" w:hanging="1080"/>
        </w:pPr>
        <w:rPr>
          <w:rFonts w:hint="default"/>
        </w:rPr>
      </w:lvl>
    </w:lvlOverride>
    <w:lvlOverride w:ilvl="4">
      <w:lvl w:ilvl="4" w:tentative="1">
        <w:start w:val="1"/>
        <w:numFmt w:val="decimal"/>
        <w:isLgl/>
        <w:lvlText w:val="%1.%2.%3.%4.%5"/>
        <w:lvlJc w:val="left"/>
        <w:pPr>
          <w:ind w:left="4268" w:hanging="1440"/>
        </w:pPr>
        <w:rPr>
          <w:rFonts w:hint="default"/>
        </w:rPr>
      </w:lvl>
    </w:lvlOverride>
    <w:lvlOverride w:ilvl="5">
      <w:lvl w:ilvl="5" w:tentative="1">
        <w:start w:val="1"/>
        <w:numFmt w:val="decimal"/>
        <w:isLgl/>
        <w:lvlText w:val="%1.%2.%3.%4.%5.%6"/>
        <w:lvlJc w:val="left"/>
        <w:pPr>
          <w:ind w:left="5230" w:hanging="1800"/>
        </w:pPr>
        <w:rPr>
          <w:rFonts w:hint="default"/>
        </w:rPr>
      </w:lvl>
    </w:lvlOverride>
    <w:lvlOverride w:ilvl="6">
      <w:lvl w:ilvl="6" w:tentative="1">
        <w:start w:val="1"/>
        <w:numFmt w:val="decimal"/>
        <w:isLgl/>
        <w:lvlText w:val="%1.%2.%3.%4.%5.%6.%7"/>
        <w:lvlJc w:val="left"/>
        <w:pPr>
          <w:ind w:left="6192" w:hanging="2160"/>
        </w:pPr>
        <w:rPr>
          <w:rFonts w:hint="default"/>
        </w:rPr>
      </w:lvl>
    </w:lvlOverride>
    <w:lvlOverride w:ilvl="7">
      <w:lvl w:ilvl="7" w:tentative="1">
        <w:start w:val="1"/>
        <w:numFmt w:val="decimal"/>
        <w:isLgl/>
        <w:lvlText w:val="%1.%2.%3.%4.%5.%6.%7.%8"/>
        <w:lvlJc w:val="left"/>
        <w:pPr>
          <w:ind w:left="7154" w:hanging="2520"/>
        </w:pPr>
        <w:rPr>
          <w:rFonts w:hint="default"/>
        </w:rPr>
      </w:lvl>
    </w:lvlOverride>
    <w:lvlOverride w:ilvl="8">
      <w:lvl w:ilvl="8" w:tentative="1">
        <w:start w:val="1"/>
        <w:numFmt w:val="decimal"/>
        <w:isLgl/>
        <w:lvlText w:val="%1.%2.%3.%4.%5.%6.%7.%8.%9"/>
        <w:lvlJc w:val="left"/>
        <w:pPr>
          <w:ind w:left="8116" w:hanging="2880"/>
        </w:pPr>
        <w:rPr>
          <w:rFonts w:hint="default"/>
        </w:rPr>
      </w:lvl>
    </w:lvlOverride>
  </w:num>
  <w:num w:numId="21">
    <w:abstractNumId w:val="2"/>
    <w:lvlOverride w:ilvl="0">
      <w:lvl w:ilvl="0" w:tentative="1">
        <w:start w:val="1"/>
        <w:numFmt w:val="decimal"/>
        <w:lvlText w:val="%1."/>
        <w:lvlJc w:val="left"/>
        <w:pPr>
          <w:ind w:left="850" w:hanging="425"/>
        </w:pPr>
        <w:rPr>
          <w:rFonts w:hint="default"/>
        </w:rPr>
      </w:lvl>
    </w:lvlOverride>
    <w:lvlOverride w:ilvl="1">
      <w:lvl w:ilvl="1" w:tentative="1">
        <w:start w:val="1"/>
        <w:numFmt w:val="decimal"/>
        <w:isLgl/>
        <w:lvlText w:val="%1.%2"/>
        <w:lvlJc w:val="left"/>
        <w:pPr>
          <w:ind w:left="1134" w:hanging="420"/>
        </w:pPr>
        <w:rPr>
          <w:rFonts w:hint="default"/>
        </w:rPr>
      </w:lvl>
    </w:lvlOverride>
    <w:lvlOverride w:ilvl="2">
      <w:lvl w:ilvl="2" w:tentative="1">
        <w:start w:val="1"/>
        <w:numFmt w:val="decimal"/>
        <w:isLgl/>
        <w:lvlText w:val="%1.%2.%3"/>
        <w:lvlJc w:val="left"/>
        <w:pPr>
          <w:ind w:left="2704" w:hanging="1080"/>
        </w:pPr>
        <w:rPr>
          <w:rFonts w:hint="default"/>
        </w:rPr>
      </w:lvl>
    </w:lvlOverride>
    <w:lvlOverride w:ilvl="3">
      <w:lvl w:ilvl="3" w:tentative="1">
        <w:start w:val="1"/>
        <w:numFmt w:val="decimal"/>
        <w:isLgl/>
        <w:lvlText w:val="%1.%2.%3.%4"/>
        <w:lvlJc w:val="left"/>
        <w:pPr>
          <w:ind w:left="3306" w:hanging="1080"/>
        </w:pPr>
        <w:rPr>
          <w:rFonts w:hint="default"/>
        </w:rPr>
      </w:lvl>
    </w:lvlOverride>
    <w:lvlOverride w:ilvl="4">
      <w:lvl w:ilvl="4" w:tentative="1">
        <w:start w:val="1"/>
        <w:numFmt w:val="decimal"/>
        <w:isLgl/>
        <w:lvlText w:val="%1.%2.%3.%4.%5"/>
        <w:lvlJc w:val="left"/>
        <w:pPr>
          <w:ind w:left="4268" w:hanging="1440"/>
        </w:pPr>
        <w:rPr>
          <w:rFonts w:hint="default"/>
        </w:rPr>
      </w:lvl>
    </w:lvlOverride>
    <w:lvlOverride w:ilvl="5">
      <w:lvl w:ilvl="5" w:tentative="1">
        <w:start w:val="1"/>
        <w:numFmt w:val="decimal"/>
        <w:isLgl/>
        <w:lvlText w:val="%1.%2.%3.%4.%5.%6"/>
        <w:lvlJc w:val="left"/>
        <w:pPr>
          <w:ind w:left="5230" w:hanging="1800"/>
        </w:pPr>
        <w:rPr>
          <w:rFonts w:hint="default"/>
        </w:rPr>
      </w:lvl>
    </w:lvlOverride>
    <w:lvlOverride w:ilvl="6">
      <w:lvl w:ilvl="6" w:tentative="1">
        <w:start w:val="1"/>
        <w:numFmt w:val="decimal"/>
        <w:isLgl/>
        <w:lvlText w:val="%1.%2.%3.%4.%5.%6.%7"/>
        <w:lvlJc w:val="left"/>
        <w:pPr>
          <w:ind w:left="6192" w:hanging="2160"/>
        </w:pPr>
        <w:rPr>
          <w:rFonts w:hint="default"/>
        </w:rPr>
      </w:lvl>
    </w:lvlOverride>
    <w:lvlOverride w:ilvl="7">
      <w:lvl w:ilvl="7" w:tentative="1">
        <w:start w:val="1"/>
        <w:numFmt w:val="decimal"/>
        <w:isLgl/>
        <w:lvlText w:val="%1.%2.%3.%4.%5.%6.%7.%8"/>
        <w:lvlJc w:val="left"/>
        <w:pPr>
          <w:ind w:left="7154" w:hanging="2520"/>
        </w:pPr>
        <w:rPr>
          <w:rFonts w:hint="default"/>
        </w:rPr>
      </w:lvl>
    </w:lvlOverride>
    <w:lvlOverride w:ilvl="8">
      <w:lvl w:ilvl="8" w:tentative="1">
        <w:start w:val="1"/>
        <w:numFmt w:val="decimal"/>
        <w:isLgl/>
        <w:lvlText w:val="%1.%2.%3.%4.%5.%6.%7.%8.%9"/>
        <w:lvlJc w:val="left"/>
        <w:pPr>
          <w:ind w:left="8116" w:hanging="2880"/>
        </w:pPr>
        <w:rPr>
          <w:rFonts w:hint="default"/>
        </w:rPr>
      </w:lvl>
    </w:lvlOverride>
  </w:num>
  <w:num w:numId="22">
    <w:abstractNumId w:val="2"/>
    <w:lvlOverride w:ilvl="0">
      <w:lvl w:ilvl="0" w:tentative="1">
        <w:start w:val="1"/>
        <w:numFmt w:val="decimal"/>
        <w:lvlText w:val="%1."/>
        <w:lvlJc w:val="left"/>
        <w:pPr>
          <w:ind w:left="850" w:hanging="425"/>
        </w:pPr>
        <w:rPr>
          <w:rFonts w:hint="default"/>
        </w:rPr>
      </w:lvl>
    </w:lvlOverride>
    <w:lvlOverride w:ilvl="1">
      <w:lvl w:ilvl="1" w:tentative="1">
        <w:start w:val="1"/>
        <w:numFmt w:val="decimal"/>
        <w:isLgl/>
        <w:lvlText w:val="%1.%2"/>
        <w:lvlJc w:val="left"/>
        <w:pPr>
          <w:ind w:left="1134" w:hanging="420"/>
        </w:pPr>
        <w:rPr>
          <w:rFonts w:hint="default"/>
        </w:rPr>
      </w:lvl>
    </w:lvlOverride>
    <w:lvlOverride w:ilvl="2">
      <w:lvl w:ilvl="2" w:tentative="1">
        <w:start w:val="1"/>
        <w:numFmt w:val="decimal"/>
        <w:isLgl/>
        <w:lvlText w:val="%1.%2.%3"/>
        <w:lvlJc w:val="left"/>
        <w:pPr>
          <w:ind w:left="2704" w:hanging="1080"/>
        </w:pPr>
        <w:rPr>
          <w:rFonts w:hint="default"/>
        </w:rPr>
      </w:lvl>
    </w:lvlOverride>
    <w:lvlOverride w:ilvl="3">
      <w:lvl w:ilvl="3" w:tentative="1">
        <w:start w:val="1"/>
        <w:numFmt w:val="decimal"/>
        <w:isLgl/>
        <w:lvlText w:val="%1.%2.%3.%4"/>
        <w:lvlJc w:val="left"/>
        <w:pPr>
          <w:ind w:left="3306" w:hanging="1080"/>
        </w:pPr>
        <w:rPr>
          <w:rFonts w:hint="default"/>
        </w:rPr>
      </w:lvl>
    </w:lvlOverride>
    <w:lvlOverride w:ilvl="4">
      <w:lvl w:ilvl="4" w:tentative="1">
        <w:start w:val="1"/>
        <w:numFmt w:val="decimal"/>
        <w:isLgl/>
        <w:lvlText w:val="%1.%2.%3.%4.%5"/>
        <w:lvlJc w:val="left"/>
        <w:pPr>
          <w:ind w:left="4268" w:hanging="1440"/>
        </w:pPr>
        <w:rPr>
          <w:rFonts w:hint="default"/>
        </w:rPr>
      </w:lvl>
    </w:lvlOverride>
    <w:lvlOverride w:ilvl="5">
      <w:lvl w:ilvl="5" w:tentative="1">
        <w:start w:val="1"/>
        <w:numFmt w:val="decimal"/>
        <w:isLgl/>
        <w:lvlText w:val="%1.%2.%3.%4.%5.%6"/>
        <w:lvlJc w:val="left"/>
        <w:pPr>
          <w:ind w:left="5230" w:hanging="1800"/>
        </w:pPr>
        <w:rPr>
          <w:rFonts w:hint="default"/>
        </w:rPr>
      </w:lvl>
    </w:lvlOverride>
    <w:lvlOverride w:ilvl="6">
      <w:lvl w:ilvl="6" w:tentative="1">
        <w:start w:val="1"/>
        <w:numFmt w:val="decimal"/>
        <w:isLgl/>
        <w:lvlText w:val="%1.%2.%3.%4.%5.%6.%7"/>
        <w:lvlJc w:val="left"/>
        <w:pPr>
          <w:ind w:left="6192" w:hanging="2160"/>
        </w:pPr>
        <w:rPr>
          <w:rFonts w:hint="default"/>
        </w:rPr>
      </w:lvl>
    </w:lvlOverride>
    <w:lvlOverride w:ilvl="7">
      <w:lvl w:ilvl="7" w:tentative="1">
        <w:start w:val="1"/>
        <w:numFmt w:val="decimal"/>
        <w:isLgl/>
        <w:lvlText w:val="%1.%2.%3.%4.%5.%6.%7.%8"/>
        <w:lvlJc w:val="left"/>
        <w:pPr>
          <w:ind w:left="7154" w:hanging="2520"/>
        </w:pPr>
        <w:rPr>
          <w:rFonts w:hint="default"/>
        </w:rPr>
      </w:lvl>
    </w:lvlOverride>
    <w:lvlOverride w:ilvl="8">
      <w:lvl w:ilvl="8" w:tentative="1">
        <w:start w:val="1"/>
        <w:numFmt w:val="decimal"/>
        <w:isLgl/>
        <w:lvlText w:val="%1.%2.%3.%4.%5.%6.%7.%8.%9"/>
        <w:lvlJc w:val="left"/>
        <w:pPr>
          <w:ind w:left="8116" w:hanging="2880"/>
        </w:pPr>
        <w:rPr>
          <w:rFonts w:hint="default"/>
        </w:rPr>
      </w:lvl>
    </w:lvlOverride>
  </w:num>
  <w:num w:numId="23">
    <w:abstractNumId w:val="2"/>
    <w:lvlOverride w:ilvl="0">
      <w:lvl w:ilvl="0" w:tentative="1">
        <w:start w:val="1"/>
        <w:numFmt w:val="decimal"/>
        <w:lvlText w:val="%1."/>
        <w:lvlJc w:val="left"/>
        <w:pPr>
          <w:ind w:left="850" w:hanging="425"/>
        </w:pPr>
        <w:rPr>
          <w:rFonts w:hint="default"/>
        </w:rPr>
      </w:lvl>
    </w:lvlOverride>
    <w:lvlOverride w:ilvl="1">
      <w:lvl w:ilvl="1" w:tentative="1">
        <w:start w:val="1"/>
        <w:numFmt w:val="decimal"/>
        <w:isLgl/>
        <w:lvlText w:val="%1.%2"/>
        <w:lvlJc w:val="left"/>
        <w:pPr>
          <w:ind w:left="1134" w:hanging="420"/>
        </w:pPr>
        <w:rPr>
          <w:rFonts w:hint="default"/>
        </w:rPr>
      </w:lvl>
    </w:lvlOverride>
    <w:lvlOverride w:ilvl="2">
      <w:lvl w:ilvl="2" w:tentative="1">
        <w:start w:val="1"/>
        <w:numFmt w:val="decimal"/>
        <w:isLgl/>
        <w:lvlText w:val="%1.%2.%3"/>
        <w:lvlJc w:val="left"/>
        <w:pPr>
          <w:ind w:left="2704" w:hanging="1080"/>
        </w:pPr>
        <w:rPr>
          <w:rFonts w:hint="default"/>
        </w:rPr>
      </w:lvl>
    </w:lvlOverride>
    <w:lvlOverride w:ilvl="3">
      <w:lvl w:ilvl="3" w:tentative="1">
        <w:start w:val="1"/>
        <w:numFmt w:val="decimal"/>
        <w:isLgl/>
        <w:lvlText w:val="%1.%2.%3.%4"/>
        <w:lvlJc w:val="left"/>
        <w:pPr>
          <w:ind w:left="3306" w:hanging="1080"/>
        </w:pPr>
        <w:rPr>
          <w:rFonts w:hint="default"/>
        </w:rPr>
      </w:lvl>
    </w:lvlOverride>
    <w:lvlOverride w:ilvl="4">
      <w:lvl w:ilvl="4" w:tentative="1">
        <w:start w:val="1"/>
        <w:numFmt w:val="decimal"/>
        <w:isLgl/>
        <w:lvlText w:val="%1.%2.%3.%4.%5"/>
        <w:lvlJc w:val="left"/>
        <w:pPr>
          <w:ind w:left="4268" w:hanging="1440"/>
        </w:pPr>
        <w:rPr>
          <w:rFonts w:hint="default"/>
        </w:rPr>
      </w:lvl>
    </w:lvlOverride>
    <w:lvlOverride w:ilvl="5">
      <w:lvl w:ilvl="5" w:tentative="1">
        <w:start w:val="1"/>
        <w:numFmt w:val="decimal"/>
        <w:isLgl/>
        <w:lvlText w:val="%1.%2.%3.%4.%5.%6"/>
        <w:lvlJc w:val="left"/>
        <w:pPr>
          <w:ind w:left="5230" w:hanging="1800"/>
        </w:pPr>
        <w:rPr>
          <w:rFonts w:hint="default"/>
        </w:rPr>
      </w:lvl>
    </w:lvlOverride>
    <w:lvlOverride w:ilvl="6">
      <w:lvl w:ilvl="6" w:tentative="1">
        <w:start w:val="1"/>
        <w:numFmt w:val="decimal"/>
        <w:isLgl/>
        <w:lvlText w:val="%1.%2.%3.%4.%5.%6.%7"/>
        <w:lvlJc w:val="left"/>
        <w:pPr>
          <w:ind w:left="6192" w:hanging="2160"/>
        </w:pPr>
        <w:rPr>
          <w:rFonts w:hint="default"/>
        </w:rPr>
      </w:lvl>
    </w:lvlOverride>
    <w:lvlOverride w:ilvl="7">
      <w:lvl w:ilvl="7" w:tentative="1">
        <w:start w:val="1"/>
        <w:numFmt w:val="decimal"/>
        <w:isLgl/>
        <w:lvlText w:val="%1.%2.%3.%4.%5.%6.%7.%8"/>
        <w:lvlJc w:val="left"/>
        <w:pPr>
          <w:ind w:left="7154" w:hanging="2520"/>
        </w:pPr>
        <w:rPr>
          <w:rFonts w:hint="default"/>
        </w:rPr>
      </w:lvl>
    </w:lvlOverride>
    <w:lvlOverride w:ilvl="8">
      <w:lvl w:ilvl="8" w:tentative="1">
        <w:start w:val="1"/>
        <w:numFmt w:val="decimal"/>
        <w:isLgl/>
        <w:lvlText w:val="%1.%2.%3.%4.%5.%6.%7.%8.%9"/>
        <w:lvlJc w:val="left"/>
        <w:pPr>
          <w:ind w:left="8116" w:hanging="2880"/>
        </w:pPr>
        <w:rPr>
          <w:rFonts w:hint="default"/>
        </w:rPr>
      </w:lvl>
    </w:lvlOverride>
  </w:num>
  <w:num w:numId="24">
    <w:abstractNumId w:val="2"/>
    <w:lvlOverride w:ilvl="0">
      <w:startOverride w:val="1"/>
      <w:lvl w:ilvl="0" w:tentative="1">
        <w:start w:val="1"/>
        <w:numFmt w:val="decimal"/>
        <w:lvlText w:val="%1."/>
        <w:lvlJc w:val="left"/>
        <w:pPr>
          <w:ind w:left="850" w:hanging="425"/>
        </w:pPr>
        <w:rPr>
          <w:rFonts w:hint="default"/>
        </w:rPr>
      </w:lvl>
    </w:lvlOverride>
    <w:lvlOverride w:ilvl="1">
      <w:startOverride w:val="1"/>
      <w:lvl w:ilvl="1" w:tentative="1">
        <w:start w:val="1"/>
        <w:numFmt w:val="decimal"/>
        <w:isLgl/>
        <w:lvlText w:val="%1.%2"/>
        <w:lvlJc w:val="left"/>
        <w:pPr>
          <w:ind w:left="1134" w:hanging="420"/>
        </w:pPr>
        <w:rPr>
          <w:rFonts w:hint="default"/>
        </w:rPr>
      </w:lvl>
    </w:lvlOverride>
    <w:lvlOverride w:ilvl="2">
      <w:startOverride w:val="1"/>
      <w:lvl w:ilvl="2" w:tentative="1">
        <w:start w:val="1"/>
        <w:numFmt w:val="decimal"/>
        <w:isLgl/>
        <w:lvlText w:val="%1.%2.%3"/>
        <w:lvlJc w:val="left"/>
        <w:pPr>
          <w:ind w:left="2704" w:hanging="1080"/>
        </w:pPr>
        <w:rPr>
          <w:rFonts w:hint="default"/>
        </w:rPr>
      </w:lvl>
    </w:lvlOverride>
    <w:lvlOverride w:ilvl="3">
      <w:startOverride w:val="1"/>
      <w:lvl w:ilvl="3" w:tentative="1">
        <w:start w:val="1"/>
        <w:numFmt w:val="decimal"/>
        <w:isLgl/>
        <w:lvlText w:val="%1.%2.%3.%4"/>
        <w:lvlJc w:val="left"/>
        <w:pPr>
          <w:ind w:left="3306" w:hanging="1080"/>
        </w:pPr>
        <w:rPr>
          <w:rFonts w:hint="default"/>
        </w:rPr>
      </w:lvl>
    </w:lvlOverride>
    <w:lvlOverride w:ilvl="4">
      <w:startOverride w:val="1"/>
      <w:lvl w:ilvl="4" w:tentative="1">
        <w:start w:val="1"/>
        <w:numFmt w:val="decimal"/>
        <w:isLgl/>
        <w:lvlText w:val="%1.%2.%3.%4.%5"/>
        <w:lvlJc w:val="left"/>
        <w:pPr>
          <w:ind w:left="4268" w:hanging="1440"/>
        </w:pPr>
        <w:rPr>
          <w:rFonts w:hint="default"/>
        </w:rPr>
      </w:lvl>
    </w:lvlOverride>
    <w:lvlOverride w:ilvl="5">
      <w:startOverride w:val="1"/>
      <w:lvl w:ilvl="5" w:tentative="1">
        <w:start w:val="1"/>
        <w:numFmt w:val="decimal"/>
        <w:isLgl/>
        <w:lvlText w:val="%1.%2.%3.%4.%5.%6"/>
        <w:lvlJc w:val="left"/>
        <w:pPr>
          <w:ind w:left="5230" w:hanging="1800"/>
        </w:pPr>
        <w:rPr>
          <w:rFonts w:hint="default"/>
        </w:rPr>
      </w:lvl>
    </w:lvlOverride>
    <w:lvlOverride w:ilvl="6">
      <w:startOverride w:val="1"/>
      <w:lvl w:ilvl="6" w:tentative="1">
        <w:start w:val="1"/>
        <w:numFmt w:val="decimal"/>
        <w:isLgl/>
        <w:lvlText w:val="%1.%2.%3.%4.%5.%6.%7"/>
        <w:lvlJc w:val="left"/>
        <w:pPr>
          <w:ind w:left="6192" w:hanging="2160"/>
        </w:pPr>
        <w:rPr>
          <w:rFonts w:hint="default"/>
        </w:rPr>
      </w:lvl>
    </w:lvlOverride>
    <w:lvlOverride w:ilvl="7">
      <w:startOverride w:val="1"/>
      <w:lvl w:ilvl="7" w:tentative="1">
        <w:start w:val="1"/>
        <w:numFmt w:val="decimal"/>
        <w:isLgl/>
        <w:lvlText w:val="%1.%2.%3.%4.%5.%6.%7.%8"/>
        <w:lvlJc w:val="left"/>
        <w:pPr>
          <w:ind w:left="7154" w:hanging="2520"/>
        </w:pPr>
        <w:rPr>
          <w:rFonts w:hint="default"/>
        </w:rPr>
      </w:lvl>
    </w:lvlOverride>
    <w:lvlOverride w:ilvl="8">
      <w:startOverride w:val="1"/>
      <w:lvl w:ilvl="8" w:tentative="1">
        <w:start w:val="1"/>
        <w:numFmt w:val="decimal"/>
        <w:isLgl/>
        <w:lvlText w:val="%1.%2.%3.%4.%5.%6.%7.%8.%9"/>
        <w:lvlJc w:val="left"/>
        <w:pPr>
          <w:ind w:left="8116" w:hanging="2880"/>
        </w:pPr>
        <w:rPr>
          <w:rFonts w:hint="default"/>
        </w:rPr>
      </w:lvl>
    </w:lvlOverride>
  </w:num>
  <w:num w:numId="25">
    <w:abstractNumId w:val="2"/>
    <w:lvlOverride w:ilvl="0">
      <w:startOverride w:val="1"/>
      <w:lvl w:ilvl="0" w:tentative="1">
        <w:start w:val="1"/>
        <w:numFmt w:val="decimal"/>
        <w:lvlText w:val="%1."/>
        <w:lvlJc w:val="left"/>
        <w:pPr>
          <w:ind w:left="850" w:hanging="425"/>
        </w:pPr>
        <w:rPr>
          <w:rFonts w:hint="default"/>
        </w:rPr>
      </w:lvl>
    </w:lvlOverride>
    <w:lvlOverride w:ilvl="1">
      <w:startOverride w:val="1"/>
      <w:lvl w:ilvl="1" w:tentative="1">
        <w:start w:val="1"/>
        <w:numFmt w:val="decimal"/>
        <w:isLgl/>
        <w:lvlText w:val="%1.%2"/>
        <w:lvlJc w:val="left"/>
        <w:pPr>
          <w:ind w:left="1134" w:hanging="420"/>
        </w:pPr>
        <w:rPr>
          <w:rFonts w:hint="default"/>
        </w:rPr>
      </w:lvl>
    </w:lvlOverride>
    <w:lvlOverride w:ilvl="2">
      <w:startOverride w:val="1"/>
      <w:lvl w:ilvl="2" w:tentative="1">
        <w:start w:val="1"/>
        <w:numFmt w:val="decimal"/>
        <w:isLgl/>
        <w:lvlText w:val="%1.%2.%3"/>
        <w:lvlJc w:val="left"/>
        <w:pPr>
          <w:ind w:left="2704" w:hanging="1080"/>
        </w:pPr>
        <w:rPr>
          <w:rFonts w:hint="default"/>
        </w:rPr>
      </w:lvl>
    </w:lvlOverride>
    <w:lvlOverride w:ilvl="3">
      <w:startOverride w:val="1"/>
      <w:lvl w:ilvl="3" w:tentative="1">
        <w:start w:val="1"/>
        <w:numFmt w:val="decimal"/>
        <w:isLgl/>
        <w:lvlText w:val="%1.%2.%3.%4"/>
        <w:lvlJc w:val="left"/>
        <w:pPr>
          <w:ind w:left="3306" w:hanging="1080"/>
        </w:pPr>
        <w:rPr>
          <w:rFonts w:hint="default"/>
        </w:rPr>
      </w:lvl>
    </w:lvlOverride>
    <w:lvlOverride w:ilvl="4">
      <w:startOverride w:val="1"/>
      <w:lvl w:ilvl="4" w:tentative="1">
        <w:start w:val="1"/>
        <w:numFmt w:val="decimal"/>
        <w:isLgl/>
        <w:lvlText w:val="%1.%2.%3.%4.%5"/>
        <w:lvlJc w:val="left"/>
        <w:pPr>
          <w:ind w:left="4268" w:hanging="1440"/>
        </w:pPr>
        <w:rPr>
          <w:rFonts w:hint="default"/>
        </w:rPr>
      </w:lvl>
    </w:lvlOverride>
    <w:lvlOverride w:ilvl="5">
      <w:startOverride w:val="1"/>
      <w:lvl w:ilvl="5" w:tentative="1">
        <w:start w:val="1"/>
        <w:numFmt w:val="decimal"/>
        <w:isLgl/>
        <w:lvlText w:val="%1.%2.%3.%4.%5.%6"/>
        <w:lvlJc w:val="left"/>
        <w:pPr>
          <w:ind w:left="5230" w:hanging="1800"/>
        </w:pPr>
        <w:rPr>
          <w:rFonts w:hint="default"/>
        </w:rPr>
      </w:lvl>
    </w:lvlOverride>
    <w:lvlOverride w:ilvl="6">
      <w:startOverride w:val="1"/>
      <w:lvl w:ilvl="6" w:tentative="1">
        <w:start w:val="1"/>
        <w:numFmt w:val="decimal"/>
        <w:isLgl/>
        <w:lvlText w:val="%1.%2.%3.%4.%5.%6.%7"/>
        <w:lvlJc w:val="left"/>
        <w:pPr>
          <w:ind w:left="6192" w:hanging="2160"/>
        </w:pPr>
        <w:rPr>
          <w:rFonts w:hint="default"/>
        </w:rPr>
      </w:lvl>
    </w:lvlOverride>
    <w:lvlOverride w:ilvl="7">
      <w:startOverride w:val="1"/>
      <w:lvl w:ilvl="7" w:tentative="1">
        <w:start w:val="1"/>
        <w:numFmt w:val="decimal"/>
        <w:isLgl/>
        <w:lvlText w:val="%1.%2.%3.%4.%5.%6.%7.%8"/>
        <w:lvlJc w:val="left"/>
        <w:pPr>
          <w:ind w:left="7154" w:hanging="2520"/>
        </w:pPr>
        <w:rPr>
          <w:rFonts w:hint="default"/>
        </w:rPr>
      </w:lvl>
    </w:lvlOverride>
    <w:lvlOverride w:ilvl="8">
      <w:startOverride w:val="1"/>
      <w:lvl w:ilvl="8" w:tentative="1">
        <w:start w:val="1"/>
        <w:numFmt w:val="decimal"/>
        <w:isLgl/>
        <w:lvlText w:val="%1.%2.%3.%4.%5.%6.%7.%8.%9"/>
        <w:lvlJc w:val="left"/>
        <w:pPr>
          <w:ind w:left="8116" w:hanging="2880"/>
        </w:pPr>
        <w:rPr>
          <w:rFonts w:hint="default"/>
        </w:rPr>
      </w:lvl>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0NDViODgxMGYyMTM5YjQ4MTZkMzhlN2U5ODkzZDkifQ=="/>
  </w:docVars>
  <w:rsids>
    <w:rsidRoot w:val="00A9540B"/>
    <w:rsid w:val="00002B92"/>
    <w:rsid w:val="00006EC6"/>
    <w:rsid w:val="00010419"/>
    <w:rsid w:val="00011294"/>
    <w:rsid w:val="0001158B"/>
    <w:rsid w:val="00011C86"/>
    <w:rsid w:val="00013F04"/>
    <w:rsid w:val="00020419"/>
    <w:rsid w:val="00022D69"/>
    <w:rsid w:val="000261DD"/>
    <w:rsid w:val="00032356"/>
    <w:rsid w:val="0003398D"/>
    <w:rsid w:val="00036366"/>
    <w:rsid w:val="0004068E"/>
    <w:rsid w:val="00044F0B"/>
    <w:rsid w:val="00045CFF"/>
    <w:rsid w:val="00046913"/>
    <w:rsid w:val="00046E06"/>
    <w:rsid w:val="00053E4E"/>
    <w:rsid w:val="000547A4"/>
    <w:rsid w:val="00060BC3"/>
    <w:rsid w:val="00063A48"/>
    <w:rsid w:val="00063E79"/>
    <w:rsid w:val="00065610"/>
    <w:rsid w:val="00072055"/>
    <w:rsid w:val="000728C3"/>
    <w:rsid w:val="000843E0"/>
    <w:rsid w:val="00084C15"/>
    <w:rsid w:val="00085F3F"/>
    <w:rsid w:val="00086E72"/>
    <w:rsid w:val="00087DD0"/>
    <w:rsid w:val="00090DCF"/>
    <w:rsid w:val="000912E8"/>
    <w:rsid w:val="00091574"/>
    <w:rsid w:val="00091C32"/>
    <w:rsid w:val="000962BE"/>
    <w:rsid w:val="00097570"/>
    <w:rsid w:val="000A06D5"/>
    <w:rsid w:val="000A2191"/>
    <w:rsid w:val="000A454D"/>
    <w:rsid w:val="000A4D0C"/>
    <w:rsid w:val="000B0656"/>
    <w:rsid w:val="000B0EBE"/>
    <w:rsid w:val="000B5819"/>
    <w:rsid w:val="000B5CEB"/>
    <w:rsid w:val="000B66FE"/>
    <w:rsid w:val="000B6C58"/>
    <w:rsid w:val="000B79BA"/>
    <w:rsid w:val="000C00DD"/>
    <w:rsid w:val="000C19CD"/>
    <w:rsid w:val="000C2EC8"/>
    <w:rsid w:val="000C36A2"/>
    <w:rsid w:val="000C5EDC"/>
    <w:rsid w:val="000C79F1"/>
    <w:rsid w:val="000D3BEE"/>
    <w:rsid w:val="000D66CC"/>
    <w:rsid w:val="000D7035"/>
    <w:rsid w:val="000D750F"/>
    <w:rsid w:val="000E5E27"/>
    <w:rsid w:val="000E61B3"/>
    <w:rsid w:val="000E6DA2"/>
    <w:rsid w:val="000F1260"/>
    <w:rsid w:val="000F2A87"/>
    <w:rsid w:val="000F6512"/>
    <w:rsid w:val="001038C1"/>
    <w:rsid w:val="00104353"/>
    <w:rsid w:val="00105C13"/>
    <w:rsid w:val="00105F34"/>
    <w:rsid w:val="00106E0F"/>
    <w:rsid w:val="0011017E"/>
    <w:rsid w:val="0011189A"/>
    <w:rsid w:val="00116CE4"/>
    <w:rsid w:val="00117B41"/>
    <w:rsid w:val="0012104C"/>
    <w:rsid w:val="00122735"/>
    <w:rsid w:val="00123FFD"/>
    <w:rsid w:val="00125376"/>
    <w:rsid w:val="00126FFF"/>
    <w:rsid w:val="001272F4"/>
    <w:rsid w:val="00133F6C"/>
    <w:rsid w:val="001344AB"/>
    <w:rsid w:val="00134AE7"/>
    <w:rsid w:val="00135D35"/>
    <w:rsid w:val="00136EC4"/>
    <w:rsid w:val="001374AD"/>
    <w:rsid w:val="00141DCE"/>
    <w:rsid w:val="0014316F"/>
    <w:rsid w:val="00143569"/>
    <w:rsid w:val="001446D6"/>
    <w:rsid w:val="001449DF"/>
    <w:rsid w:val="00144A6D"/>
    <w:rsid w:val="001452DE"/>
    <w:rsid w:val="00146DD8"/>
    <w:rsid w:val="00147211"/>
    <w:rsid w:val="00151CCE"/>
    <w:rsid w:val="001522BF"/>
    <w:rsid w:val="001546DA"/>
    <w:rsid w:val="00154DB8"/>
    <w:rsid w:val="0015688E"/>
    <w:rsid w:val="0015778F"/>
    <w:rsid w:val="00157C24"/>
    <w:rsid w:val="001617D8"/>
    <w:rsid w:val="00161E78"/>
    <w:rsid w:val="001676B1"/>
    <w:rsid w:val="00170D59"/>
    <w:rsid w:val="0017153E"/>
    <w:rsid w:val="00173048"/>
    <w:rsid w:val="00174589"/>
    <w:rsid w:val="001748DD"/>
    <w:rsid w:val="00176282"/>
    <w:rsid w:val="00180C25"/>
    <w:rsid w:val="0018211E"/>
    <w:rsid w:val="001852D3"/>
    <w:rsid w:val="00187A5B"/>
    <w:rsid w:val="0019135B"/>
    <w:rsid w:val="00193BA7"/>
    <w:rsid w:val="0019670E"/>
    <w:rsid w:val="00197605"/>
    <w:rsid w:val="00197CC9"/>
    <w:rsid w:val="001A3AFC"/>
    <w:rsid w:val="001A556D"/>
    <w:rsid w:val="001B0108"/>
    <w:rsid w:val="001B26F5"/>
    <w:rsid w:val="001B3B0B"/>
    <w:rsid w:val="001B3CCE"/>
    <w:rsid w:val="001B5732"/>
    <w:rsid w:val="001B6B63"/>
    <w:rsid w:val="001B7173"/>
    <w:rsid w:val="001C0ADA"/>
    <w:rsid w:val="001C1B44"/>
    <w:rsid w:val="001C4C33"/>
    <w:rsid w:val="001C660C"/>
    <w:rsid w:val="001D1041"/>
    <w:rsid w:val="001D1C4E"/>
    <w:rsid w:val="001D3D08"/>
    <w:rsid w:val="001D51AC"/>
    <w:rsid w:val="001D5C40"/>
    <w:rsid w:val="001D658E"/>
    <w:rsid w:val="001D6AAA"/>
    <w:rsid w:val="001D6F52"/>
    <w:rsid w:val="001D7000"/>
    <w:rsid w:val="001E2212"/>
    <w:rsid w:val="001E232D"/>
    <w:rsid w:val="001E3FF9"/>
    <w:rsid w:val="001F0669"/>
    <w:rsid w:val="001F0B11"/>
    <w:rsid w:val="001F134C"/>
    <w:rsid w:val="001F5870"/>
    <w:rsid w:val="001F58E5"/>
    <w:rsid w:val="001F71F4"/>
    <w:rsid w:val="00200BE5"/>
    <w:rsid w:val="00201146"/>
    <w:rsid w:val="00205B64"/>
    <w:rsid w:val="00206EC6"/>
    <w:rsid w:val="00207252"/>
    <w:rsid w:val="00207C0E"/>
    <w:rsid w:val="00211980"/>
    <w:rsid w:val="0021563B"/>
    <w:rsid w:val="00216A9D"/>
    <w:rsid w:val="00223A50"/>
    <w:rsid w:val="0022603F"/>
    <w:rsid w:val="002309BC"/>
    <w:rsid w:val="00232DC2"/>
    <w:rsid w:val="00235038"/>
    <w:rsid w:val="0023665F"/>
    <w:rsid w:val="002369B7"/>
    <w:rsid w:val="00237488"/>
    <w:rsid w:val="002651DE"/>
    <w:rsid w:val="002660A9"/>
    <w:rsid w:val="002662CD"/>
    <w:rsid w:val="0026652B"/>
    <w:rsid w:val="002701BF"/>
    <w:rsid w:val="002707A7"/>
    <w:rsid w:val="00271185"/>
    <w:rsid w:val="00273DD6"/>
    <w:rsid w:val="002744E1"/>
    <w:rsid w:val="00275386"/>
    <w:rsid w:val="0027732F"/>
    <w:rsid w:val="00280962"/>
    <w:rsid w:val="00282BB5"/>
    <w:rsid w:val="00283C44"/>
    <w:rsid w:val="00284081"/>
    <w:rsid w:val="002842AD"/>
    <w:rsid w:val="002864D6"/>
    <w:rsid w:val="00286B7E"/>
    <w:rsid w:val="002873F5"/>
    <w:rsid w:val="00290FE1"/>
    <w:rsid w:val="002914BD"/>
    <w:rsid w:val="00291AF7"/>
    <w:rsid w:val="00292F76"/>
    <w:rsid w:val="00294788"/>
    <w:rsid w:val="00296451"/>
    <w:rsid w:val="0029717E"/>
    <w:rsid w:val="002A2D4C"/>
    <w:rsid w:val="002A7B42"/>
    <w:rsid w:val="002A7F4B"/>
    <w:rsid w:val="002B1A1A"/>
    <w:rsid w:val="002B1EB3"/>
    <w:rsid w:val="002B3C11"/>
    <w:rsid w:val="002B4EF9"/>
    <w:rsid w:val="002B796A"/>
    <w:rsid w:val="002C0D8F"/>
    <w:rsid w:val="002C3C1C"/>
    <w:rsid w:val="002C424F"/>
    <w:rsid w:val="002C623A"/>
    <w:rsid w:val="002D0157"/>
    <w:rsid w:val="002D0385"/>
    <w:rsid w:val="002D2983"/>
    <w:rsid w:val="002D3E13"/>
    <w:rsid w:val="002D41C0"/>
    <w:rsid w:val="002E00D9"/>
    <w:rsid w:val="002E044E"/>
    <w:rsid w:val="002E0C68"/>
    <w:rsid w:val="002E0E1F"/>
    <w:rsid w:val="002E1599"/>
    <w:rsid w:val="002E15E5"/>
    <w:rsid w:val="002E19CD"/>
    <w:rsid w:val="002E210F"/>
    <w:rsid w:val="002E4737"/>
    <w:rsid w:val="002E53A7"/>
    <w:rsid w:val="002E7E90"/>
    <w:rsid w:val="002F0360"/>
    <w:rsid w:val="002F0C97"/>
    <w:rsid w:val="002F44A2"/>
    <w:rsid w:val="002F478D"/>
    <w:rsid w:val="002F7D87"/>
    <w:rsid w:val="002F7F94"/>
    <w:rsid w:val="0030118C"/>
    <w:rsid w:val="0030210F"/>
    <w:rsid w:val="00302DA8"/>
    <w:rsid w:val="00303E2E"/>
    <w:rsid w:val="00304B75"/>
    <w:rsid w:val="00304FD9"/>
    <w:rsid w:val="00305B5B"/>
    <w:rsid w:val="00310429"/>
    <w:rsid w:val="00312D3E"/>
    <w:rsid w:val="00314A8E"/>
    <w:rsid w:val="003159CF"/>
    <w:rsid w:val="00320334"/>
    <w:rsid w:val="00322D93"/>
    <w:rsid w:val="00322E47"/>
    <w:rsid w:val="00323785"/>
    <w:rsid w:val="00324137"/>
    <w:rsid w:val="003254AD"/>
    <w:rsid w:val="0032722F"/>
    <w:rsid w:val="00330CF7"/>
    <w:rsid w:val="00332053"/>
    <w:rsid w:val="00337AE1"/>
    <w:rsid w:val="00337C1D"/>
    <w:rsid w:val="00337C91"/>
    <w:rsid w:val="003421EF"/>
    <w:rsid w:val="00343CF5"/>
    <w:rsid w:val="00346D62"/>
    <w:rsid w:val="00347B1A"/>
    <w:rsid w:val="00347D04"/>
    <w:rsid w:val="00353DE5"/>
    <w:rsid w:val="003547B0"/>
    <w:rsid w:val="00355041"/>
    <w:rsid w:val="00355D9C"/>
    <w:rsid w:val="00356F04"/>
    <w:rsid w:val="00357666"/>
    <w:rsid w:val="00357A83"/>
    <w:rsid w:val="003626BA"/>
    <w:rsid w:val="003626D0"/>
    <w:rsid w:val="003630A9"/>
    <w:rsid w:val="003641AD"/>
    <w:rsid w:val="00365114"/>
    <w:rsid w:val="003652FC"/>
    <w:rsid w:val="003660C7"/>
    <w:rsid w:val="003667AC"/>
    <w:rsid w:val="00370134"/>
    <w:rsid w:val="003712EC"/>
    <w:rsid w:val="003744A4"/>
    <w:rsid w:val="00374637"/>
    <w:rsid w:val="00375031"/>
    <w:rsid w:val="003762A1"/>
    <w:rsid w:val="00380DA1"/>
    <w:rsid w:val="00382A56"/>
    <w:rsid w:val="003834FD"/>
    <w:rsid w:val="00384D78"/>
    <w:rsid w:val="00384FE8"/>
    <w:rsid w:val="003862EC"/>
    <w:rsid w:val="00386D6B"/>
    <w:rsid w:val="00386DCD"/>
    <w:rsid w:val="0038752C"/>
    <w:rsid w:val="0039023C"/>
    <w:rsid w:val="003902D8"/>
    <w:rsid w:val="00391014"/>
    <w:rsid w:val="00394099"/>
    <w:rsid w:val="00394F71"/>
    <w:rsid w:val="00396E8E"/>
    <w:rsid w:val="00397C2E"/>
    <w:rsid w:val="003A1F26"/>
    <w:rsid w:val="003A3667"/>
    <w:rsid w:val="003A40FF"/>
    <w:rsid w:val="003A6B11"/>
    <w:rsid w:val="003A6DB3"/>
    <w:rsid w:val="003A6F11"/>
    <w:rsid w:val="003A77B6"/>
    <w:rsid w:val="003A7A8B"/>
    <w:rsid w:val="003C06A4"/>
    <w:rsid w:val="003C366A"/>
    <w:rsid w:val="003C4036"/>
    <w:rsid w:val="003C58DD"/>
    <w:rsid w:val="003C5C1C"/>
    <w:rsid w:val="003C611A"/>
    <w:rsid w:val="003D08AE"/>
    <w:rsid w:val="003D38C6"/>
    <w:rsid w:val="003D4FCB"/>
    <w:rsid w:val="003D534F"/>
    <w:rsid w:val="003D6271"/>
    <w:rsid w:val="003E191C"/>
    <w:rsid w:val="003E20CF"/>
    <w:rsid w:val="003E3956"/>
    <w:rsid w:val="003F0766"/>
    <w:rsid w:val="003F0C36"/>
    <w:rsid w:val="003F1BED"/>
    <w:rsid w:val="003F2FB4"/>
    <w:rsid w:val="003F37CA"/>
    <w:rsid w:val="003F560F"/>
    <w:rsid w:val="003F7566"/>
    <w:rsid w:val="003F7613"/>
    <w:rsid w:val="003F772B"/>
    <w:rsid w:val="00400196"/>
    <w:rsid w:val="004011A1"/>
    <w:rsid w:val="004037CD"/>
    <w:rsid w:val="00403D23"/>
    <w:rsid w:val="0040446A"/>
    <w:rsid w:val="00405718"/>
    <w:rsid w:val="00405BE2"/>
    <w:rsid w:val="004071EC"/>
    <w:rsid w:val="00411737"/>
    <w:rsid w:val="00411F92"/>
    <w:rsid w:val="0041346C"/>
    <w:rsid w:val="00416534"/>
    <w:rsid w:val="004203F1"/>
    <w:rsid w:val="00422043"/>
    <w:rsid w:val="00426F97"/>
    <w:rsid w:val="00427EF1"/>
    <w:rsid w:val="00432925"/>
    <w:rsid w:val="004359F8"/>
    <w:rsid w:val="0044087D"/>
    <w:rsid w:val="00447529"/>
    <w:rsid w:val="00447893"/>
    <w:rsid w:val="00452909"/>
    <w:rsid w:val="004532BA"/>
    <w:rsid w:val="00454673"/>
    <w:rsid w:val="0045508B"/>
    <w:rsid w:val="00456316"/>
    <w:rsid w:val="0045728E"/>
    <w:rsid w:val="00460D22"/>
    <w:rsid w:val="004611C2"/>
    <w:rsid w:val="00462A1C"/>
    <w:rsid w:val="00463DF5"/>
    <w:rsid w:val="00463E8B"/>
    <w:rsid w:val="004649AB"/>
    <w:rsid w:val="00467A90"/>
    <w:rsid w:val="00470537"/>
    <w:rsid w:val="0047092F"/>
    <w:rsid w:val="00470E46"/>
    <w:rsid w:val="0047122F"/>
    <w:rsid w:val="00471A87"/>
    <w:rsid w:val="004729A1"/>
    <w:rsid w:val="00472D41"/>
    <w:rsid w:val="004759D8"/>
    <w:rsid w:val="00476DE2"/>
    <w:rsid w:val="004810A2"/>
    <w:rsid w:val="00482235"/>
    <w:rsid w:val="004822E9"/>
    <w:rsid w:val="00482F20"/>
    <w:rsid w:val="004838A7"/>
    <w:rsid w:val="00484126"/>
    <w:rsid w:val="004861EF"/>
    <w:rsid w:val="00487979"/>
    <w:rsid w:val="00491565"/>
    <w:rsid w:val="0049243C"/>
    <w:rsid w:val="004936BE"/>
    <w:rsid w:val="00493A06"/>
    <w:rsid w:val="004943B8"/>
    <w:rsid w:val="00496E6F"/>
    <w:rsid w:val="004A06FB"/>
    <w:rsid w:val="004A19FE"/>
    <w:rsid w:val="004A250E"/>
    <w:rsid w:val="004A3524"/>
    <w:rsid w:val="004A3614"/>
    <w:rsid w:val="004A3C3E"/>
    <w:rsid w:val="004A4F53"/>
    <w:rsid w:val="004A7876"/>
    <w:rsid w:val="004B3519"/>
    <w:rsid w:val="004B3D02"/>
    <w:rsid w:val="004B3E03"/>
    <w:rsid w:val="004B5FFE"/>
    <w:rsid w:val="004B62FB"/>
    <w:rsid w:val="004B6E70"/>
    <w:rsid w:val="004B7B51"/>
    <w:rsid w:val="004C0385"/>
    <w:rsid w:val="004C4634"/>
    <w:rsid w:val="004C4A5D"/>
    <w:rsid w:val="004D2D80"/>
    <w:rsid w:val="004D5494"/>
    <w:rsid w:val="004D5FAA"/>
    <w:rsid w:val="004E0772"/>
    <w:rsid w:val="004E1E03"/>
    <w:rsid w:val="004E5F80"/>
    <w:rsid w:val="004E6D2A"/>
    <w:rsid w:val="004F253D"/>
    <w:rsid w:val="004F457D"/>
    <w:rsid w:val="004F62B4"/>
    <w:rsid w:val="004F6888"/>
    <w:rsid w:val="00502CC8"/>
    <w:rsid w:val="005039E5"/>
    <w:rsid w:val="00503CBE"/>
    <w:rsid w:val="00504DF1"/>
    <w:rsid w:val="0050592E"/>
    <w:rsid w:val="00505B29"/>
    <w:rsid w:val="00506B13"/>
    <w:rsid w:val="00507A31"/>
    <w:rsid w:val="005131EA"/>
    <w:rsid w:val="00513CAE"/>
    <w:rsid w:val="00513D27"/>
    <w:rsid w:val="005144A2"/>
    <w:rsid w:val="00515300"/>
    <w:rsid w:val="00520F75"/>
    <w:rsid w:val="00524B41"/>
    <w:rsid w:val="0052609B"/>
    <w:rsid w:val="00527E17"/>
    <w:rsid w:val="005302C6"/>
    <w:rsid w:val="005333C5"/>
    <w:rsid w:val="00535C72"/>
    <w:rsid w:val="00536933"/>
    <w:rsid w:val="00540840"/>
    <w:rsid w:val="00540B63"/>
    <w:rsid w:val="0054171F"/>
    <w:rsid w:val="00541E80"/>
    <w:rsid w:val="00543171"/>
    <w:rsid w:val="005438C8"/>
    <w:rsid w:val="005438E8"/>
    <w:rsid w:val="00543B17"/>
    <w:rsid w:val="00545BCD"/>
    <w:rsid w:val="005474F7"/>
    <w:rsid w:val="00547869"/>
    <w:rsid w:val="00547D29"/>
    <w:rsid w:val="0055338C"/>
    <w:rsid w:val="00553688"/>
    <w:rsid w:val="00555391"/>
    <w:rsid w:val="00555556"/>
    <w:rsid w:val="00555722"/>
    <w:rsid w:val="00556E12"/>
    <w:rsid w:val="00557650"/>
    <w:rsid w:val="0056089F"/>
    <w:rsid w:val="00561B8E"/>
    <w:rsid w:val="00563845"/>
    <w:rsid w:val="00564076"/>
    <w:rsid w:val="005705A5"/>
    <w:rsid w:val="00571BA6"/>
    <w:rsid w:val="005725FB"/>
    <w:rsid w:val="00574008"/>
    <w:rsid w:val="005748B1"/>
    <w:rsid w:val="005803D1"/>
    <w:rsid w:val="00581060"/>
    <w:rsid w:val="005814F5"/>
    <w:rsid w:val="005816E5"/>
    <w:rsid w:val="00582012"/>
    <w:rsid w:val="00584A2E"/>
    <w:rsid w:val="005855A2"/>
    <w:rsid w:val="00586CEA"/>
    <w:rsid w:val="00587E4A"/>
    <w:rsid w:val="0059012B"/>
    <w:rsid w:val="00593E70"/>
    <w:rsid w:val="005A6E6E"/>
    <w:rsid w:val="005A7042"/>
    <w:rsid w:val="005B0519"/>
    <w:rsid w:val="005B0F2A"/>
    <w:rsid w:val="005B10C0"/>
    <w:rsid w:val="005B4F65"/>
    <w:rsid w:val="005B573A"/>
    <w:rsid w:val="005B73AA"/>
    <w:rsid w:val="005B7AB4"/>
    <w:rsid w:val="005B7E66"/>
    <w:rsid w:val="005C0558"/>
    <w:rsid w:val="005C6E4D"/>
    <w:rsid w:val="005D0D31"/>
    <w:rsid w:val="005D2C63"/>
    <w:rsid w:val="005E4E1A"/>
    <w:rsid w:val="005E63D9"/>
    <w:rsid w:val="005E7A7C"/>
    <w:rsid w:val="005F0501"/>
    <w:rsid w:val="005F5355"/>
    <w:rsid w:val="005F578F"/>
    <w:rsid w:val="005F635B"/>
    <w:rsid w:val="006002BA"/>
    <w:rsid w:val="006005D0"/>
    <w:rsid w:val="0060237D"/>
    <w:rsid w:val="0060612A"/>
    <w:rsid w:val="00613BB9"/>
    <w:rsid w:val="0061516A"/>
    <w:rsid w:val="006151EB"/>
    <w:rsid w:val="00615335"/>
    <w:rsid w:val="0061539C"/>
    <w:rsid w:val="00615727"/>
    <w:rsid w:val="00621B48"/>
    <w:rsid w:val="00623EE1"/>
    <w:rsid w:val="006256DA"/>
    <w:rsid w:val="0063029F"/>
    <w:rsid w:val="0063133B"/>
    <w:rsid w:val="00632FA1"/>
    <w:rsid w:val="006338A9"/>
    <w:rsid w:val="00634284"/>
    <w:rsid w:val="0063436C"/>
    <w:rsid w:val="00635A92"/>
    <w:rsid w:val="00637684"/>
    <w:rsid w:val="00640E76"/>
    <w:rsid w:val="0064187B"/>
    <w:rsid w:val="006423F2"/>
    <w:rsid w:val="006426AA"/>
    <w:rsid w:val="00643B90"/>
    <w:rsid w:val="00643E69"/>
    <w:rsid w:val="00644952"/>
    <w:rsid w:val="00650069"/>
    <w:rsid w:val="006518CF"/>
    <w:rsid w:val="006562FE"/>
    <w:rsid w:val="00656E27"/>
    <w:rsid w:val="00660156"/>
    <w:rsid w:val="00661F5F"/>
    <w:rsid w:val="006642CF"/>
    <w:rsid w:val="00664579"/>
    <w:rsid w:val="00666006"/>
    <w:rsid w:val="00666946"/>
    <w:rsid w:val="0066702B"/>
    <w:rsid w:val="00670099"/>
    <w:rsid w:val="00671AE8"/>
    <w:rsid w:val="00671D64"/>
    <w:rsid w:val="00672A04"/>
    <w:rsid w:val="006744FF"/>
    <w:rsid w:val="00676898"/>
    <w:rsid w:val="00680AA6"/>
    <w:rsid w:val="006814ED"/>
    <w:rsid w:val="00681E08"/>
    <w:rsid w:val="006832CD"/>
    <w:rsid w:val="00683860"/>
    <w:rsid w:val="006845EB"/>
    <w:rsid w:val="00684E49"/>
    <w:rsid w:val="0068756F"/>
    <w:rsid w:val="006949F7"/>
    <w:rsid w:val="00695D08"/>
    <w:rsid w:val="006961F3"/>
    <w:rsid w:val="0069785F"/>
    <w:rsid w:val="006A064B"/>
    <w:rsid w:val="006A140B"/>
    <w:rsid w:val="006A1E2A"/>
    <w:rsid w:val="006A2B89"/>
    <w:rsid w:val="006A3FA4"/>
    <w:rsid w:val="006A6695"/>
    <w:rsid w:val="006B0F05"/>
    <w:rsid w:val="006B2265"/>
    <w:rsid w:val="006B27D7"/>
    <w:rsid w:val="006B3BB8"/>
    <w:rsid w:val="006C05C9"/>
    <w:rsid w:val="006C39BB"/>
    <w:rsid w:val="006C4146"/>
    <w:rsid w:val="006C5E73"/>
    <w:rsid w:val="006C61BF"/>
    <w:rsid w:val="006C64EF"/>
    <w:rsid w:val="006D0B12"/>
    <w:rsid w:val="006D2092"/>
    <w:rsid w:val="006D20B3"/>
    <w:rsid w:val="006D2168"/>
    <w:rsid w:val="006D2BBB"/>
    <w:rsid w:val="006D2FC2"/>
    <w:rsid w:val="006D319C"/>
    <w:rsid w:val="006D3FCA"/>
    <w:rsid w:val="006E03E7"/>
    <w:rsid w:val="006E0939"/>
    <w:rsid w:val="006E516F"/>
    <w:rsid w:val="006F01B9"/>
    <w:rsid w:val="006F0C8A"/>
    <w:rsid w:val="006F1FAD"/>
    <w:rsid w:val="006F2519"/>
    <w:rsid w:val="006F342B"/>
    <w:rsid w:val="006F590E"/>
    <w:rsid w:val="006F7297"/>
    <w:rsid w:val="006F72D1"/>
    <w:rsid w:val="00700F99"/>
    <w:rsid w:val="007020DF"/>
    <w:rsid w:val="007027C0"/>
    <w:rsid w:val="00704536"/>
    <w:rsid w:val="00704F73"/>
    <w:rsid w:val="00705AE6"/>
    <w:rsid w:val="00705F85"/>
    <w:rsid w:val="0070628E"/>
    <w:rsid w:val="007064D0"/>
    <w:rsid w:val="00706EB4"/>
    <w:rsid w:val="007071C1"/>
    <w:rsid w:val="00715B15"/>
    <w:rsid w:val="00715F02"/>
    <w:rsid w:val="007164DA"/>
    <w:rsid w:val="00717A34"/>
    <w:rsid w:val="00720DC6"/>
    <w:rsid w:val="00723AB5"/>
    <w:rsid w:val="00723BF4"/>
    <w:rsid w:val="00725BEE"/>
    <w:rsid w:val="00727995"/>
    <w:rsid w:val="00727F16"/>
    <w:rsid w:val="00727FFB"/>
    <w:rsid w:val="00731356"/>
    <w:rsid w:val="00732CFF"/>
    <w:rsid w:val="00734C13"/>
    <w:rsid w:val="00734F4A"/>
    <w:rsid w:val="007358F0"/>
    <w:rsid w:val="00735B7D"/>
    <w:rsid w:val="007363D7"/>
    <w:rsid w:val="007375F9"/>
    <w:rsid w:val="00743063"/>
    <w:rsid w:val="00743B37"/>
    <w:rsid w:val="00744263"/>
    <w:rsid w:val="0074662C"/>
    <w:rsid w:val="0075046E"/>
    <w:rsid w:val="007504A6"/>
    <w:rsid w:val="007506BE"/>
    <w:rsid w:val="007515C0"/>
    <w:rsid w:val="00751DC4"/>
    <w:rsid w:val="00754F76"/>
    <w:rsid w:val="0075505F"/>
    <w:rsid w:val="00755670"/>
    <w:rsid w:val="007574F4"/>
    <w:rsid w:val="00761A58"/>
    <w:rsid w:val="00761C2F"/>
    <w:rsid w:val="0076371D"/>
    <w:rsid w:val="00763F8B"/>
    <w:rsid w:val="0076408D"/>
    <w:rsid w:val="00764502"/>
    <w:rsid w:val="00765F48"/>
    <w:rsid w:val="00765FC8"/>
    <w:rsid w:val="007666C1"/>
    <w:rsid w:val="007668A3"/>
    <w:rsid w:val="00767464"/>
    <w:rsid w:val="00770154"/>
    <w:rsid w:val="007708DB"/>
    <w:rsid w:val="00771B12"/>
    <w:rsid w:val="007749A5"/>
    <w:rsid w:val="00774BB5"/>
    <w:rsid w:val="00774BF3"/>
    <w:rsid w:val="00776BA4"/>
    <w:rsid w:val="00777A42"/>
    <w:rsid w:val="00783448"/>
    <w:rsid w:val="00783605"/>
    <w:rsid w:val="00784585"/>
    <w:rsid w:val="00785655"/>
    <w:rsid w:val="007856B3"/>
    <w:rsid w:val="00785FD6"/>
    <w:rsid w:val="00790C93"/>
    <w:rsid w:val="00792DE4"/>
    <w:rsid w:val="00795CB7"/>
    <w:rsid w:val="00796863"/>
    <w:rsid w:val="00797D35"/>
    <w:rsid w:val="007A136D"/>
    <w:rsid w:val="007A551B"/>
    <w:rsid w:val="007B3DF7"/>
    <w:rsid w:val="007B551C"/>
    <w:rsid w:val="007B5544"/>
    <w:rsid w:val="007B7CC7"/>
    <w:rsid w:val="007C1EA3"/>
    <w:rsid w:val="007C5EC9"/>
    <w:rsid w:val="007D00FD"/>
    <w:rsid w:val="007D01FA"/>
    <w:rsid w:val="007D06FF"/>
    <w:rsid w:val="007D0AA5"/>
    <w:rsid w:val="007D1372"/>
    <w:rsid w:val="007D2C3D"/>
    <w:rsid w:val="007D61E4"/>
    <w:rsid w:val="007E262B"/>
    <w:rsid w:val="007E3A6C"/>
    <w:rsid w:val="007E7B7A"/>
    <w:rsid w:val="007E7C8C"/>
    <w:rsid w:val="007F0591"/>
    <w:rsid w:val="007F13BF"/>
    <w:rsid w:val="007F2CBA"/>
    <w:rsid w:val="007F4FD3"/>
    <w:rsid w:val="007F63F4"/>
    <w:rsid w:val="007F760F"/>
    <w:rsid w:val="00801211"/>
    <w:rsid w:val="008014F8"/>
    <w:rsid w:val="00802116"/>
    <w:rsid w:val="00804D80"/>
    <w:rsid w:val="00805651"/>
    <w:rsid w:val="00806211"/>
    <w:rsid w:val="0080665B"/>
    <w:rsid w:val="00806D4E"/>
    <w:rsid w:val="00810838"/>
    <w:rsid w:val="00810C7E"/>
    <w:rsid w:val="00812A0D"/>
    <w:rsid w:val="008144D4"/>
    <w:rsid w:val="008145E5"/>
    <w:rsid w:val="00820119"/>
    <w:rsid w:val="00821477"/>
    <w:rsid w:val="00821588"/>
    <w:rsid w:val="00823927"/>
    <w:rsid w:val="00823A81"/>
    <w:rsid w:val="0082711A"/>
    <w:rsid w:val="008275A3"/>
    <w:rsid w:val="00831B0B"/>
    <w:rsid w:val="00831B64"/>
    <w:rsid w:val="00832293"/>
    <w:rsid w:val="00833734"/>
    <w:rsid w:val="00835E7B"/>
    <w:rsid w:val="0083664C"/>
    <w:rsid w:val="0083704B"/>
    <w:rsid w:val="00843D10"/>
    <w:rsid w:val="00846200"/>
    <w:rsid w:val="008511AC"/>
    <w:rsid w:val="0085312B"/>
    <w:rsid w:val="00861097"/>
    <w:rsid w:val="0086363E"/>
    <w:rsid w:val="008639E6"/>
    <w:rsid w:val="00863A0C"/>
    <w:rsid w:val="00863BA7"/>
    <w:rsid w:val="008665CD"/>
    <w:rsid w:val="00871C3C"/>
    <w:rsid w:val="00874C8E"/>
    <w:rsid w:val="00875776"/>
    <w:rsid w:val="0087658E"/>
    <w:rsid w:val="008773FB"/>
    <w:rsid w:val="00877418"/>
    <w:rsid w:val="00877C19"/>
    <w:rsid w:val="008800B5"/>
    <w:rsid w:val="00882587"/>
    <w:rsid w:val="008829DD"/>
    <w:rsid w:val="00886670"/>
    <w:rsid w:val="0089235E"/>
    <w:rsid w:val="00893E18"/>
    <w:rsid w:val="00894BFC"/>
    <w:rsid w:val="00894FC8"/>
    <w:rsid w:val="00897F96"/>
    <w:rsid w:val="008A05DE"/>
    <w:rsid w:val="008A106B"/>
    <w:rsid w:val="008A1413"/>
    <w:rsid w:val="008A205F"/>
    <w:rsid w:val="008A22EA"/>
    <w:rsid w:val="008A4461"/>
    <w:rsid w:val="008B0C8E"/>
    <w:rsid w:val="008B189E"/>
    <w:rsid w:val="008B7CD2"/>
    <w:rsid w:val="008C098E"/>
    <w:rsid w:val="008C18D5"/>
    <w:rsid w:val="008C6F64"/>
    <w:rsid w:val="008D1766"/>
    <w:rsid w:val="008D17A0"/>
    <w:rsid w:val="008D22EA"/>
    <w:rsid w:val="008D288F"/>
    <w:rsid w:val="008D7D3B"/>
    <w:rsid w:val="008E1173"/>
    <w:rsid w:val="008E15C6"/>
    <w:rsid w:val="008E7AAA"/>
    <w:rsid w:val="008F4FBA"/>
    <w:rsid w:val="008F589E"/>
    <w:rsid w:val="008F7952"/>
    <w:rsid w:val="00900082"/>
    <w:rsid w:val="00901EF9"/>
    <w:rsid w:val="009021AB"/>
    <w:rsid w:val="00903041"/>
    <w:rsid w:val="009061E3"/>
    <w:rsid w:val="009073FB"/>
    <w:rsid w:val="00910524"/>
    <w:rsid w:val="00912E88"/>
    <w:rsid w:val="00914A02"/>
    <w:rsid w:val="00915F34"/>
    <w:rsid w:val="00916C71"/>
    <w:rsid w:val="00923600"/>
    <w:rsid w:val="00925965"/>
    <w:rsid w:val="00927574"/>
    <w:rsid w:val="00930EA4"/>
    <w:rsid w:val="00932526"/>
    <w:rsid w:val="009342F8"/>
    <w:rsid w:val="00936198"/>
    <w:rsid w:val="009363BA"/>
    <w:rsid w:val="00936924"/>
    <w:rsid w:val="00936C66"/>
    <w:rsid w:val="00941F13"/>
    <w:rsid w:val="00942362"/>
    <w:rsid w:val="00942DA7"/>
    <w:rsid w:val="00943AD1"/>
    <w:rsid w:val="0094409D"/>
    <w:rsid w:val="00945988"/>
    <w:rsid w:val="009535D5"/>
    <w:rsid w:val="00954EC1"/>
    <w:rsid w:val="00955136"/>
    <w:rsid w:val="00955318"/>
    <w:rsid w:val="009568D0"/>
    <w:rsid w:val="00957308"/>
    <w:rsid w:val="009614DF"/>
    <w:rsid w:val="009646EB"/>
    <w:rsid w:val="0096542F"/>
    <w:rsid w:val="0096637B"/>
    <w:rsid w:val="00966A4E"/>
    <w:rsid w:val="00967E73"/>
    <w:rsid w:val="009705EF"/>
    <w:rsid w:val="00971188"/>
    <w:rsid w:val="009714C7"/>
    <w:rsid w:val="009734CB"/>
    <w:rsid w:val="0098120A"/>
    <w:rsid w:val="00983210"/>
    <w:rsid w:val="0098380D"/>
    <w:rsid w:val="00984755"/>
    <w:rsid w:val="00987C36"/>
    <w:rsid w:val="009917FB"/>
    <w:rsid w:val="009955BB"/>
    <w:rsid w:val="009964B4"/>
    <w:rsid w:val="00997E82"/>
    <w:rsid w:val="009A3CF3"/>
    <w:rsid w:val="009A7EAD"/>
    <w:rsid w:val="009B33DD"/>
    <w:rsid w:val="009B343E"/>
    <w:rsid w:val="009B4C85"/>
    <w:rsid w:val="009C486B"/>
    <w:rsid w:val="009D0AA6"/>
    <w:rsid w:val="009D1F05"/>
    <w:rsid w:val="009D300A"/>
    <w:rsid w:val="009D332F"/>
    <w:rsid w:val="009D5CBC"/>
    <w:rsid w:val="009D68F9"/>
    <w:rsid w:val="009D6ACF"/>
    <w:rsid w:val="009D6B14"/>
    <w:rsid w:val="009E0831"/>
    <w:rsid w:val="009E24E5"/>
    <w:rsid w:val="009E278A"/>
    <w:rsid w:val="009E4013"/>
    <w:rsid w:val="009E5EE8"/>
    <w:rsid w:val="009F099C"/>
    <w:rsid w:val="009F10F6"/>
    <w:rsid w:val="009F1184"/>
    <w:rsid w:val="009F20EE"/>
    <w:rsid w:val="009F23FE"/>
    <w:rsid w:val="009F6404"/>
    <w:rsid w:val="009F7384"/>
    <w:rsid w:val="009F7867"/>
    <w:rsid w:val="00A04A21"/>
    <w:rsid w:val="00A13146"/>
    <w:rsid w:val="00A1343D"/>
    <w:rsid w:val="00A16336"/>
    <w:rsid w:val="00A21A9C"/>
    <w:rsid w:val="00A23B17"/>
    <w:rsid w:val="00A27F02"/>
    <w:rsid w:val="00A304E1"/>
    <w:rsid w:val="00A30632"/>
    <w:rsid w:val="00A31B44"/>
    <w:rsid w:val="00A3215D"/>
    <w:rsid w:val="00A32658"/>
    <w:rsid w:val="00A32E05"/>
    <w:rsid w:val="00A3327F"/>
    <w:rsid w:val="00A33CA3"/>
    <w:rsid w:val="00A35BC8"/>
    <w:rsid w:val="00A37A6E"/>
    <w:rsid w:val="00A42863"/>
    <w:rsid w:val="00A4398A"/>
    <w:rsid w:val="00A465A1"/>
    <w:rsid w:val="00A50D1F"/>
    <w:rsid w:val="00A50F30"/>
    <w:rsid w:val="00A511BC"/>
    <w:rsid w:val="00A54258"/>
    <w:rsid w:val="00A548EC"/>
    <w:rsid w:val="00A60747"/>
    <w:rsid w:val="00A60BB1"/>
    <w:rsid w:val="00A6316E"/>
    <w:rsid w:val="00A63F5D"/>
    <w:rsid w:val="00A64BBF"/>
    <w:rsid w:val="00A66D58"/>
    <w:rsid w:val="00A67C04"/>
    <w:rsid w:val="00A70225"/>
    <w:rsid w:val="00A70E7A"/>
    <w:rsid w:val="00A70F3B"/>
    <w:rsid w:val="00A71876"/>
    <w:rsid w:val="00A728EE"/>
    <w:rsid w:val="00A7714F"/>
    <w:rsid w:val="00A83991"/>
    <w:rsid w:val="00A90308"/>
    <w:rsid w:val="00A93961"/>
    <w:rsid w:val="00A94ABA"/>
    <w:rsid w:val="00A94BE5"/>
    <w:rsid w:val="00A9540B"/>
    <w:rsid w:val="00A95459"/>
    <w:rsid w:val="00AA00E9"/>
    <w:rsid w:val="00AA06B6"/>
    <w:rsid w:val="00AA18D7"/>
    <w:rsid w:val="00AA19AF"/>
    <w:rsid w:val="00AA4710"/>
    <w:rsid w:val="00AA4EA3"/>
    <w:rsid w:val="00AB2DF6"/>
    <w:rsid w:val="00AB4CB9"/>
    <w:rsid w:val="00AB5AD0"/>
    <w:rsid w:val="00AB7E28"/>
    <w:rsid w:val="00AC0615"/>
    <w:rsid w:val="00AC0A07"/>
    <w:rsid w:val="00AC1529"/>
    <w:rsid w:val="00AC19D5"/>
    <w:rsid w:val="00AC5B30"/>
    <w:rsid w:val="00AC7359"/>
    <w:rsid w:val="00AC7B5F"/>
    <w:rsid w:val="00AD1ECF"/>
    <w:rsid w:val="00AD217B"/>
    <w:rsid w:val="00AD5B27"/>
    <w:rsid w:val="00AD6E34"/>
    <w:rsid w:val="00AD73A4"/>
    <w:rsid w:val="00AE040F"/>
    <w:rsid w:val="00AE135F"/>
    <w:rsid w:val="00AE15C9"/>
    <w:rsid w:val="00AE4739"/>
    <w:rsid w:val="00AE4C45"/>
    <w:rsid w:val="00AE609C"/>
    <w:rsid w:val="00AF08A8"/>
    <w:rsid w:val="00AF0EC1"/>
    <w:rsid w:val="00AF3512"/>
    <w:rsid w:val="00AF456B"/>
    <w:rsid w:val="00AF48B7"/>
    <w:rsid w:val="00AF5E15"/>
    <w:rsid w:val="00AF726D"/>
    <w:rsid w:val="00AF73C4"/>
    <w:rsid w:val="00AF7AA0"/>
    <w:rsid w:val="00B01D8C"/>
    <w:rsid w:val="00B121FA"/>
    <w:rsid w:val="00B12997"/>
    <w:rsid w:val="00B141E3"/>
    <w:rsid w:val="00B20B29"/>
    <w:rsid w:val="00B210E4"/>
    <w:rsid w:val="00B21DA6"/>
    <w:rsid w:val="00B231B8"/>
    <w:rsid w:val="00B25B2F"/>
    <w:rsid w:val="00B2784B"/>
    <w:rsid w:val="00B27EF5"/>
    <w:rsid w:val="00B304E4"/>
    <w:rsid w:val="00B306EA"/>
    <w:rsid w:val="00B342F7"/>
    <w:rsid w:val="00B36E48"/>
    <w:rsid w:val="00B43391"/>
    <w:rsid w:val="00B539DD"/>
    <w:rsid w:val="00B54429"/>
    <w:rsid w:val="00B544DE"/>
    <w:rsid w:val="00B54EFF"/>
    <w:rsid w:val="00B55840"/>
    <w:rsid w:val="00B55E57"/>
    <w:rsid w:val="00B6133C"/>
    <w:rsid w:val="00B61B3F"/>
    <w:rsid w:val="00B621D9"/>
    <w:rsid w:val="00B63258"/>
    <w:rsid w:val="00B651EF"/>
    <w:rsid w:val="00B66A34"/>
    <w:rsid w:val="00B66FED"/>
    <w:rsid w:val="00B67825"/>
    <w:rsid w:val="00B67ADA"/>
    <w:rsid w:val="00B711EB"/>
    <w:rsid w:val="00B7204E"/>
    <w:rsid w:val="00B73FF3"/>
    <w:rsid w:val="00B74C43"/>
    <w:rsid w:val="00B77B09"/>
    <w:rsid w:val="00B80078"/>
    <w:rsid w:val="00B81744"/>
    <w:rsid w:val="00B828A4"/>
    <w:rsid w:val="00B85D5A"/>
    <w:rsid w:val="00B85D66"/>
    <w:rsid w:val="00B87208"/>
    <w:rsid w:val="00B92A96"/>
    <w:rsid w:val="00B93A3F"/>
    <w:rsid w:val="00B94D48"/>
    <w:rsid w:val="00B95C64"/>
    <w:rsid w:val="00BA0214"/>
    <w:rsid w:val="00BA094C"/>
    <w:rsid w:val="00BA15F1"/>
    <w:rsid w:val="00BA284F"/>
    <w:rsid w:val="00BA2C98"/>
    <w:rsid w:val="00BA37DA"/>
    <w:rsid w:val="00BA424E"/>
    <w:rsid w:val="00BA54D8"/>
    <w:rsid w:val="00BA741C"/>
    <w:rsid w:val="00BB63C7"/>
    <w:rsid w:val="00BC0D4F"/>
    <w:rsid w:val="00BC1F40"/>
    <w:rsid w:val="00BC3979"/>
    <w:rsid w:val="00BC5CF1"/>
    <w:rsid w:val="00BC5D20"/>
    <w:rsid w:val="00BD0D19"/>
    <w:rsid w:val="00BD167F"/>
    <w:rsid w:val="00BD4400"/>
    <w:rsid w:val="00BD5DFD"/>
    <w:rsid w:val="00BD6234"/>
    <w:rsid w:val="00BD6CC1"/>
    <w:rsid w:val="00BD7CB9"/>
    <w:rsid w:val="00BD7D7A"/>
    <w:rsid w:val="00BE2192"/>
    <w:rsid w:val="00BE2E90"/>
    <w:rsid w:val="00BE3F14"/>
    <w:rsid w:val="00BE6C51"/>
    <w:rsid w:val="00BE6CAC"/>
    <w:rsid w:val="00BE6D74"/>
    <w:rsid w:val="00BF47A5"/>
    <w:rsid w:val="00BF6515"/>
    <w:rsid w:val="00BF6892"/>
    <w:rsid w:val="00BF76F7"/>
    <w:rsid w:val="00BF7F13"/>
    <w:rsid w:val="00C00190"/>
    <w:rsid w:val="00C0066F"/>
    <w:rsid w:val="00C00C54"/>
    <w:rsid w:val="00C06B27"/>
    <w:rsid w:val="00C06C4D"/>
    <w:rsid w:val="00C06E41"/>
    <w:rsid w:val="00C07488"/>
    <w:rsid w:val="00C076B6"/>
    <w:rsid w:val="00C11657"/>
    <w:rsid w:val="00C11AF5"/>
    <w:rsid w:val="00C12752"/>
    <w:rsid w:val="00C148D7"/>
    <w:rsid w:val="00C220FE"/>
    <w:rsid w:val="00C24B92"/>
    <w:rsid w:val="00C32E6C"/>
    <w:rsid w:val="00C33E32"/>
    <w:rsid w:val="00C3424B"/>
    <w:rsid w:val="00C34939"/>
    <w:rsid w:val="00C364E1"/>
    <w:rsid w:val="00C37C39"/>
    <w:rsid w:val="00C410D0"/>
    <w:rsid w:val="00C41B2F"/>
    <w:rsid w:val="00C431E9"/>
    <w:rsid w:val="00C46621"/>
    <w:rsid w:val="00C50338"/>
    <w:rsid w:val="00C51A81"/>
    <w:rsid w:val="00C54FAA"/>
    <w:rsid w:val="00C56816"/>
    <w:rsid w:val="00C57525"/>
    <w:rsid w:val="00C57DD3"/>
    <w:rsid w:val="00C61AA2"/>
    <w:rsid w:val="00C641BC"/>
    <w:rsid w:val="00C72866"/>
    <w:rsid w:val="00C7299E"/>
    <w:rsid w:val="00C760C2"/>
    <w:rsid w:val="00C8054F"/>
    <w:rsid w:val="00C80AA0"/>
    <w:rsid w:val="00C84DBA"/>
    <w:rsid w:val="00C86064"/>
    <w:rsid w:val="00C86ACA"/>
    <w:rsid w:val="00C911E7"/>
    <w:rsid w:val="00C91F26"/>
    <w:rsid w:val="00C92EE3"/>
    <w:rsid w:val="00C94C13"/>
    <w:rsid w:val="00C960DF"/>
    <w:rsid w:val="00C96AD9"/>
    <w:rsid w:val="00CA04F8"/>
    <w:rsid w:val="00CA358A"/>
    <w:rsid w:val="00CA376F"/>
    <w:rsid w:val="00CA3845"/>
    <w:rsid w:val="00CA4CF0"/>
    <w:rsid w:val="00CA5391"/>
    <w:rsid w:val="00CA6FAA"/>
    <w:rsid w:val="00CA6FC3"/>
    <w:rsid w:val="00CB0047"/>
    <w:rsid w:val="00CB1623"/>
    <w:rsid w:val="00CB16A0"/>
    <w:rsid w:val="00CB1BAA"/>
    <w:rsid w:val="00CB3BB0"/>
    <w:rsid w:val="00CB678C"/>
    <w:rsid w:val="00CB6DCE"/>
    <w:rsid w:val="00CB7963"/>
    <w:rsid w:val="00CC0FC5"/>
    <w:rsid w:val="00CC4129"/>
    <w:rsid w:val="00CC6791"/>
    <w:rsid w:val="00CC6932"/>
    <w:rsid w:val="00CC6AEF"/>
    <w:rsid w:val="00CD0765"/>
    <w:rsid w:val="00CD4402"/>
    <w:rsid w:val="00CD6009"/>
    <w:rsid w:val="00CD6A3E"/>
    <w:rsid w:val="00CE0878"/>
    <w:rsid w:val="00CE0D43"/>
    <w:rsid w:val="00CE1AD8"/>
    <w:rsid w:val="00CE60A5"/>
    <w:rsid w:val="00CE616F"/>
    <w:rsid w:val="00CE6389"/>
    <w:rsid w:val="00CE6D87"/>
    <w:rsid w:val="00CE7AA9"/>
    <w:rsid w:val="00CF1048"/>
    <w:rsid w:val="00CF2CD1"/>
    <w:rsid w:val="00CF2F3D"/>
    <w:rsid w:val="00CF387C"/>
    <w:rsid w:val="00CF6730"/>
    <w:rsid w:val="00CF6F59"/>
    <w:rsid w:val="00CF77E6"/>
    <w:rsid w:val="00D0036F"/>
    <w:rsid w:val="00D0099C"/>
    <w:rsid w:val="00D00B6C"/>
    <w:rsid w:val="00D040A4"/>
    <w:rsid w:val="00D044D1"/>
    <w:rsid w:val="00D05C9F"/>
    <w:rsid w:val="00D0643A"/>
    <w:rsid w:val="00D06564"/>
    <w:rsid w:val="00D078F4"/>
    <w:rsid w:val="00D07987"/>
    <w:rsid w:val="00D07A02"/>
    <w:rsid w:val="00D105EC"/>
    <w:rsid w:val="00D10BCA"/>
    <w:rsid w:val="00D112EA"/>
    <w:rsid w:val="00D11DBE"/>
    <w:rsid w:val="00D1204F"/>
    <w:rsid w:val="00D13971"/>
    <w:rsid w:val="00D14034"/>
    <w:rsid w:val="00D145AE"/>
    <w:rsid w:val="00D15971"/>
    <w:rsid w:val="00D2031C"/>
    <w:rsid w:val="00D21790"/>
    <w:rsid w:val="00D25424"/>
    <w:rsid w:val="00D27A95"/>
    <w:rsid w:val="00D30720"/>
    <w:rsid w:val="00D369EC"/>
    <w:rsid w:val="00D41158"/>
    <w:rsid w:val="00D42F11"/>
    <w:rsid w:val="00D4305E"/>
    <w:rsid w:val="00D43A36"/>
    <w:rsid w:val="00D46952"/>
    <w:rsid w:val="00D507F9"/>
    <w:rsid w:val="00D526D5"/>
    <w:rsid w:val="00D53667"/>
    <w:rsid w:val="00D54A9E"/>
    <w:rsid w:val="00D54E45"/>
    <w:rsid w:val="00D57B54"/>
    <w:rsid w:val="00D57FF4"/>
    <w:rsid w:val="00D61213"/>
    <w:rsid w:val="00D617A5"/>
    <w:rsid w:val="00D619E3"/>
    <w:rsid w:val="00D61C7F"/>
    <w:rsid w:val="00D67232"/>
    <w:rsid w:val="00D67761"/>
    <w:rsid w:val="00D71723"/>
    <w:rsid w:val="00D71B92"/>
    <w:rsid w:val="00D746AE"/>
    <w:rsid w:val="00D74EC8"/>
    <w:rsid w:val="00D7578D"/>
    <w:rsid w:val="00D75B18"/>
    <w:rsid w:val="00D821BB"/>
    <w:rsid w:val="00D82C84"/>
    <w:rsid w:val="00D833E9"/>
    <w:rsid w:val="00D8688A"/>
    <w:rsid w:val="00D868E9"/>
    <w:rsid w:val="00D86B87"/>
    <w:rsid w:val="00D91A0B"/>
    <w:rsid w:val="00D9209E"/>
    <w:rsid w:val="00D920AF"/>
    <w:rsid w:val="00D9290C"/>
    <w:rsid w:val="00D94474"/>
    <w:rsid w:val="00D94BEA"/>
    <w:rsid w:val="00DA24F0"/>
    <w:rsid w:val="00DA331F"/>
    <w:rsid w:val="00DA4E43"/>
    <w:rsid w:val="00DA6378"/>
    <w:rsid w:val="00DA7265"/>
    <w:rsid w:val="00DA7E93"/>
    <w:rsid w:val="00DB1C91"/>
    <w:rsid w:val="00DB2A05"/>
    <w:rsid w:val="00DB2A58"/>
    <w:rsid w:val="00DB3BBD"/>
    <w:rsid w:val="00DB3F90"/>
    <w:rsid w:val="00DB4535"/>
    <w:rsid w:val="00DB53E9"/>
    <w:rsid w:val="00DB5965"/>
    <w:rsid w:val="00DC15BA"/>
    <w:rsid w:val="00DC5640"/>
    <w:rsid w:val="00DC6E05"/>
    <w:rsid w:val="00DC7393"/>
    <w:rsid w:val="00DC7E21"/>
    <w:rsid w:val="00DD25B1"/>
    <w:rsid w:val="00DD3470"/>
    <w:rsid w:val="00DD490A"/>
    <w:rsid w:val="00DD5278"/>
    <w:rsid w:val="00DD6544"/>
    <w:rsid w:val="00DD7891"/>
    <w:rsid w:val="00DE02FF"/>
    <w:rsid w:val="00DE1C0A"/>
    <w:rsid w:val="00DE1FE3"/>
    <w:rsid w:val="00DE361D"/>
    <w:rsid w:val="00DE38D5"/>
    <w:rsid w:val="00DE3CD0"/>
    <w:rsid w:val="00DE4D64"/>
    <w:rsid w:val="00DE54D0"/>
    <w:rsid w:val="00DE6A4C"/>
    <w:rsid w:val="00DF5A0A"/>
    <w:rsid w:val="00DF7565"/>
    <w:rsid w:val="00DF7E39"/>
    <w:rsid w:val="00E01A29"/>
    <w:rsid w:val="00E020E3"/>
    <w:rsid w:val="00E02D7C"/>
    <w:rsid w:val="00E05061"/>
    <w:rsid w:val="00E05375"/>
    <w:rsid w:val="00E05AA2"/>
    <w:rsid w:val="00E06F78"/>
    <w:rsid w:val="00E12ABC"/>
    <w:rsid w:val="00E16EF8"/>
    <w:rsid w:val="00E17E90"/>
    <w:rsid w:val="00E2074C"/>
    <w:rsid w:val="00E210BD"/>
    <w:rsid w:val="00E21827"/>
    <w:rsid w:val="00E23121"/>
    <w:rsid w:val="00E23671"/>
    <w:rsid w:val="00E243FA"/>
    <w:rsid w:val="00E24AEB"/>
    <w:rsid w:val="00E251DD"/>
    <w:rsid w:val="00E2613F"/>
    <w:rsid w:val="00E263D4"/>
    <w:rsid w:val="00E31A76"/>
    <w:rsid w:val="00E31D6E"/>
    <w:rsid w:val="00E333D1"/>
    <w:rsid w:val="00E34327"/>
    <w:rsid w:val="00E34F78"/>
    <w:rsid w:val="00E35659"/>
    <w:rsid w:val="00E3728F"/>
    <w:rsid w:val="00E47E29"/>
    <w:rsid w:val="00E53A69"/>
    <w:rsid w:val="00E53C97"/>
    <w:rsid w:val="00E53DC2"/>
    <w:rsid w:val="00E53FB7"/>
    <w:rsid w:val="00E552E0"/>
    <w:rsid w:val="00E61782"/>
    <w:rsid w:val="00E65489"/>
    <w:rsid w:val="00E65B94"/>
    <w:rsid w:val="00E670FA"/>
    <w:rsid w:val="00E67372"/>
    <w:rsid w:val="00E73DFE"/>
    <w:rsid w:val="00E752DB"/>
    <w:rsid w:val="00E769C5"/>
    <w:rsid w:val="00E76B0C"/>
    <w:rsid w:val="00E7748A"/>
    <w:rsid w:val="00E81D63"/>
    <w:rsid w:val="00E83E1A"/>
    <w:rsid w:val="00E85155"/>
    <w:rsid w:val="00E86E85"/>
    <w:rsid w:val="00E90610"/>
    <w:rsid w:val="00E9065F"/>
    <w:rsid w:val="00E908E0"/>
    <w:rsid w:val="00E90AE1"/>
    <w:rsid w:val="00E92061"/>
    <w:rsid w:val="00E92D97"/>
    <w:rsid w:val="00E94631"/>
    <w:rsid w:val="00E958EE"/>
    <w:rsid w:val="00EA00ED"/>
    <w:rsid w:val="00EA0B7F"/>
    <w:rsid w:val="00EA19D0"/>
    <w:rsid w:val="00EA442B"/>
    <w:rsid w:val="00EA59A3"/>
    <w:rsid w:val="00EA6335"/>
    <w:rsid w:val="00EB028F"/>
    <w:rsid w:val="00EB2020"/>
    <w:rsid w:val="00EB271A"/>
    <w:rsid w:val="00EB2E9A"/>
    <w:rsid w:val="00EB5514"/>
    <w:rsid w:val="00EB5979"/>
    <w:rsid w:val="00EB7F47"/>
    <w:rsid w:val="00EC0272"/>
    <w:rsid w:val="00EC0412"/>
    <w:rsid w:val="00EC3B9A"/>
    <w:rsid w:val="00EC3F1F"/>
    <w:rsid w:val="00EC6E8F"/>
    <w:rsid w:val="00EC77B4"/>
    <w:rsid w:val="00EC7C0F"/>
    <w:rsid w:val="00ED0FC5"/>
    <w:rsid w:val="00ED23FB"/>
    <w:rsid w:val="00ED2F08"/>
    <w:rsid w:val="00ED3677"/>
    <w:rsid w:val="00ED383C"/>
    <w:rsid w:val="00ED43E7"/>
    <w:rsid w:val="00ED4984"/>
    <w:rsid w:val="00ED50D2"/>
    <w:rsid w:val="00ED7025"/>
    <w:rsid w:val="00ED7CCF"/>
    <w:rsid w:val="00EE62E1"/>
    <w:rsid w:val="00EF1E32"/>
    <w:rsid w:val="00EF5CEA"/>
    <w:rsid w:val="00EF66FC"/>
    <w:rsid w:val="00EF7B93"/>
    <w:rsid w:val="00F00AB5"/>
    <w:rsid w:val="00F01461"/>
    <w:rsid w:val="00F03630"/>
    <w:rsid w:val="00F03E7F"/>
    <w:rsid w:val="00F052BE"/>
    <w:rsid w:val="00F05E6A"/>
    <w:rsid w:val="00F07860"/>
    <w:rsid w:val="00F115BB"/>
    <w:rsid w:val="00F13AA6"/>
    <w:rsid w:val="00F144AE"/>
    <w:rsid w:val="00F14951"/>
    <w:rsid w:val="00F14BB3"/>
    <w:rsid w:val="00F2012B"/>
    <w:rsid w:val="00F23520"/>
    <w:rsid w:val="00F2490C"/>
    <w:rsid w:val="00F25A67"/>
    <w:rsid w:val="00F27939"/>
    <w:rsid w:val="00F30033"/>
    <w:rsid w:val="00F31441"/>
    <w:rsid w:val="00F33E0A"/>
    <w:rsid w:val="00F34E93"/>
    <w:rsid w:val="00F34EB8"/>
    <w:rsid w:val="00F358E7"/>
    <w:rsid w:val="00F36240"/>
    <w:rsid w:val="00F37A6B"/>
    <w:rsid w:val="00F406F3"/>
    <w:rsid w:val="00F434E2"/>
    <w:rsid w:val="00F43F36"/>
    <w:rsid w:val="00F50B90"/>
    <w:rsid w:val="00F547B6"/>
    <w:rsid w:val="00F5661A"/>
    <w:rsid w:val="00F618A1"/>
    <w:rsid w:val="00F622F5"/>
    <w:rsid w:val="00F65337"/>
    <w:rsid w:val="00F65C1C"/>
    <w:rsid w:val="00F701E3"/>
    <w:rsid w:val="00F71494"/>
    <w:rsid w:val="00F71FF0"/>
    <w:rsid w:val="00F7246A"/>
    <w:rsid w:val="00F737DC"/>
    <w:rsid w:val="00F77026"/>
    <w:rsid w:val="00F87BFA"/>
    <w:rsid w:val="00F91464"/>
    <w:rsid w:val="00F917FB"/>
    <w:rsid w:val="00F91DB7"/>
    <w:rsid w:val="00F96807"/>
    <w:rsid w:val="00F971C6"/>
    <w:rsid w:val="00FA182B"/>
    <w:rsid w:val="00FA32E3"/>
    <w:rsid w:val="00FA3460"/>
    <w:rsid w:val="00FA505D"/>
    <w:rsid w:val="00FB5312"/>
    <w:rsid w:val="00FB5410"/>
    <w:rsid w:val="00FB6BDB"/>
    <w:rsid w:val="00FB7A98"/>
    <w:rsid w:val="00FC1100"/>
    <w:rsid w:val="00FC17B6"/>
    <w:rsid w:val="00FC1EA7"/>
    <w:rsid w:val="00FC2C5C"/>
    <w:rsid w:val="00FC39F2"/>
    <w:rsid w:val="00FC47A5"/>
    <w:rsid w:val="00FC5AAC"/>
    <w:rsid w:val="00FC782B"/>
    <w:rsid w:val="00FD0B45"/>
    <w:rsid w:val="00FD1BA6"/>
    <w:rsid w:val="00FD1DAF"/>
    <w:rsid w:val="00FD2218"/>
    <w:rsid w:val="00FD33CE"/>
    <w:rsid w:val="00FD3C0C"/>
    <w:rsid w:val="00FD793A"/>
    <w:rsid w:val="00FD79D4"/>
    <w:rsid w:val="00FE0915"/>
    <w:rsid w:val="00FE2A71"/>
    <w:rsid w:val="00FE4BBB"/>
    <w:rsid w:val="00FE7A1F"/>
    <w:rsid w:val="00FF0872"/>
    <w:rsid w:val="00FF7278"/>
    <w:rsid w:val="03225CE9"/>
    <w:rsid w:val="035C797A"/>
    <w:rsid w:val="06067491"/>
    <w:rsid w:val="06D63183"/>
    <w:rsid w:val="07303440"/>
    <w:rsid w:val="07E1187B"/>
    <w:rsid w:val="094D4724"/>
    <w:rsid w:val="09ED69F7"/>
    <w:rsid w:val="09FC441C"/>
    <w:rsid w:val="0A8F3F52"/>
    <w:rsid w:val="0C2545B8"/>
    <w:rsid w:val="0D191B48"/>
    <w:rsid w:val="0E4F63BB"/>
    <w:rsid w:val="101571CB"/>
    <w:rsid w:val="10AD298A"/>
    <w:rsid w:val="10FF4498"/>
    <w:rsid w:val="11100A55"/>
    <w:rsid w:val="13901EB6"/>
    <w:rsid w:val="13EE1626"/>
    <w:rsid w:val="14241CA4"/>
    <w:rsid w:val="1738699F"/>
    <w:rsid w:val="19DF45AE"/>
    <w:rsid w:val="1A974829"/>
    <w:rsid w:val="1B3C2E99"/>
    <w:rsid w:val="1BA24C47"/>
    <w:rsid w:val="1BE37A66"/>
    <w:rsid w:val="1C00147D"/>
    <w:rsid w:val="1C593354"/>
    <w:rsid w:val="1FF6169F"/>
    <w:rsid w:val="24DA321E"/>
    <w:rsid w:val="25926ADC"/>
    <w:rsid w:val="27556A94"/>
    <w:rsid w:val="2829546D"/>
    <w:rsid w:val="2844507B"/>
    <w:rsid w:val="28E20BF3"/>
    <w:rsid w:val="295F21EE"/>
    <w:rsid w:val="2A884CF3"/>
    <w:rsid w:val="2A941DF3"/>
    <w:rsid w:val="2ACF7D62"/>
    <w:rsid w:val="2AD51ED6"/>
    <w:rsid w:val="2D922411"/>
    <w:rsid w:val="2E845F7F"/>
    <w:rsid w:val="2F814F83"/>
    <w:rsid w:val="2FA1589C"/>
    <w:rsid w:val="3015556A"/>
    <w:rsid w:val="31AA703A"/>
    <w:rsid w:val="32975EDD"/>
    <w:rsid w:val="331D6769"/>
    <w:rsid w:val="34043A4F"/>
    <w:rsid w:val="3684748F"/>
    <w:rsid w:val="36A716A8"/>
    <w:rsid w:val="37DD5222"/>
    <w:rsid w:val="39474D95"/>
    <w:rsid w:val="39AD5B9E"/>
    <w:rsid w:val="3B2836A5"/>
    <w:rsid w:val="3C1D6578"/>
    <w:rsid w:val="3E794BBE"/>
    <w:rsid w:val="3F7F012E"/>
    <w:rsid w:val="435A1C08"/>
    <w:rsid w:val="43D91847"/>
    <w:rsid w:val="472655F1"/>
    <w:rsid w:val="47826EE1"/>
    <w:rsid w:val="47C9461F"/>
    <w:rsid w:val="4983601C"/>
    <w:rsid w:val="4992526E"/>
    <w:rsid w:val="4A9F1AED"/>
    <w:rsid w:val="4BB00515"/>
    <w:rsid w:val="4CE734C1"/>
    <w:rsid w:val="4D281451"/>
    <w:rsid w:val="4E56724C"/>
    <w:rsid w:val="516A7381"/>
    <w:rsid w:val="51830277"/>
    <w:rsid w:val="51BA0A47"/>
    <w:rsid w:val="52206E9B"/>
    <w:rsid w:val="558C5230"/>
    <w:rsid w:val="56647E66"/>
    <w:rsid w:val="56F83A0E"/>
    <w:rsid w:val="58D34B1A"/>
    <w:rsid w:val="5A8E18C1"/>
    <w:rsid w:val="5DA256D4"/>
    <w:rsid w:val="5E6C52B2"/>
    <w:rsid w:val="5FF71A4A"/>
    <w:rsid w:val="60B40282"/>
    <w:rsid w:val="616D2866"/>
    <w:rsid w:val="61C405C9"/>
    <w:rsid w:val="63F44FB3"/>
    <w:rsid w:val="65771A1C"/>
    <w:rsid w:val="65B4597B"/>
    <w:rsid w:val="663E7B8B"/>
    <w:rsid w:val="664B0EB8"/>
    <w:rsid w:val="67786A9E"/>
    <w:rsid w:val="679B7E8B"/>
    <w:rsid w:val="6AA01177"/>
    <w:rsid w:val="6BC278B2"/>
    <w:rsid w:val="6CE6697A"/>
    <w:rsid w:val="6D104F80"/>
    <w:rsid w:val="6D6C1CD1"/>
    <w:rsid w:val="6EE45F1C"/>
    <w:rsid w:val="6F685A10"/>
    <w:rsid w:val="6FF92490"/>
    <w:rsid w:val="740D6EC0"/>
    <w:rsid w:val="741457EF"/>
    <w:rsid w:val="742D48C4"/>
    <w:rsid w:val="747E747A"/>
    <w:rsid w:val="74D41854"/>
    <w:rsid w:val="755531C5"/>
    <w:rsid w:val="77E8263C"/>
    <w:rsid w:val="785E2511"/>
    <w:rsid w:val="7A2C137B"/>
    <w:rsid w:val="7B036350"/>
    <w:rsid w:val="7B584E5D"/>
    <w:rsid w:val="7B5B31C6"/>
    <w:rsid w:val="7B8F2B31"/>
    <w:rsid w:val="7B947789"/>
    <w:rsid w:val="7BA83B4A"/>
    <w:rsid w:val="7E6E38B3"/>
    <w:rsid w:val="DFDF9FD0"/>
    <w:rsid w:val="FE9B6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仿宋_GB2312" w:hAnsi="仿宋_GB2312" w:eastAsia="仿宋_GB2312" w:cs="Times New Roman"/>
      <w:kern w:val="2"/>
      <w:sz w:val="30"/>
      <w:szCs w:val="22"/>
      <w:lang w:val="en-US" w:eastAsia="zh-CN" w:bidi="ar-SA"/>
    </w:rPr>
  </w:style>
  <w:style w:type="paragraph" w:styleId="2">
    <w:name w:val="heading 1"/>
    <w:basedOn w:val="1"/>
    <w:next w:val="1"/>
    <w:link w:val="35"/>
    <w:qFormat/>
    <w:uiPriority w:val="9"/>
    <w:pPr>
      <w:keepNext/>
      <w:keepLines/>
      <w:numPr>
        <w:ilvl w:val="0"/>
        <w:numId w:val="1"/>
      </w:numPr>
      <w:ind w:firstLine="0" w:firstLineChars="0"/>
      <w:outlineLvl w:val="0"/>
    </w:pPr>
    <w:rPr>
      <w:rFonts w:eastAsia="黑体"/>
      <w:kern w:val="44"/>
    </w:rPr>
  </w:style>
  <w:style w:type="paragraph" w:styleId="3">
    <w:name w:val="heading 2"/>
    <w:basedOn w:val="1"/>
    <w:next w:val="1"/>
    <w:link w:val="36"/>
    <w:unhideWhenUsed/>
    <w:qFormat/>
    <w:uiPriority w:val="9"/>
    <w:pPr>
      <w:keepNext/>
      <w:keepLines/>
      <w:numPr>
        <w:ilvl w:val="0"/>
        <w:numId w:val="2"/>
      </w:numPr>
      <w:ind w:firstLine="0" w:firstLineChars="0"/>
      <w:outlineLvl w:val="1"/>
    </w:pPr>
    <w:rPr>
      <w:rFonts w:ascii="Arial" w:hAnsi="Arial" w:eastAsia="楷体"/>
      <w:b/>
    </w:rPr>
  </w:style>
  <w:style w:type="paragraph" w:styleId="4">
    <w:name w:val="heading 3"/>
    <w:basedOn w:val="1"/>
    <w:next w:val="1"/>
    <w:link w:val="37"/>
    <w:unhideWhenUsed/>
    <w:qFormat/>
    <w:uiPriority w:val="9"/>
    <w:pPr>
      <w:keepNext/>
      <w:keepLines/>
      <w:numPr>
        <w:ilvl w:val="0"/>
        <w:numId w:val="3"/>
      </w:numPr>
      <w:adjustRightInd w:val="0"/>
      <w:ind w:firstLine="0" w:firstLineChars="0"/>
      <w:jc w:val="left"/>
      <w:outlineLvl w:val="2"/>
    </w:pPr>
    <w:rPr>
      <w:b/>
    </w:rPr>
  </w:style>
  <w:style w:type="paragraph" w:styleId="5">
    <w:name w:val="heading 4"/>
    <w:basedOn w:val="1"/>
    <w:next w:val="1"/>
    <w:link w:val="38"/>
    <w:unhideWhenUsed/>
    <w:qFormat/>
    <w:uiPriority w:val="9"/>
    <w:pPr>
      <w:keepNext/>
      <w:keepLines/>
      <w:numPr>
        <w:ilvl w:val="0"/>
        <w:numId w:val="4"/>
      </w:numPr>
      <w:ind w:firstLine="0" w:firstLineChars="0"/>
      <w:outlineLvl w:val="3"/>
    </w:pPr>
    <w:rPr>
      <w:b/>
    </w:rPr>
  </w:style>
  <w:style w:type="paragraph" w:styleId="6">
    <w:name w:val="heading 5"/>
    <w:basedOn w:val="1"/>
    <w:next w:val="1"/>
    <w:link w:val="39"/>
    <w:unhideWhenUsed/>
    <w:qFormat/>
    <w:uiPriority w:val="9"/>
    <w:pPr>
      <w:keepNext/>
      <w:keepLines/>
      <w:spacing w:before="280" w:after="290" w:line="372" w:lineRule="auto"/>
      <w:outlineLvl w:val="4"/>
    </w:pPr>
    <w:rPr>
      <w:b/>
      <w:sz w:val="28"/>
    </w:rPr>
  </w:style>
  <w:style w:type="paragraph" w:styleId="7">
    <w:name w:val="heading 6"/>
    <w:basedOn w:val="1"/>
    <w:next w:val="1"/>
    <w:link w:val="40"/>
    <w:unhideWhenUsed/>
    <w:qFormat/>
    <w:uiPriority w:val="9"/>
    <w:pPr>
      <w:keepNext/>
      <w:keepLines/>
      <w:ind w:firstLine="0" w:firstLineChars="0"/>
      <w:jc w:val="center"/>
      <w:outlineLvl w:val="5"/>
    </w:pPr>
    <w:rPr>
      <w:rFonts w:ascii="Arial" w:hAnsi="Arial" w:eastAsia="方正小标宋简体"/>
      <w:sz w:val="44"/>
    </w:rPr>
  </w:style>
  <w:style w:type="paragraph" w:styleId="8">
    <w:name w:val="heading 7"/>
    <w:basedOn w:val="1"/>
    <w:next w:val="1"/>
    <w:link w:val="41"/>
    <w:unhideWhenUsed/>
    <w:qFormat/>
    <w:uiPriority w:val="0"/>
    <w:pPr>
      <w:keepNext/>
      <w:keepLines/>
      <w:spacing w:before="240" w:after="64" w:line="317" w:lineRule="auto"/>
      <w:outlineLvl w:val="6"/>
    </w:pPr>
    <w:rPr>
      <w:b/>
      <w:sz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9">
    <w:name w:val="toc 7"/>
    <w:basedOn w:val="1"/>
    <w:next w:val="1"/>
    <w:unhideWhenUsed/>
    <w:qFormat/>
    <w:uiPriority w:val="39"/>
    <w:pPr>
      <w:ind w:left="1800"/>
      <w:jc w:val="left"/>
    </w:pPr>
    <w:rPr>
      <w:rFonts w:asciiTheme="minorHAnsi" w:hAnsiTheme="minorHAnsi"/>
      <w:sz w:val="20"/>
      <w:szCs w:val="20"/>
    </w:rPr>
  </w:style>
  <w:style w:type="paragraph" w:styleId="10">
    <w:name w:val="annotation text"/>
    <w:basedOn w:val="1"/>
    <w:link w:val="42"/>
    <w:unhideWhenUsed/>
    <w:qFormat/>
    <w:uiPriority w:val="0"/>
    <w:pPr>
      <w:jc w:val="left"/>
    </w:pPr>
  </w:style>
  <w:style w:type="paragraph" w:styleId="11">
    <w:name w:val="toc 5"/>
    <w:basedOn w:val="1"/>
    <w:next w:val="1"/>
    <w:unhideWhenUsed/>
    <w:qFormat/>
    <w:uiPriority w:val="39"/>
    <w:pPr>
      <w:ind w:left="1200"/>
      <w:jc w:val="left"/>
    </w:pPr>
    <w:rPr>
      <w:rFonts w:asciiTheme="minorHAnsi" w:hAnsiTheme="minorHAnsi"/>
      <w:sz w:val="20"/>
      <w:szCs w:val="20"/>
    </w:rPr>
  </w:style>
  <w:style w:type="paragraph" w:styleId="12">
    <w:name w:val="toc 3"/>
    <w:basedOn w:val="1"/>
    <w:next w:val="1"/>
    <w:unhideWhenUsed/>
    <w:qFormat/>
    <w:uiPriority w:val="39"/>
    <w:pPr>
      <w:ind w:left="600"/>
      <w:jc w:val="left"/>
    </w:pPr>
    <w:rPr>
      <w:rFonts w:asciiTheme="minorHAnsi" w:hAnsiTheme="minorHAnsi"/>
      <w:sz w:val="20"/>
      <w:szCs w:val="20"/>
    </w:rPr>
  </w:style>
  <w:style w:type="paragraph" w:styleId="13">
    <w:name w:val="toc 8"/>
    <w:basedOn w:val="1"/>
    <w:next w:val="1"/>
    <w:unhideWhenUsed/>
    <w:qFormat/>
    <w:uiPriority w:val="39"/>
    <w:pPr>
      <w:ind w:left="2100"/>
      <w:jc w:val="left"/>
    </w:pPr>
    <w:rPr>
      <w:rFonts w:asciiTheme="minorHAnsi" w:hAnsiTheme="minorHAnsi"/>
      <w:sz w:val="20"/>
      <w:szCs w:val="20"/>
    </w:rPr>
  </w:style>
  <w:style w:type="paragraph" w:styleId="14">
    <w:name w:val="Balloon Text"/>
    <w:basedOn w:val="1"/>
    <w:link w:val="43"/>
    <w:qFormat/>
    <w:uiPriority w:val="0"/>
    <w:pPr>
      <w:spacing w:line="240" w:lineRule="auto"/>
    </w:pPr>
    <w:rPr>
      <w:sz w:val="18"/>
      <w:szCs w:val="18"/>
    </w:rPr>
  </w:style>
  <w:style w:type="paragraph" w:styleId="15">
    <w:name w:val="footer"/>
    <w:basedOn w:val="1"/>
    <w:link w:val="34"/>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240" w:after="120"/>
      <w:jc w:val="left"/>
    </w:pPr>
    <w:rPr>
      <w:rFonts w:asciiTheme="minorHAnsi" w:hAnsiTheme="minorHAnsi"/>
      <w:b/>
      <w:bCs/>
      <w:sz w:val="20"/>
      <w:szCs w:val="20"/>
    </w:rPr>
  </w:style>
  <w:style w:type="paragraph" w:styleId="18">
    <w:name w:val="toc 4"/>
    <w:basedOn w:val="1"/>
    <w:next w:val="1"/>
    <w:unhideWhenUsed/>
    <w:qFormat/>
    <w:uiPriority w:val="39"/>
    <w:pPr>
      <w:ind w:left="900"/>
      <w:jc w:val="left"/>
    </w:pPr>
    <w:rPr>
      <w:rFonts w:asciiTheme="minorHAnsi" w:hAnsiTheme="minorHAnsi"/>
      <w:sz w:val="20"/>
      <w:szCs w:val="20"/>
    </w:rPr>
  </w:style>
  <w:style w:type="paragraph" w:styleId="19">
    <w:name w:val="toc 6"/>
    <w:basedOn w:val="1"/>
    <w:next w:val="1"/>
    <w:unhideWhenUsed/>
    <w:qFormat/>
    <w:uiPriority w:val="39"/>
    <w:pPr>
      <w:ind w:left="1500"/>
      <w:jc w:val="left"/>
    </w:pPr>
    <w:rPr>
      <w:rFonts w:asciiTheme="minorHAnsi" w:hAnsiTheme="minorHAnsi"/>
      <w:sz w:val="20"/>
      <w:szCs w:val="20"/>
    </w:rPr>
  </w:style>
  <w:style w:type="paragraph" w:styleId="20">
    <w:name w:val="toc 2"/>
    <w:basedOn w:val="1"/>
    <w:next w:val="1"/>
    <w:unhideWhenUsed/>
    <w:qFormat/>
    <w:uiPriority w:val="39"/>
    <w:pPr>
      <w:spacing w:before="120"/>
      <w:ind w:left="300"/>
      <w:jc w:val="left"/>
    </w:pPr>
    <w:rPr>
      <w:rFonts w:asciiTheme="minorHAnsi" w:hAnsiTheme="minorHAnsi"/>
      <w:i/>
      <w:iCs/>
      <w:sz w:val="20"/>
      <w:szCs w:val="20"/>
    </w:rPr>
  </w:style>
  <w:style w:type="paragraph" w:styleId="21">
    <w:name w:val="toc 9"/>
    <w:basedOn w:val="1"/>
    <w:next w:val="1"/>
    <w:unhideWhenUsed/>
    <w:qFormat/>
    <w:uiPriority w:val="39"/>
    <w:pPr>
      <w:ind w:left="2400"/>
      <w:jc w:val="left"/>
    </w:pPr>
    <w:rPr>
      <w:rFonts w:asciiTheme="minorHAnsi" w:hAnsiTheme="minorHAnsi"/>
      <w:sz w:val="20"/>
      <w:szCs w:val="20"/>
    </w:rPr>
  </w:style>
  <w:style w:type="paragraph" w:styleId="22">
    <w:name w:val="HTML Preformatted"/>
    <w:basedOn w:val="1"/>
    <w:link w:val="44"/>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23">
    <w:name w:val="Title"/>
    <w:basedOn w:val="1"/>
    <w:next w:val="1"/>
    <w:link w:val="45"/>
    <w:qFormat/>
    <w:uiPriority w:val="0"/>
    <w:pPr>
      <w:spacing w:before="240" w:after="60"/>
      <w:jc w:val="center"/>
      <w:outlineLvl w:val="0"/>
    </w:pPr>
    <w:rPr>
      <w:rFonts w:asciiTheme="majorHAnsi" w:hAnsiTheme="majorHAnsi" w:eastAsiaTheme="majorEastAsia" w:cstheme="majorBidi"/>
      <w:b/>
      <w:bCs/>
      <w:sz w:val="32"/>
      <w:szCs w:val="32"/>
    </w:rPr>
  </w:style>
  <w:style w:type="paragraph" w:styleId="24">
    <w:name w:val="annotation subject"/>
    <w:basedOn w:val="10"/>
    <w:next w:val="10"/>
    <w:link w:val="77"/>
    <w:unhideWhenUsed/>
    <w:qFormat/>
    <w:uiPriority w:val="99"/>
    <w:rPr>
      <w:b/>
      <w:bC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FollowedHyperlink"/>
    <w:basedOn w:val="27"/>
    <w:unhideWhenUsed/>
    <w:qFormat/>
    <w:uiPriority w:val="99"/>
    <w:rPr>
      <w:color w:val="954F72" w:themeColor="followedHyperlink"/>
      <w:u w:val="single"/>
      <w14:textFill>
        <w14:solidFill>
          <w14:schemeClr w14:val="folHlink"/>
        </w14:solidFill>
      </w14:textFill>
    </w:rPr>
  </w:style>
  <w:style w:type="character" w:styleId="30">
    <w:name w:val="Emphasis"/>
    <w:qFormat/>
    <w:uiPriority w:val="0"/>
    <w:rPr>
      <w:rFonts w:ascii="Times New Roman" w:hAnsi="Times New Roman" w:eastAsia="楷体_GB2312"/>
      <w:b/>
      <w:sz w:val="24"/>
    </w:rPr>
  </w:style>
  <w:style w:type="character" w:styleId="31">
    <w:name w:val="Hyperlink"/>
    <w:basedOn w:val="27"/>
    <w:unhideWhenUsed/>
    <w:qFormat/>
    <w:uiPriority w:val="99"/>
    <w:rPr>
      <w:color w:val="0563C1" w:themeColor="hyperlink"/>
      <w:u w:val="single"/>
      <w14:textFill>
        <w14:solidFill>
          <w14:schemeClr w14:val="hlink"/>
        </w14:solidFill>
      </w14:textFill>
    </w:rPr>
  </w:style>
  <w:style w:type="character" w:styleId="32">
    <w:name w:val="annotation reference"/>
    <w:basedOn w:val="27"/>
    <w:unhideWhenUsed/>
    <w:qFormat/>
    <w:uiPriority w:val="0"/>
    <w:rPr>
      <w:sz w:val="21"/>
      <w:szCs w:val="21"/>
    </w:rPr>
  </w:style>
  <w:style w:type="character" w:customStyle="1" w:styleId="33">
    <w:name w:val="页眉 字符"/>
    <w:basedOn w:val="27"/>
    <w:link w:val="16"/>
    <w:qFormat/>
    <w:uiPriority w:val="99"/>
    <w:rPr>
      <w:sz w:val="18"/>
      <w:szCs w:val="18"/>
    </w:rPr>
  </w:style>
  <w:style w:type="character" w:customStyle="1" w:styleId="34">
    <w:name w:val="页脚 字符"/>
    <w:basedOn w:val="27"/>
    <w:link w:val="15"/>
    <w:qFormat/>
    <w:uiPriority w:val="99"/>
    <w:rPr>
      <w:sz w:val="18"/>
      <w:szCs w:val="18"/>
    </w:rPr>
  </w:style>
  <w:style w:type="character" w:customStyle="1" w:styleId="35">
    <w:name w:val="标题 1 字符"/>
    <w:basedOn w:val="27"/>
    <w:link w:val="2"/>
    <w:qFormat/>
    <w:uiPriority w:val="9"/>
    <w:rPr>
      <w:rFonts w:ascii="仿宋_GB2312" w:hAnsi="仿宋_GB2312" w:eastAsia="黑体" w:cs="Times New Roman"/>
      <w:kern w:val="44"/>
      <w:sz w:val="30"/>
    </w:rPr>
  </w:style>
  <w:style w:type="character" w:customStyle="1" w:styleId="36">
    <w:name w:val="标题 2 字符"/>
    <w:basedOn w:val="27"/>
    <w:link w:val="3"/>
    <w:qFormat/>
    <w:uiPriority w:val="9"/>
    <w:rPr>
      <w:rFonts w:ascii="Arial" w:hAnsi="Arial" w:eastAsia="楷体" w:cs="Times New Roman"/>
      <w:b/>
      <w:sz w:val="30"/>
    </w:rPr>
  </w:style>
  <w:style w:type="character" w:customStyle="1" w:styleId="37">
    <w:name w:val="标题 3 字符"/>
    <w:basedOn w:val="27"/>
    <w:link w:val="4"/>
    <w:qFormat/>
    <w:uiPriority w:val="9"/>
    <w:rPr>
      <w:rFonts w:ascii="仿宋_GB2312" w:hAnsi="仿宋_GB2312" w:eastAsia="仿宋_GB2312" w:cs="Times New Roman"/>
      <w:b/>
      <w:sz w:val="30"/>
    </w:rPr>
  </w:style>
  <w:style w:type="character" w:customStyle="1" w:styleId="38">
    <w:name w:val="标题 4 字符"/>
    <w:basedOn w:val="27"/>
    <w:link w:val="5"/>
    <w:qFormat/>
    <w:uiPriority w:val="9"/>
    <w:rPr>
      <w:rFonts w:ascii="仿宋_GB2312" w:hAnsi="仿宋_GB2312" w:eastAsia="仿宋_GB2312" w:cs="Times New Roman"/>
      <w:b/>
      <w:sz w:val="30"/>
    </w:rPr>
  </w:style>
  <w:style w:type="character" w:customStyle="1" w:styleId="39">
    <w:name w:val="标题 5 字符"/>
    <w:basedOn w:val="27"/>
    <w:link w:val="6"/>
    <w:qFormat/>
    <w:uiPriority w:val="9"/>
    <w:rPr>
      <w:rFonts w:ascii="仿宋_GB2312" w:hAnsi="仿宋_GB2312" w:eastAsia="仿宋_GB2312" w:cs="Times New Roman"/>
      <w:b/>
      <w:sz w:val="28"/>
    </w:rPr>
  </w:style>
  <w:style w:type="character" w:customStyle="1" w:styleId="40">
    <w:name w:val="标题 6 字符"/>
    <w:basedOn w:val="27"/>
    <w:link w:val="7"/>
    <w:qFormat/>
    <w:uiPriority w:val="9"/>
    <w:rPr>
      <w:rFonts w:ascii="Arial" w:hAnsi="Arial" w:eastAsia="方正小标宋简体" w:cs="Times New Roman"/>
      <w:sz w:val="44"/>
    </w:rPr>
  </w:style>
  <w:style w:type="character" w:customStyle="1" w:styleId="41">
    <w:name w:val="标题 7 字符"/>
    <w:basedOn w:val="27"/>
    <w:link w:val="8"/>
    <w:qFormat/>
    <w:uiPriority w:val="0"/>
    <w:rPr>
      <w:rFonts w:ascii="仿宋_GB2312" w:hAnsi="仿宋_GB2312" w:eastAsia="仿宋_GB2312" w:cs="Times New Roman"/>
      <w:b/>
      <w:sz w:val="24"/>
    </w:rPr>
  </w:style>
  <w:style w:type="character" w:customStyle="1" w:styleId="42">
    <w:name w:val="批注文字 字符"/>
    <w:basedOn w:val="27"/>
    <w:link w:val="10"/>
    <w:qFormat/>
    <w:uiPriority w:val="0"/>
    <w:rPr>
      <w:rFonts w:ascii="仿宋_GB2312" w:hAnsi="仿宋_GB2312" w:eastAsia="仿宋_GB2312" w:cs="Times New Roman"/>
      <w:sz w:val="30"/>
    </w:rPr>
  </w:style>
  <w:style w:type="character" w:customStyle="1" w:styleId="43">
    <w:name w:val="批注框文本 字符"/>
    <w:basedOn w:val="27"/>
    <w:link w:val="14"/>
    <w:qFormat/>
    <w:uiPriority w:val="0"/>
    <w:rPr>
      <w:rFonts w:ascii="仿宋_GB2312" w:hAnsi="仿宋_GB2312" w:eastAsia="仿宋_GB2312" w:cs="Times New Roman"/>
      <w:sz w:val="18"/>
      <w:szCs w:val="18"/>
    </w:rPr>
  </w:style>
  <w:style w:type="character" w:customStyle="1" w:styleId="44">
    <w:name w:val="HTML 预设格式 字符"/>
    <w:basedOn w:val="27"/>
    <w:link w:val="22"/>
    <w:qFormat/>
    <w:uiPriority w:val="0"/>
    <w:rPr>
      <w:rFonts w:ascii="宋体" w:hAnsi="宋体" w:eastAsia="宋体" w:cs="Times New Roman"/>
      <w:kern w:val="0"/>
      <w:sz w:val="24"/>
      <w:szCs w:val="24"/>
    </w:rPr>
  </w:style>
  <w:style w:type="character" w:customStyle="1" w:styleId="45">
    <w:name w:val="标题 字符"/>
    <w:basedOn w:val="27"/>
    <w:link w:val="23"/>
    <w:qFormat/>
    <w:uiPriority w:val="0"/>
    <w:rPr>
      <w:rFonts w:asciiTheme="majorHAnsi" w:hAnsiTheme="majorHAnsi" w:eastAsiaTheme="majorEastAsia" w:cstheme="majorBidi"/>
      <w:b/>
      <w:bCs/>
      <w:sz w:val="32"/>
      <w:szCs w:val="32"/>
    </w:rPr>
  </w:style>
  <w:style w:type="paragraph" w:customStyle="1" w:styleId="46">
    <w:name w:val="表头2"/>
    <w:basedOn w:val="47"/>
    <w:qFormat/>
    <w:uiPriority w:val="0"/>
    <w:rPr>
      <w:sz w:val="21"/>
    </w:rPr>
  </w:style>
  <w:style w:type="paragraph" w:customStyle="1" w:styleId="47">
    <w:name w:val="表头"/>
    <w:basedOn w:val="48"/>
    <w:link w:val="49"/>
    <w:qFormat/>
    <w:uiPriority w:val="0"/>
    <w:pPr>
      <w:jc w:val="center"/>
    </w:pPr>
    <w:rPr>
      <w:b/>
      <w:sz w:val="24"/>
    </w:rPr>
  </w:style>
  <w:style w:type="paragraph" w:customStyle="1" w:styleId="48">
    <w:name w:val="表格"/>
    <w:basedOn w:val="1"/>
    <w:qFormat/>
    <w:uiPriority w:val="0"/>
    <w:pPr>
      <w:spacing w:line="288" w:lineRule="auto"/>
    </w:pPr>
    <w:rPr>
      <w:rFonts w:ascii="Times New Roman" w:hAnsi="Times New Roman" w:eastAsia="宋体"/>
      <w:sz w:val="21"/>
    </w:rPr>
  </w:style>
  <w:style w:type="character" w:customStyle="1" w:styleId="49">
    <w:name w:val="表头 Char Char"/>
    <w:link w:val="47"/>
    <w:qFormat/>
    <w:uiPriority w:val="0"/>
    <w:rPr>
      <w:rFonts w:ascii="Times New Roman" w:hAnsi="Times New Roman" w:eastAsia="宋体" w:cs="Times New Roman"/>
      <w:b/>
      <w:sz w:val="24"/>
    </w:rPr>
  </w:style>
  <w:style w:type="paragraph" w:customStyle="1" w:styleId="50">
    <w:name w:val="正文1"/>
    <w:basedOn w:val="1"/>
    <w:qFormat/>
    <w:uiPriority w:val="0"/>
    <w:pPr>
      <w:ind w:firstLine="600"/>
    </w:pPr>
    <w:rPr>
      <w:rFonts w:ascii="Times New Roman" w:hAnsi="Times New Roman"/>
    </w:rPr>
  </w:style>
  <w:style w:type="paragraph" w:customStyle="1" w:styleId="51">
    <w:name w:val="列表段落1"/>
    <w:basedOn w:val="1"/>
    <w:unhideWhenUsed/>
    <w:qFormat/>
    <w:uiPriority w:val="99"/>
    <w:pPr>
      <w:ind w:firstLine="420"/>
    </w:pPr>
  </w:style>
  <w:style w:type="character" w:customStyle="1" w:styleId="52">
    <w:name w:val="font71"/>
    <w:basedOn w:val="27"/>
    <w:qFormat/>
    <w:uiPriority w:val="0"/>
    <w:rPr>
      <w:rFonts w:hint="eastAsia" w:ascii="宋体" w:hAnsi="宋体" w:eastAsia="宋体" w:cs="宋体"/>
      <w:color w:val="000000"/>
      <w:sz w:val="24"/>
      <w:szCs w:val="24"/>
      <w:u w:val="none"/>
    </w:rPr>
  </w:style>
  <w:style w:type="character" w:customStyle="1" w:styleId="53">
    <w:name w:val="font41"/>
    <w:basedOn w:val="27"/>
    <w:qFormat/>
    <w:uiPriority w:val="0"/>
    <w:rPr>
      <w:rFonts w:hint="eastAsia" w:ascii="宋体" w:hAnsi="宋体" w:eastAsia="宋体" w:cs="宋体"/>
      <w:color w:val="000000"/>
      <w:sz w:val="24"/>
      <w:szCs w:val="24"/>
      <w:u w:val="none"/>
    </w:rPr>
  </w:style>
  <w:style w:type="character" w:customStyle="1" w:styleId="54">
    <w:name w:val="font31"/>
    <w:basedOn w:val="27"/>
    <w:qFormat/>
    <w:uiPriority w:val="0"/>
    <w:rPr>
      <w:rFonts w:hint="default" w:ascii="Times New Roman" w:hAnsi="Times New Roman" w:cs="Times New Roman"/>
      <w:color w:val="000000"/>
      <w:sz w:val="24"/>
      <w:szCs w:val="24"/>
      <w:u w:val="none"/>
    </w:rPr>
  </w:style>
  <w:style w:type="character" w:customStyle="1" w:styleId="55">
    <w:name w:val="font01"/>
    <w:basedOn w:val="27"/>
    <w:qFormat/>
    <w:uiPriority w:val="0"/>
    <w:rPr>
      <w:rFonts w:hint="default" w:ascii="Times New Roman" w:hAnsi="Times New Roman" w:cs="Times New Roman"/>
      <w:color w:val="000000"/>
      <w:sz w:val="24"/>
      <w:szCs w:val="24"/>
      <w:u w:val="none"/>
    </w:rPr>
  </w:style>
  <w:style w:type="character" w:customStyle="1" w:styleId="56">
    <w:name w:val="font11"/>
    <w:basedOn w:val="27"/>
    <w:qFormat/>
    <w:uiPriority w:val="0"/>
    <w:rPr>
      <w:rFonts w:hint="eastAsia" w:ascii="宋体" w:hAnsi="宋体" w:eastAsia="宋体" w:cs="宋体"/>
      <w:color w:val="000000"/>
      <w:sz w:val="24"/>
      <w:szCs w:val="24"/>
      <w:u w:val="none"/>
    </w:rPr>
  </w:style>
  <w:style w:type="character" w:customStyle="1" w:styleId="57">
    <w:name w:val="font51"/>
    <w:basedOn w:val="27"/>
    <w:qFormat/>
    <w:uiPriority w:val="0"/>
    <w:rPr>
      <w:rFonts w:hint="default" w:ascii="Times New Roman" w:hAnsi="Times New Roman" w:cs="Times New Roman"/>
      <w:color w:val="000000"/>
      <w:sz w:val="24"/>
      <w:szCs w:val="24"/>
      <w:u w:val="none"/>
    </w:rPr>
  </w:style>
  <w:style w:type="character" w:customStyle="1" w:styleId="58">
    <w:name w:val="font21"/>
    <w:basedOn w:val="27"/>
    <w:qFormat/>
    <w:uiPriority w:val="0"/>
    <w:rPr>
      <w:rFonts w:hint="eastAsia" w:ascii="宋体" w:hAnsi="宋体" w:eastAsia="宋体" w:cs="宋体"/>
      <w:color w:val="000000"/>
      <w:sz w:val="24"/>
      <w:szCs w:val="24"/>
      <w:u w:val="none"/>
    </w:rPr>
  </w:style>
  <w:style w:type="character" w:customStyle="1" w:styleId="59">
    <w:name w:val="font61"/>
    <w:basedOn w:val="27"/>
    <w:qFormat/>
    <w:uiPriority w:val="0"/>
    <w:rPr>
      <w:rFonts w:hint="default" w:ascii="Times New Roman" w:hAnsi="Times New Roman" w:cs="Times New Roman"/>
      <w:color w:val="000000"/>
      <w:sz w:val="24"/>
      <w:szCs w:val="24"/>
      <w:u w:val="none"/>
    </w:rPr>
  </w:style>
  <w:style w:type="paragraph" w:customStyle="1" w:styleId="60">
    <w:name w:val="WPSOffice手动目录 1"/>
    <w:qFormat/>
    <w:uiPriority w:val="0"/>
    <w:rPr>
      <w:rFonts w:ascii="Times New Roman" w:hAnsi="Times New Roman" w:eastAsia="宋体" w:cs="Times New Roman"/>
      <w:lang w:val="en-US" w:eastAsia="zh-CN" w:bidi="ar-SA"/>
    </w:rPr>
  </w:style>
  <w:style w:type="paragraph" w:customStyle="1" w:styleId="6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63">
    <w:name w:val="TOC 标题1"/>
    <w:basedOn w:val="2"/>
    <w:next w:val="1"/>
    <w:unhideWhenUsed/>
    <w:qFormat/>
    <w:uiPriority w:val="39"/>
    <w:pPr>
      <w:widowControl/>
      <w:numPr>
        <w:numId w:val="0"/>
      </w:numPr>
      <w:spacing w:before="480" w:line="276" w:lineRule="auto"/>
      <w:jc w:val="left"/>
      <w:outlineLvl w:val="9"/>
    </w:pPr>
    <w:rPr>
      <w:rFonts w:asciiTheme="majorHAnsi" w:hAnsiTheme="majorHAnsi" w:eastAsiaTheme="majorEastAsia" w:cstheme="majorBidi"/>
      <w:bCs/>
      <w:color w:val="2F5597" w:themeColor="accent1" w:themeShade="BF"/>
      <w:kern w:val="0"/>
      <w:sz w:val="28"/>
      <w:szCs w:val="28"/>
    </w:rPr>
  </w:style>
  <w:style w:type="paragraph" w:customStyle="1" w:styleId="64">
    <w:name w:val="TOC 标题2"/>
    <w:basedOn w:val="2"/>
    <w:next w:val="1"/>
    <w:unhideWhenUsed/>
    <w:qFormat/>
    <w:uiPriority w:val="39"/>
    <w:pPr>
      <w:widowControl/>
      <w:numPr>
        <w:numId w:val="0"/>
      </w:numPr>
      <w:spacing w:before="240" w:line="259" w:lineRule="auto"/>
      <w:jc w:val="left"/>
      <w:outlineLvl w:val="9"/>
    </w:pPr>
    <w:rPr>
      <w:rFonts w:asciiTheme="majorHAnsi" w:hAnsiTheme="majorHAnsi" w:eastAsiaTheme="majorEastAsia" w:cstheme="majorBidi"/>
      <w:color w:val="2F5597" w:themeColor="accent1" w:themeShade="BF"/>
      <w:kern w:val="0"/>
      <w:szCs w:val="32"/>
    </w:rPr>
  </w:style>
  <w:style w:type="character" w:customStyle="1" w:styleId="65">
    <w:name w:val="未处理的提及1"/>
    <w:basedOn w:val="27"/>
    <w:unhideWhenUsed/>
    <w:qFormat/>
    <w:uiPriority w:val="99"/>
    <w:rPr>
      <w:color w:val="605E5C"/>
      <w:shd w:val="clear" w:color="auto" w:fill="E1DFDD"/>
    </w:rPr>
  </w:style>
  <w:style w:type="paragraph" w:customStyle="1" w:styleId="66">
    <w:name w:val="TOC 标题3"/>
    <w:basedOn w:val="2"/>
    <w:next w:val="1"/>
    <w:unhideWhenUsed/>
    <w:qFormat/>
    <w:uiPriority w:val="39"/>
    <w:pPr>
      <w:widowControl/>
      <w:numPr>
        <w:numId w:val="0"/>
      </w:numPr>
      <w:spacing w:before="240" w:line="259" w:lineRule="auto"/>
      <w:jc w:val="left"/>
      <w:outlineLvl w:val="9"/>
    </w:pPr>
    <w:rPr>
      <w:rFonts w:asciiTheme="majorHAnsi" w:hAnsiTheme="majorHAnsi" w:eastAsiaTheme="majorEastAsia" w:cstheme="majorBidi"/>
      <w:color w:val="2F5597" w:themeColor="accent1" w:themeShade="BF"/>
      <w:kern w:val="0"/>
      <w:szCs w:val="32"/>
    </w:rPr>
  </w:style>
  <w:style w:type="character" w:customStyle="1" w:styleId="67">
    <w:name w:val="未处理的提及2"/>
    <w:basedOn w:val="27"/>
    <w:unhideWhenUsed/>
    <w:qFormat/>
    <w:uiPriority w:val="99"/>
    <w:rPr>
      <w:color w:val="605E5C"/>
      <w:shd w:val="clear" w:color="auto" w:fill="E1DFDD"/>
    </w:rPr>
  </w:style>
  <w:style w:type="paragraph" w:customStyle="1" w:styleId="68">
    <w:name w:val="Char1"/>
    <w:basedOn w:val="1"/>
    <w:qFormat/>
    <w:uiPriority w:val="0"/>
    <w:pPr>
      <w:spacing w:line="240" w:lineRule="auto"/>
      <w:ind w:firstLine="0" w:firstLineChars="0"/>
    </w:pPr>
    <w:rPr>
      <w:rFonts w:ascii="Times New Roman" w:hAnsi="Times New Roman"/>
      <w:szCs w:val="24"/>
    </w:rPr>
  </w:style>
  <w:style w:type="paragraph" w:customStyle="1" w:styleId="69">
    <w:name w:val="列表段落2"/>
    <w:basedOn w:val="1"/>
    <w:unhideWhenUsed/>
    <w:qFormat/>
    <w:uiPriority w:val="99"/>
    <w:pPr>
      <w:ind w:firstLine="420"/>
    </w:pPr>
  </w:style>
  <w:style w:type="paragraph" w:customStyle="1" w:styleId="70">
    <w:name w:val="TOC 标题4"/>
    <w:basedOn w:val="2"/>
    <w:next w:val="1"/>
    <w:unhideWhenUsed/>
    <w:qFormat/>
    <w:uiPriority w:val="39"/>
    <w:pPr>
      <w:widowControl/>
      <w:numPr>
        <w:numId w:val="0"/>
      </w:numPr>
      <w:spacing w:before="480" w:line="276" w:lineRule="auto"/>
      <w:jc w:val="left"/>
      <w:outlineLvl w:val="9"/>
    </w:pPr>
    <w:rPr>
      <w:rFonts w:asciiTheme="majorHAnsi" w:hAnsiTheme="majorHAnsi" w:eastAsiaTheme="majorEastAsia" w:cstheme="majorBidi"/>
      <w:b/>
      <w:bCs/>
      <w:color w:val="2F5597" w:themeColor="accent1" w:themeShade="BF"/>
      <w:kern w:val="0"/>
      <w:sz w:val="28"/>
      <w:szCs w:val="28"/>
    </w:rPr>
  </w:style>
  <w:style w:type="paragraph" w:customStyle="1" w:styleId="71">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72">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73">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bottom"/>
    </w:pPr>
    <w:rPr>
      <w:rFonts w:ascii="宋体" w:hAnsi="宋体" w:eastAsia="宋体" w:cs="宋体"/>
      <w:kern w:val="0"/>
      <w:sz w:val="22"/>
    </w:rPr>
  </w:style>
  <w:style w:type="paragraph" w:customStyle="1" w:styleId="74">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textAlignment w:val="bottom"/>
    </w:pPr>
    <w:rPr>
      <w:rFonts w:ascii="宋体" w:hAnsi="宋体" w:eastAsia="宋体" w:cs="宋体"/>
      <w:kern w:val="0"/>
      <w:sz w:val="22"/>
    </w:rPr>
  </w:style>
  <w:style w:type="paragraph" w:customStyle="1" w:styleId="75">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pPr>
    <w:rPr>
      <w:rFonts w:ascii="宋体" w:hAnsi="宋体" w:eastAsia="宋体" w:cs="宋体"/>
      <w:kern w:val="0"/>
      <w:sz w:val="22"/>
    </w:rPr>
  </w:style>
  <w:style w:type="paragraph" w:customStyle="1" w:styleId="76">
    <w:name w:val="TOC 标题5"/>
    <w:basedOn w:val="2"/>
    <w:next w:val="1"/>
    <w:unhideWhenUsed/>
    <w:qFormat/>
    <w:uiPriority w:val="39"/>
    <w:pPr>
      <w:widowControl/>
      <w:numPr>
        <w:numId w:val="0"/>
      </w:numPr>
      <w:spacing w:before="240" w:line="259" w:lineRule="auto"/>
      <w:jc w:val="left"/>
      <w:outlineLvl w:val="9"/>
    </w:pPr>
    <w:rPr>
      <w:rFonts w:asciiTheme="majorHAnsi" w:hAnsiTheme="majorHAnsi" w:eastAsiaTheme="majorEastAsia" w:cstheme="majorBidi"/>
      <w:color w:val="2F5597" w:themeColor="accent1" w:themeShade="BF"/>
      <w:kern w:val="0"/>
      <w:sz w:val="32"/>
      <w:szCs w:val="32"/>
    </w:rPr>
  </w:style>
  <w:style w:type="character" w:customStyle="1" w:styleId="77">
    <w:name w:val="批注主题 字符"/>
    <w:basedOn w:val="42"/>
    <w:link w:val="24"/>
    <w:semiHidden/>
    <w:qFormat/>
    <w:uiPriority w:val="99"/>
    <w:rPr>
      <w:rFonts w:ascii="仿宋_GB2312" w:hAnsi="仿宋_GB2312" w:eastAsia="仿宋_GB2312" w:cs="Times New Roman"/>
      <w:b/>
      <w:bCs/>
      <w:sz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135</Pages>
  <Words>14918</Words>
  <Characters>85034</Characters>
  <Lines>708</Lines>
  <Paragraphs>199</Paragraphs>
  <TotalTime>22</TotalTime>
  <ScaleCrop>false</ScaleCrop>
  <LinksUpToDate>false</LinksUpToDate>
  <CharactersWithSpaces>99753</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2021-05-31T21:59:00Z</dcterms:created>
  <dc:creator>user</dc:creator>
  <cp:lastModifiedBy>刘颖</cp:lastModifiedBy>
  <dcterms:modified xsi:type="dcterms:W3CDTF">2022-12-30T09:34:17Z</dcterms:modified>
  <dc:title>中国银保监会保险业监管数据标准化规范</dc:title>
  <cp:revision>963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C99BE47573884357B0C3440836AAE252</vt:lpwstr>
  </property>
</Properties>
</file>