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44" w:rsidRPr="00133371" w:rsidRDefault="00E84D44" w:rsidP="00133371">
      <w:pPr>
        <w:spacing w:line="500" w:lineRule="exact"/>
        <w:jc w:val="left"/>
        <w:rPr>
          <w:rFonts w:ascii="黑体" w:eastAsia="黑体" w:hAnsi="宋体"/>
          <w:sz w:val="32"/>
          <w:szCs w:val="32"/>
        </w:rPr>
      </w:pPr>
      <w:bookmarkStart w:id="0" w:name="_GoBack"/>
      <w:bookmarkEnd w:id="0"/>
      <w:r w:rsidRPr="00133371">
        <w:rPr>
          <w:rFonts w:ascii="黑体" w:eastAsia="黑体" w:hAnsi="宋体" w:hint="eastAsia"/>
          <w:sz w:val="32"/>
          <w:szCs w:val="32"/>
        </w:rPr>
        <w:t>附件4</w:t>
      </w:r>
    </w:p>
    <w:p w:rsidR="00133371" w:rsidRDefault="00133371" w:rsidP="00133371">
      <w:pPr>
        <w:spacing w:line="500" w:lineRule="exact"/>
        <w:rPr>
          <w:rFonts w:ascii="宋体" w:hAnsi="宋体"/>
          <w:b/>
          <w:sz w:val="36"/>
          <w:szCs w:val="36"/>
        </w:rPr>
      </w:pPr>
    </w:p>
    <w:p w:rsidR="00E84D44" w:rsidRPr="00133371" w:rsidRDefault="00E84D44" w:rsidP="00133371">
      <w:pPr>
        <w:spacing w:line="560" w:lineRule="exact"/>
        <w:jc w:val="center"/>
        <w:rPr>
          <w:rFonts w:ascii="长城小标宋体" w:eastAsia="长城小标宋体" w:hAnsi="宋体"/>
          <w:sz w:val="44"/>
          <w:szCs w:val="44"/>
        </w:rPr>
      </w:pPr>
      <w:r w:rsidRPr="00133371">
        <w:rPr>
          <w:rFonts w:ascii="长城小标宋体" w:eastAsia="长城小标宋体" w:hAnsi="宋体" w:hint="eastAsia"/>
          <w:sz w:val="44"/>
          <w:szCs w:val="44"/>
        </w:rPr>
        <w:t>寿险公司分支机构经营评价指标</w:t>
      </w:r>
    </w:p>
    <w:p w:rsidR="00133371" w:rsidRPr="00461EF9" w:rsidRDefault="00133371" w:rsidP="00133371">
      <w:pPr>
        <w:spacing w:line="400" w:lineRule="exact"/>
        <w:rPr>
          <w:rFonts w:ascii="宋体" w:hAnsi="宋体"/>
          <w:b/>
          <w:sz w:val="36"/>
          <w:szCs w:val="36"/>
        </w:rPr>
      </w:pPr>
    </w:p>
    <w:tbl>
      <w:tblPr>
        <w:tblW w:w="5303" w:type="pct"/>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66"/>
        <w:gridCol w:w="5692"/>
        <w:gridCol w:w="920"/>
        <w:gridCol w:w="4108"/>
      </w:tblGrid>
      <w:tr w:rsidR="00E84D44" w:rsidRPr="00133371" w:rsidTr="00133371">
        <w:trPr>
          <w:trHeight w:val="555"/>
          <w:jc w:val="center"/>
        </w:trPr>
        <w:tc>
          <w:tcPr>
            <w:tcW w:w="562" w:type="pct"/>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r w:rsidRPr="00133371">
              <w:rPr>
                <w:rFonts w:ascii="仿宋_GB2312" w:eastAsia="仿宋_GB2312" w:hint="eastAsia"/>
                <w:b/>
                <w:color w:val="000000"/>
                <w:kern w:val="0"/>
                <w:sz w:val="28"/>
                <w:szCs w:val="28"/>
              </w:rPr>
              <w:t>指标类别</w:t>
            </w:r>
          </w:p>
        </w:tc>
        <w:tc>
          <w:tcPr>
            <w:tcW w:w="884" w:type="pct"/>
            <w:shd w:val="clear" w:color="auto" w:fill="auto"/>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r w:rsidRPr="00133371">
              <w:rPr>
                <w:rFonts w:ascii="仿宋_GB2312" w:eastAsia="仿宋_GB2312" w:hint="eastAsia"/>
                <w:b/>
                <w:color w:val="000000"/>
                <w:kern w:val="0"/>
                <w:sz w:val="28"/>
                <w:szCs w:val="28"/>
              </w:rPr>
              <w:t>指标名称</w:t>
            </w:r>
          </w:p>
        </w:tc>
        <w:tc>
          <w:tcPr>
            <w:tcW w:w="1887" w:type="pct"/>
            <w:shd w:val="clear" w:color="auto" w:fill="auto"/>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r w:rsidRPr="00133371">
              <w:rPr>
                <w:rFonts w:ascii="仿宋_GB2312" w:eastAsia="仿宋_GB2312" w:hint="eastAsia"/>
                <w:b/>
                <w:color w:val="000000"/>
                <w:kern w:val="0"/>
                <w:sz w:val="28"/>
                <w:szCs w:val="28"/>
              </w:rPr>
              <w:t>指标口径</w:t>
            </w:r>
          </w:p>
        </w:tc>
        <w:tc>
          <w:tcPr>
            <w:tcW w:w="305" w:type="pct"/>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r w:rsidRPr="00133371">
              <w:rPr>
                <w:rFonts w:ascii="仿宋_GB2312" w:eastAsia="仿宋_GB2312" w:hint="eastAsia"/>
                <w:b/>
                <w:color w:val="000000"/>
                <w:kern w:val="0"/>
                <w:sz w:val="28"/>
                <w:szCs w:val="28"/>
              </w:rPr>
              <w:t>分值</w:t>
            </w:r>
          </w:p>
        </w:tc>
        <w:tc>
          <w:tcPr>
            <w:tcW w:w="1362" w:type="pct"/>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r w:rsidRPr="00133371">
              <w:rPr>
                <w:rFonts w:ascii="仿宋_GB2312" w:eastAsia="仿宋_GB2312" w:hint="eastAsia"/>
                <w:b/>
                <w:color w:val="000000"/>
                <w:kern w:val="0"/>
                <w:sz w:val="28"/>
                <w:szCs w:val="28"/>
              </w:rPr>
              <w:t>评分规则</w:t>
            </w:r>
          </w:p>
        </w:tc>
      </w:tr>
      <w:tr w:rsidR="00E84D44" w:rsidRPr="00133371" w:rsidTr="00133371">
        <w:trPr>
          <w:trHeight w:hRule="exact" w:val="1621"/>
          <w:jc w:val="center"/>
        </w:trPr>
        <w:tc>
          <w:tcPr>
            <w:tcW w:w="562" w:type="pct"/>
            <w:vMerge w:val="restart"/>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r w:rsidRPr="00133371">
              <w:rPr>
                <w:rFonts w:ascii="仿宋_GB2312" w:eastAsia="仿宋_GB2312" w:hint="eastAsia"/>
                <w:b/>
                <w:color w:val="000000"/>
                <w:kern w:val="0"/>
                <w:sz w:val="28"/>
                <w:szCs w:val="28"/>
              </w:rPr>
              <w:t>速度规模</w:t>
            </w:r>
          </w:p>
          <w:p w:rsidR="00E84D44" w:rsidRPr="00133371" w:rsidRDefault="00E84D44" w:rsidP="00640598">
            <w:pPr>
              <w:snapToGrid w:val="0"/>
              <w:spacing w:line="400" w:lineRule="exact"/>
              <w:jc w:val="center"/>
              <w:rPr>
                <w:rFonts w:ascii="仿宋_GB2312" w:eastAsia="仿宋_GB2312"/>
                <w:b/>
                <w:color w:val="000000"/>
                <w:kern w:val="0"/>
                <w:sz w:val="28"/>
                <w:szCs w:val="28"/>
              </w:rPr>
            </w:pPr>
            <w:r w:rsidRPr="00133371">
              <w:rPr>
                <w:rFonts w:ascii="仿宋_GB2312" w:eastAsia="仿宋_GB2312" w:hint="eastAsia"/>
                <w:b/>
                <w:color w:val="000000"/>
                <w:kern w:val="0"/>
                <w:sz w:val="28"/>
                <w:szCs w:val="28"/>
              </w:rPr>
              <w:t>（共3分）</w:t>
            </w:r>
          </w:p>
        </w:tc>
        <w:tc>
          <w:tcPr>
            <w:tcW w:w="884" w:type="pct"/>
            <w:shd w:val="clear" w:color="auto" w:fill="auto"/>
            <w:vAlign w:val="center"/>
          </w:tcPr>
          <w:p w:rsidR="00E84D44" w:rsidRPr="00133371" w:rsidRDefault="00E84D44" w:rsidP="00640598">
            <w:pPr>
              <w:snapToGrid w:val="0"/>
              <w:spacing w:line="400" w:lineRule="exact"/>
              <w:jc w:val="left"/>
              <w:rPr>
                <w:rFonts w:ascii="仿宋_GB2312" w:eastAsia="仿宋_GB2312"/>
                <w:b/>
                <w:color w:val="000000"/>
                <w:kern w:val="0"/>
                <w:sz w:val="28"/>
                <w:szCs w:val="28"/>
              </w:rPr>
            </w:pPr>
            <w:r w:rsidRPr="00133371">
              <w:rPr>
                <w:rFonts w:ascii="仿宋_GB2312" w:eastAsia="仿宋_GB2312" w:hint="eastAsia"/>
                <w:b/>
                <w:color w:val="000000"/>
                <w:kern w:val="0"/>
                <w:sz w:val="28"/>
                <w:szCs w:val="28"/>
              </w:rPr>
              <w:t>1、保费收入增长率</w:t>
            </w:r>
          </w:p>
        </w:tc>
        <w:tc>
          <w:tcPr>
            <w:tcW w:w="1887" w:type="pct"/>
            <w:shd w:val="clear" w:color="auto" w:fill="auto"/>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本期保费收入÷去年同期保费收入×100%－1</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保费收入=利润</w:t>
            </w:r>
            <w:proofErr w:type="gramStart"/>
            <w:r w:rsidRPr="00133371">
              <w:rPr>
                <w:rFonts w:ascii="仿宋_GB2312" w:eastAsia="仿宋_GB2312" w:hint="eastAsia"/>
                <w:color w:val="000000"/>
                <w:kern w:val="0"/>
                <w:sz w:val="28"/>
                <w:szCs w:val="28"/>
              </w:rPr>
              <w:t>表保险</w:t>
            </w:r>
            <w:proofErr w:type="gramEnd"/>
            <w:r w:rsidRPr="00133371">
              <w:rPr>
                <w:rFonts w:ascii="仿宋_GB2312" w:eastAsia="仿宋_GB2312" w:hint="eastAsia"/>
                <w:color w:val="000000"/>
                <w:kern w:val="0"/>
                <w:sz w:val="28"/>
                <w:szCs w:val="28"/>
              </w:rPr>
              <w:t>业务收入的金额（下同）</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1</w:t>
            </w:r>
          </w:p>
        </w:tc>
        <w:tc>
          <w:tcPr>
            <w:tcW w:w="1362" w:type="pct"/>
            <w:vAlign w:val="center"/>
          </w:tcPr>
          <w:p w:rsidR="00E84D44" w:rsidRPr="00133371" w:rsidRDefault="00E84D44" w:rsidP="00640598">
            <w:pPr>
              <w:snapToGrid w:val="0"/>
              <w:spacing w:line="400" w:lineRule="exact"/>
              <w:jc w:val="center"/>
              <w:rPr>
                <w:rFonts w:ascii="仿宋_GB2312" w:eastAsia="仿宋_GB2312"/>
                <w:sz w:val="28"/>
                <w:szCs w:val="28"/>
              </w:rPr>
            </w:pPr>
            <w:r w:rsidRPr="00133371">
              <w:rPr>
                <w:rFonts w:ascii="仿宋_GB2312" w:eastAsia="仿宋_GB2312" w:hint="eastAsia"/>
                <w:sz w:val="28"/>
                <w:szCs w:val="28"/>
              </w:rPr>
              <w:t>-10%≤指标值≤60%，得1分；</w:t>
            </w:r>
          </w:p>
          <w:p w:rsidR="00E84D44" w:rsidRPr="00133371" w:rsidRDefault="00E84D44" w:rsidP="00640598">
            <w:pPr>
              <w:snapToGrid w:val="0"/>
              <w:spacing w:line="400" w:lineRule="exact"/>
              <w:jc w:val="center"/>
              <w:rPr>
                <w:rFonts w:ascii="仿宋_GB2312" w:eastAsia="仿宋_GB2312"/>
                <w:sz w:val="28"/>
                <w:szCs w:val="28"/>
              </w:rPr>
            </w:pPr>
            <w:r w:rsidRPr="00133371">
              <w:rPr>
                <w:rFonts w:ascii="仿宋_GB2312" w:eastAsia="仿宋_GB2312" w:hint="eastAsia"/>
                <w:sz w:val="28"/>
                <w:szCs w:val="28"/>
              </w:rPr>
              <w:t>-30%≤指标值＜-10%或60%＜指标值≤100%，得0.5分；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sz w:val="28"/>
                <w:szCs w:val="28"/>
              </w:rPr>
              <w:t>否则，得0分。</w:t>
            </w:r>
          </w:p>
        </w:tc>
      </w:tr>
      <w:tr w:rsidR="00E84D44" w:rsidRPr="00133371" w:rsidTr="00133371">
        <w:trPr>
          <w:trHeight w:hRule="exact" w:val="1700"/>
          <w:jc w:val="center"/>
        </w:trPr>
        <w:tc>
          <w:tcPr>
            <w:tcW w:w="562" w:type="pct"/>
            <w:vMerge/>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snapToGrid w:val="0"/>
              <w:spacing w:line="400" w:lineRule="exact"/>
              <w:jc w:val="left"/>
              <w:rPr>
                <w:rFonts w:ascii="仿宋_GB2312" w:eastAsia="仿宋_GB2312"/>
                <w:b/>
                <w:color w:val="000000"/>
                <w:kern w:val="0"/>
                <w:sz w:val="28"/>
                <w:szCs w:val="28"/>
              </w:rPr>
            </w:pPr>
            <w:r w:rsidRPr="00133371">
              <w:rPr>
                <w:rFonts w:ascii="仿宋_GB2312" w:eastAsia="仿宋_GB2312" w:hint="eastAsia"/>
                <w:b/>
                <w:color w:val="000000"/>
                <w:kern w:val="0"/>
                <w:sz w:val="28"/>
                <w:szCs w:val="28"/>
              </w:rPr>
              <w:t>2、规模保费增长率</w:t>
            </w:r>
          </w:p>
        </w:tc>
        <w:tc>
          <w:tcPr>
            <w:tcW w:w="1887" w:type="pct"/>
            <w:shd w:val="clear" w:color="auto" w:fill="auto"/>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本期规模保费÷去年</w:t>
            </w:r>
            <w:proofErr w:type="gramStart"/>
            <w:r w:rsidRPr="00133371">
              <w:rPr>
                <w:rFonts w:ascii="仿宋_GB2312" w:eastAsia="仿宋_GB2312" w:hint="eastAsia"/>
                <w:color w:val="000000"/>
                <w:kern w:val="0"/>
                <w:sz w:val="28"/>
                <w:szCs w:val="28"/>
              </w:rPr>
              <w:t>同期规模保费</w:t>
            </w:r>
            <w:proofErr w:type="gramEnd"/>
            <w:r w:rsidRPr="00133371">
              <w:rPr>
                <w:rFonts w:ascii="仿宋_GB2312" w:eastAsia="仿宋_GB2312" w:hint="eastAsia"/>
                <w:color w:val="000000"/>
                <w:kern w:val="0"/>
                <w:sz w:val="28"/>
                <w:szCs w:val="28"/>
              </w:rPr>
              <w:t>×100%－1</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规模保费是指保险公司按照保险合同约定向投保人收取的全部保费（下同）。</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1</w:t>
            </w:r>
          </w:p>
        </w:tc>
        <w:tc>
          <w:tcPr>
            <w:tcW w:w="1362" w:type="pct"/>
            <w:vAlign w:val="center"/>
          </w:tcPr>
          <w:p w:rsidR="00E84D44" w:rsidRPr="00133371" w:rsidRDefault="00E84D44" w:rsidP="00640598">
            <w:pPr>
              <w:snapToGrid w:val="0"/>
              <w:spacing w:line="400" w:lineRule="exact"/>
              <w:jc w:val="center"/>
              <w:rPr>
                <w:rFonts w:ascii="仿宋_GB2312" w:eastAsia="仿宋_GB2312"/>
                <w:sz w:val="28"/>
                <w:szCs w:val="28"/>
              </w:rPr>
            </w:pPr>
            <w:r w:rsidRPr="00133371">
              <w:rPr>
                <w:rFonts w:ascii="仿宋_GB2312" w:eastAsia="仿宋_GB2312" w:hint="eastAsia"/>
                <w:sz w:val="28"/>
                <w:szCs w:val="28"/>
              </w:rPr>
              <w:t>-10%≤指标值≤60%，得1分；</w:t>
            </w:r>
          </w:p>
          <w:p w:rsidR="00E84D44" w:rsidRPr="00133371" w:rsidRDefault="00E84D44" w:rsidP="00640598">
            <w:pPr>
              <w:snapToGrid w:val="0"/>
              <w:spacing w:line="400" w:lineRule="exact"/>
              <w:jc w:val="center"/>
              <w:rPr>
                <w:rFonts w:ascii="仿宋_GB2312" w:eastAsia="仿宋_GB2312"/>
                <w:sz w:val="28"/>
                <w:szCs w:val="28"/>
              </w:rPr>
            </w:pPr>
            <w:r w:rsidRPr="00133371">
              <w:rPr>
                <w:rFonts w:ascii="仿宋_GB2312" w:eastAsia="仿宋_GB2312" w:hint="eastAsia"/>
                <w:sz w:val="28"/>
                <w:szCs w:val="28"/>
              </w:rPr>
              <w:t>-30%≤指标值＜-10%或60%＜指标值≤100%，得0.5分；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sz w:val="28"/>
                <w:szCs w:val="28"/>
              </w:rPr>
              <w:t>否则，得0分。</w:t>
            </w:r>
          </w:p>
        </w:tc>
      </w:tr>
      <w:tr w:rsidR="00E84D44" w:rsidRPr="00133371" w:rsidTr="00133371">
        <w:trPr>
          <w:trHeight w:hRule="exact" w:val="1696"/>
          <w:jc w:val="center"/>
        </w:trPr>
        <w:tc>
          <w:tcPr>
            <w:tcW w:w="562" w:type="pct"/>
            <w:vMerge/>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snapToGrid w:val="0"/>
              <w:spacing w:line="400" w:lineRule="exact"/>
              <w:jc w:val="left"/>
              <w:rPr>
                <w:rFonts w:ascii="仿宋_GB2312" w:eastAsia="仿宋_GB2312"/>
                <w:b/>
                <w:color w:val="000000"/>
                <w:kern w:val="0"/>
                <w:sz w:val="28"/>
                <w:szCs w:val="28"/>
              </w:rPr>
            </w:pPr>
            <w:r w:rsidRPr="00133371">
              <w:rPr>
                <w:rFonts w:ascii="仿宋_GB2312" w:eastAsia="仿宋_GB2312" w:hint="eastAsia"/>
                <w:b/>
                <w:color w:val="000000"/>
                <w:kern w:val="0"/>
                <w:sz w:val="28"/>
                <w:szCs w:val="28"/>
              </w:rPr>
              <w:t>3、新单保费增长率</w:t>
            </w:r>
          </w:p>
        </w:tc>
        <w:tc>
          <w:tcPr>
            <w:tcW w:w="1887" w:type="pct"/>
            <w:shd w:val="clear" w:color="auto" w:fill="auto"/>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本期新</w:t>
            </w:r>
            <w:proofErr w:type="gramStart"/>
            <w:r w:rsidRPr="00133371">
              <w:rPr>
                <w:rFonts w:ascii="仿宋_GB2312" w:eastAsia="仿宋_GB2312" w:hint="eastAsia"/>
                <w:color w:val="000000"/>
                <w:kern w:val="0"/>
                <w:sz w:val="28"/>
                <w:szCs w:val="28"/>
              </w:rPr>
              <w:t>单规模保费</w:t>
            </w:r>
            <w:proofErr w:type="gramEnd"/>
            <w:r w:rsidRPr="00133371">
              <w:rPr>
                <w:rFonts w:ascii="仿宋_GB2312" w:eastAsia="仿宋_GB2312" w:hint="eastAsia"/>
                <w:color w:val="000000"/>
                <w:kern w:val="0"/>
                <w:sz w:val="28"/>
                <w:szCs w:val="28"/>
              </w:rPr>
              <w:t>÷去年同期新</w:t>
            </w:r>
            <w:proofErr w:type="gramStart"/>
            <w:r w:rsidRPr="00133371">
              <w:rPr>
                <w:rFonts w:ascii="仿宋_GB2312" w:eastAsia="仿宋_GB2312" w:hint="eastAsia"/>
                <w:color w:val="000000"/>
                <w:kern w:val="0"/>
                <w:sz w:val="28"/>
                <w:szCs w:val="28"/>
              </w:rPr>
              <w:t>单规模保费</w:t>
            </w:r>
            <w:proofErr w:type="gramEnd"/>
            <w:r w:rsidRPr="00133371">
              <w:rPr>
                <w:rFonts w:ascii="仿宋_GB2312" w:eastAsia="仿宋_GB2312" w:hint="eastAsia"/>
                <w:color w:val="000000"/>
                <w:kern w:val="0"/>
                <w:sz w:val="28"/>
                <w:szCs w:val="28"/>
              </w:rPr>
              <w:t>×100%－1</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1</w:t>
            </w:r>
          </w:p>
        </w:tc>
        <w:tc>
          <w:tcPr>
            <w:tcW w:w="1362" w:type="pct"/>
            <w:vAlign w:val="center"/>
          </w:tcPr>
          <w:p w:rsidR="00E84D44" w:rsidRPr="00133371" w:rsidRDefault="00E84D44" w:rsidP="00640598">
            <w:pPr>
              <w:snapToGrid w:val="0"/>
              <w:spacing w:line="400" w:lineRule="exact"/>
              <w:jc w:val="center"/>
              <w:rPr>
                <w:rFonts w:ascii="仿宋_GB2312" w:eastAsia="仿宋_GB2312"/>
                <w:sz w:val="28"/>
                <w:szCs w:val="28"/>
              </w:rPr>
            </w:pPr>
            <w:r w:rsidRPr="00133371">
              <w:rPr>
                <w:rFonts w:ascii="仿宋_GB2312" w:eastAsia="仿宋_GB2312" w:hint="eastAsia"/>
                <w:sz w:val="28"/>
                <w:szCs w:val="28"/>
              </w:rPr>
              <w:t>-10%≤指标值≤60%，得1分；</w:t>
            </w:r>
          </w:p>
          <w:p w:rsidR="00E84D44" w:rsidRPr="00133371" w:rsidRDefault="00E84D44" w:rsidP="00640598">
            <w:pPr>
              <w:snapToGrid w:val="0"/>
              <w:spacing w:line="400" w:lineRule="exact"/>
              <w:jc w:val="center"/>
              <w:rPr>
                <w:rFonts w:ascii="仿宋_GB2312" w:eastAsia="仿宋_GB2312"/>
                <w:sz w:val="28"/>
                <w:szCs w:val="28"/>
              </w:rPr>
            </w:pPr>
            <w:r w:rsidRPr="00133371">
              <w:rPr>
                <w:rFonts w:ascii="仿宋_GB2312" w:eastAsia="仿宋_GB2312" w:hint="eastAsia"/>
                <w:sz w:val="28"/>
                <w:szCs w:val="28"/>
              </w:rPr>
              <w:t>-30%≤指标值＜-10%或60%＜指标值≤100%，得0.5分；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sz w:val="28"/>
                <w:szCs w:val="28"/>
              </w:rPr>
              <w:t>否则，得0分。</w:t>
            </w:r>
          </w:p>
        </w:tc>
      </w:tr>
      <w:tr w:rsidR="00E84D44" w:rsidRPr="00133371" w:rsidTr="00133371">
        <w:trPr>
          <w:trHeight w:val="550"/>
          <w:jc w:val="center"/>
        </w:trPr>
        <w:tc>
          <w:tcPr>
            <w:tcW w:w="562" w:type="pct"/>
            <w:vMerge w:val="restart"/>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r w:rsidRPr="00133371">
              <w:rPr>
                <w:rFonts w:ascii="仿宋_GB2312" w:eastAsia="仿宋_GB2312" w:hint="eastAsia"/>
                <w:b/>
                <w:color w:val="000000"/>
                <w:kern w:val="0"/>
                <w:sz w:val="28"/>
                <w:szCs w:val="28"/>
              </w:rPr>
              <w:lastRenderedPageBreak/>
              <w:t>效益质量（共5分）</w:t>
            </w:r>
          </w:p>
        </w:tc>
        <w:tc>
          <w:tcPr>
            <w:tcW w:w="884" w:type="pct"/>
            <w:shd w:val="clear" w:color="auto" w:fill="auto"/>
            <w:vAlign w:val="center"/>
          </w:tcPr>
          <w:p w:rsidR="00E84D44" w:rsidRPr="00133371" w:rsidRDefault="00E84D44" w:rsidP="00640598">
            <w:pPr>
              <w:snapToGrid w:val="0"/>
              <w:spacing w:line="400" w:lineRule="exact"/>
              <w:rPr>
                <w:rFonts w:ascii="仿宋_GB2312" w:eastAsia="仿宋_GB2312"/>
                <w:b/>
                <w:color w:val="000000"/>
                <w:kern w:val="0"/>
                <w:sz w:val="28"/>
                <w:szCs w:val="28"/>
              </w:rPr>
            </w:pPr>
            <w:r w:rsidRPr="00133371">
              <w:rPr>
                <w:rFonts w:ascii="仿宋_GB2312" w:eastAsia="仿宋_GB2312" w:hint="eastAsia"/>
                <w:b/>
                <w:color w:val="000000"/>
                <w:kern w:val="0"/>
                <w:sz w:val="28"/>
                <w:szCs w:val="28"/>
              </w:rPr>
              <w:t>4、</w:t>
            </w:r>
            <w:proofErr w:type="gramStart"/>
            <w:r w:rsidRPr="00133371">
              <w:rPr>
                <w:rFonts w:ascii="仿宋_GB2312" w:eastAsia="仿宋_GB2312" w:hint="eastAsia"/>
                <w:b/>
                <w:color w:val="000000"/>
                <w:kern w:val="0"/>
                <w:sz w:val="28"/>
                <w:szCs w:val="28"/>
              </w:rPr>
              <w:t>个</w:t>
            </w:r>
            <w:proofErr w:type="gramEnd"/>
            <w:r w:rsidRPr="00133371">
              <w:rPr>
                <w:rFonts w:ascii="仿宋_GB2312" w:eastAsia="仿宋_GB2312" w:hint="eastAsia"/>
                <w:b/>
                <w:color w:val="000000"/>
                <w:kern w:val="0"/>
                <w:sz w:val="28"/>
                <w:szCs w:val="28"/>
              </w:rPr>
              <w:t>险期交业务费用率</w:t>
            </w:r>
          </w:p>
        </w:tc>
        <w:tc>
          <w:tcPr>
            <w:tcW w:w="1887" w:type="pct"/>
            <w:shd w:val="clear" w:color="auto" w:fill="auto"/>
            <w:vAlign w:val="center"/>
          </w:tcPr>
          <w:p w:rsidR="00E84D44" w:rsidRPr="00133371" w:rsidRDefault="00E84D44" w:rsidP="00640598">
            <w:pPr>
              <w:snapToGrid w:val="0"/>
              <w:spacing w:line="400" w:lineRule="exact"/>
              <w:rPr>
                <w:rFonts w:ascii="仿宋_GB2312" w:eastAsia="仿宋_GB2312"/>
                <w:color w:val="000000"/>
                <w:kern w:val="0"/>
                <w:sz w:val="28"/>
                <w:szCs w:val="28"/>
              </w:rPr>
            </w:pPr>
            <w:proofErr w:type="gramStart"/>
            <w:r w:rsidRPr="00133371">
              <w:rPr>
                <w:rFonts w:ascii="仿宋_GB2312" w:eastAsia="仿宋_GB2312" w:hint="eastAsia"/>
                <w:color w:val="000000"/>
                <w:kern w:val="0"/>
                <w:sz w:val="28"/>
                <w:szCs w:val="28"/>
              </w:rPr>
              <w:t>个</w:t>
            </w:r>
            <w:proofErr w:type="gramEnd"/>
            <w:r w:rsidRPr="00133371">
              <w:rPr>
                <w:rFonts w:ascii="仿宋_GB2312" w:eastAsia="仿宋_GB2312" w:hint="eastAsia"/>
                <w:color w:val="000000"/>
                <w:kern w:val="0"/>
                <w:sz w:val="28"/>
                <w:szCs w:val="28"/>
              </w:rPr>
              <w:t>险期交业务的手续费及佣金支出÷本期</w:t>
            </w:r>
            <w:proofErr w:type="gramStart"/>
            <w:r w:rsidRPr="00133371">
              <w:rPr>
                <w:rFonts w:ascii="仿宋_GB2312" w:eastAsia="仿宋_GB2312" w:hint="eastAsia"/>
                <w:color w:val="000000"/>
                <w:kern w:val="0"/>
                <w:sz w:val="28"/>
                <w:szCs w:val="28"/>
              </w:rPr>
              <w:t>个险渠道期</w:t>
            </w:r>
            <w:proofErr w:type="gramEnd"/>
            <w:r w:rsidRPr="00133371">
              <w:rPr>
                <w:rFonts w:ascii="仿宋_GB2312" w:eastAsia="仿宋_GB2312" w:hint="eastAsia"/>
                <w:color w:val="000000"/>
                <w:kern w:val="0"/>
                <w:sz w:val="28"/>
                <w:szCs w:val="28"/>
              </w:rPr>
              <w:t>交业务的规模保费×100%</w:t>
            </w:r>
          </w:p>
          <w:p w:rsidR="00E84D44" w:rsidRPr="00133371" w:rsidRDefault="00E84D44" w:rsidP="00640598">
            <w:pPr>
              <w:snapToGrid w:val="0"/>
              <w:spacing w:line="400" w:lineRule="exact"/>
              <w:rPr>
                <w:rFonts w:ascii="仿宋_GB2312" w:eastAsia="仿宋_GB2312"/>
                <w:color w:val="000000"/>
                <w:kern w:val="0"/>
                <w:sz w:val="28"/>
                <w:szCs w:val="28"/>
              </w:rPr>
            </w:pPr>
            <w:proofErr w:type="gramStart"/>
            <w:r w:rsidRPr="00133371">
              <w:rPr>
                <w:rFonts w:ascii="仿宋_GB2312" w:eastAsia="仿宋_GB2312" w:hint="eastAsia"/>
                <w:color w:val="000000"/>
                <w:kern w:val="0"/>
                <w:sz w:val="28"/>
                <w:szCs w:val="28"/>
              </w:rPr>
              <w:t>个</w:t>
            </w:r>
            <w:proofErr w:type="gramEnd"/>
            <w:r w:rsidRPr="00133371">
              <w:rPr>
                <w:rFonts w:ascii="仿宋_GB2312" w:eastAsia="仿宋_GB2312" w:hint="eastAsia"/>
                <w:color w:val="000000"/>
                <w:kern w:val="0"/>
                <w:sz w:val="28"/>
                <w:szCs w:val="28"/>
              </w:rPr>
              <w:t>险期交业务是指个人代理渠道投保人为个人的期交业务。</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手续费及佣金支出包含其他业务成本中个险期交业务的手续费及佣金支出。</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1</w:t>
            </w:r>
          </w:p>
        </w:tc>
        <w:tc>
          <w:tcPr>
            <w:tcW w:w="1362"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≤行业均值，得1分；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行业均值＜指标值≤（行业均值</w:t>
            </w:r>
            <w:r w:rsidRPr="00133371">
              <w:rPr>
                <w:rFonts w:ascii="仿宋_GB2312" w:eastAsia="仿宋_GB2312" w:hint="eastAsia"/>
                <w:color w:val="000000"/>
                <w:kern w:val="0"/>
                <w:sz w:val="28"/>
                <w:szCs w:val="28"/>
              </w:rPr>
              <w:t>+5%）</w:t>
            </w:r>
            <w:r w:rsidRPr="00133371">
              <w:rPr>
                <w:rFonts w:ascii="仿宋_GB2312" w:eastAsia="仿宋_GB2312" w:hint="eastAsia"/>
                <w:sz w:val="28"/>
                <w:szCs w:val="28"/>
              </w:rPr>
              <w:t>，得0.5分；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sz w:val="28"/>
                <w:szCs w:val="28"/>
              </w:rPr>
              <w:t>否则，得0分。</w:t>
            </w:r>
          </w:p>
        </w:tc>
      </w:tr>
      <w:tr w:rsidR="00E84D44" w:rsidRPr="00133371" w:rsidTr="00133371">
        <w:trPr>
          <w:trHeight w:val="2698"/>
          <w:jc w:val="center"/>
        </w:trPr>
        <w:tc>
          <w:tcPr>
            <w:tcW w:w="562" w:type="pct"/>
            <w:vMerge/>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snapToGrid w:val="0"/>
              <w:spacing w:line="400" w:lineRule="exact"/>
              <w:jc w:val="left"/>
              <w:rPr>
                <w:rFonts w:ascii="仿宋_GB2312" w:eastAsia="仿宋_GB2312"/>
                <w:b/>
                <w:color w:val="000000"/>
                <w:kern w:val="0"/>
                <w:sz w:val="28"/>
                <w:szCs w:val="28"/>
              </w:rPr>
            </w:pPr>
            <w:r w:rsidRPr="00133371">
              <w:rPr>
                <w:rFonts w:ascii="仿宋_GB2312" w:eastAsia="仿宋_GB2312" w:hint="eastAsia"/>
                <w:b/>
                <w:color w:val="000000"/>
                <w:kern w:val="0"/>
                <w:sz w:val="28"/>
                <w:szCs w:val="28"/>
              </w:rPr>
              <w:t>5、</w:t>
            </w:r>
            <w:proofErr w:type="gramStart"/>
            <w:r w:rsidRPr="00133371">
              <w:rPr>
                <w:rFonts w:ascii="仿宋_GB2312" w:eastAsia="仿宋_GB2312" w:hint="eastAsia"/>
                <w:b/>
                <w:color w:val="000000"/>
                <w:kern w:val="0"/>
                <w:sz w:val="28"/>
                <w:szCs w:val="28"/>
              </w:rPr>
              <w:t>个险趸</w:t>
            </w:r>
            <w:proofErr w:type="gramEnd"/>
            <w:r w:rsidRPr="00133371">
              <w:rPr>
                <w:rFonts w:ascii="仿宋_GB2312" w:eastAsia="仿宋_GB2312" w:hint="eastAsia"/>
                <w:b/>
                <w:color w:val="000000"/>
                <w:kern w:val="0"/>
                <w:sz w:val="28"/>
                <w:szCs w:val="28"/>
              </w:rPr>
              <w:t>交业务费用率</w:t>
            </w:r>
          </w:p>
        </w:tc>
        <w:tc>
          <w:tcPr>
            <w:tcW w:w="1887" w:type="pct"/>
            <w:shd w:val="clear" w:color="auto" w:fill="auto"/>
            <w:vAlign w:val="center"/>
          </w:tcPr>
          <w:p w:rsidR="00E84D44" w:rsidRPr="00133371" w:rsidRDefault="00E84D44" w:rsidP="00640598">
            <w:pPr>
              <w:snapToGrid w:val="0"/>
              <w:spacing w:line="400" w:lineRule="exact"/>
              <w:jc w:val="left"/>
              <w:rPr>
                <w:rFonts w:ascii="仿宋_GB2312" w:eastAsia="仿宋_GB2312"/>
                <w:color w:val="000000"/>
                <w:kern w:val="0"/>
                <w:sz w:val="28"/>
                <w:szCs w:val="28"/>
              </w:rPr>
            </w:pPr>
            <w:proofErr w:type="gramStart"/>
            <w:r w:rsidRPr="00133371">
              <w:rPr>
                <w:rFonts w:ascii="仿宋_GB2312" w:eastAsia="仿宋_GB2312" w:hint="eastAsia"/>
                <w:color w:val="000000"/>
                <w:kern w:val="0"/>
                <w:sz w:val="28"/>
                <w:szCs w:val="28"/>
              </w:rPr>
              <w:t>个险趸</w:t>
            </w:r>
            <w:proofErr w:type="gramEnd"/>
            <w:r w:rsidRPr="00133371">
              <w:rPr>
                <w:rFonts w:ascii="仿宋_GB2312" w:eastAsia="仿宋_GB2312" w:hint="eastAsia"/>
                <w:color w:val="000000"/>
                <w:kern w:val="0"/>
                <w:sz w:val="28"/>
                <w:szCs w:val="28"/>
              </w:rPr>
              <w:t>交业务的手续费及佣金支出÷本期</w:t>
            </w:r>
            <w:proofErr w:type="gramStart"/>
            <w:r w:rsidRPr="00133371">
              <w:rPr>
                <w:rFonts w:ascii="仿宋_GB2312" w:eastAsia="仿宋_GB2312" w:hint="eastAsia"/>
                <w:color w:val="000000"/>
                <w:kern w:val="0"/>
                <w:sz w:val="28"/>
                <w:szCs w:val="28"/>
              </w:rPr>
              <w:t>个险渠道趸</w:t>
            </w:r>
            <w:proofErr w:type="gramEnd"/>
            <w:r w:rsidRPr="00133371">
              <w:rPr>
                <w:rFonts w:ascii="仿宋_GB2312" w:eastAsia="仿宋_GB2312" w:hint="eastAsia"/>
                <w:color w:val="000000"/>
                <w:kern w:val="0"/>
                <w:sz w:val="28"/>
                <w:szCs w:val="28"/>
              </w:rPr>
              <w:t>交业务的规模保费×100%</w:t>
            </w:r>
          </w:p>
          <w:p w:rsidR="00E84D44" w:rsidRPr="00133371" w:rsidRDefault="00E84D44" w:rsidP="00640598">
            <w:pPr>
              <w:snapToGrid w:val="0"/>
              <w:spacing w:line="400" w:lineRule="exact"/>
              <w:jc w:val="left"/>
              <w:rPr>
                <w:rFonts w:ascii="仿宋_GB2312" w:eastAsia="仿宋_GB2312"/>
                <w:color w:val="000000"/>
                <w:kern w:val="0"/>
                <w:sz w:val="28"/>
                <w:szCs w:val="28"/>
              </w:rPr>
            </w:pPr>
            <w:proofErr w:type="gramStart"/>
            <w:r w:rsidRPr="00133371">
              <w:rPr>
                <w:rFonts w:ascii="仿宋_GB2312" w:eastAsia="仿宋_GB2312" w:hint="eastAsia"/>
                <w:color w:val="000000"/>
                <w:kern w:val="0"/>
                <w:sz w:val="28"/>
                <w:szCs w:val="28"/>
              </w:rPr>
              <w:t>个险趸</w:t>
            </w:r>
            <w:proofErr w:type="gramEnd"/>
            <w:r w:rsidRPr="00133371">
              <w:rPr>
                <w:rFonts w:ascii="仿宋_GB2312" w:eastAsia="仿宋_GB2312" w:hint="eastAsia"/>
                <w:color w:val="000000"/>
                <w:kern w:val="0"/>
                <w:sz w:val="28"/>
                <w:szCs w:val="28"/>
              </w:rPr>
              <w:t>交业务是指个人代理渠道投保人为</w:t>
            </w:r>
            <w:proofErr w:type="gramStart"/>
            <w:r w:rsidRPr="00133371">
              <w:rPr>
                <w:rFonts w:ascii="仿宋_GB2312" w:eastAsia="仿宋_GB2312" w:hint="eastAsia"/>
                <w:color w:val="000000"/>
                <w:kern w:val="0"/>
                <w:sz w:val="28"/>
                <w:szCs w:val="28"/>
              </w:rPr>
              <w:t>个人的趸交</w:t>
            </w:r>
            <w:proofErr w:type="gramEnd"/>
            <w:r w:rsidRPr="00133371">
              <w:rPr>
                <w:rFonts w:ascii="仿宋_GB2312" w:eastAsia="仿宋_GB2312" w:hint="eastAsia"/>
                <w:color w:val="000000"/>
                <w:kern w:val="0"/>
                <w:sz w:val="28"/>
                <w:szCs w:val="28"/>
              </w:rPr>
              <w:t>业务。</w:t>
            </w:r>
          </w:p>
          <w:p w:rsidR="00E84D44" w:rsidRPr="00133371" w:rsidRDefault="00E84D44" w:rsidP="00640598">
            <w:pPr>
              <w:snapToGrid w:val="0"/>
              <w:spacing w:line="400" w:lineRule="exact"/>
              <w:jc w:val="left"/>
              <w:rPr>
                <w:rFonts w:ascii="仿宋_GB2312" w:eastAsia="仿宋_GB2312"/>
                <w:color w:val="000000"/>
                <w:kern w:val="0"/>
                <w:sz w:val="28"/>
                <w:szCs w:val="28"/>
              </w:rPr>
            </w:pPr>
            <w:r w:rsidRPr="00133371">
              <w:rPr>
                <w:rFonts w:ascii="仿宋_GB2312" w:eastAsia="仿宋_GB2312" w:hint="eastAsia"/>
                <w:color w:val="000000"/>
                <w:kern w:val="0"/>
                <w:sz w:val="28"/>
                <w:szCs w:val="28"/>
              </w:rPr>
              <w:t>手续费及佣金支出包含其他业务成本中</w:t>
            </w:r>
            <w:proofErr w:type="gramStart"/>
            <w:r w:rsidRPr="00133371">
              <w:rPr>
                <w:rFonts w:ascii="仿宋_GB2312" w:eastAsia="仿宋_GB2312" w:hint="eastAsia"/>
                <w:color w:val="000000"/>
                <w:kern w:val="0"/>
                <w:sz w:val="28"/>
                <w:szCs w:val="28"/>
              </w:rPr>
              <w:t>个险趸交</w:t>
            </w:r>
            <w:proofErr w:type="gramEnd"/>
            <w:r w:rsidRPr="00133371">
              <w:rPr>
                <w:rFonts w:ascii="仿宋_GB2312" w:eastAsia="仿宋_GB2312" w:hint="eastAsia"/>
                <w:color w:val="000000"/>
                <w:kern w:val="0"/>
                <w:sz w:val="28"/>
                <w:szCs w:val="28"/>
              </w:rPr>
              <w:t>业务的手续费及佣金支出。</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0.5</w:t>
            </w:r>
          </w:p>
        </w:tc>
        <w:tc>
          <w:tcPr>
            <w:tcW w:w="1362"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≤行业均值，得0.5分；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sz w:val="28"/>
                <w:szCs w:val="28"/>
              </w:rPr>
              <w:t>否则，得0分。</w:t>
            </w:r>
          </w:p>
        </w:tc>
      </w:tr>
      <w:tr w:rsidR="00E84D44" w:rsidRPr="00133371" w:rsidTr="00133371">
        <w:trPr>
          <w:trHeight w:val="2678"/>
          <w:jc w:val="center"/>
        </w:trPr>
        <w:tc>
          <w:tcPr>
            <w:tcW w:w="562" w:type="pct"/>
            <w:vMerge/>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snapToGrid w:val="0"/>
              <w:spacing w:line="400" w:lineRule="exact"/>
              <w:rPr>
                <w:rFonts w:ascii="仿宋_GB2312" w:eastAsia="仿宋_GB2312"/>
                <w:b/>
                <w:color w:val="000000"/>
                <w:kern w:val="0"/>
                <w:sz w:val="28"/>
                <w:szCs w:val="28"/>
              </w:rPr>
            </w:pPr>
            <w:r w:rsidRPr="00133371">
              <w:rPr>
                <w:rFonts w:ascii="仿宋_GB2312" w:eastAsia="仿宋_GB2312" w:hint="eastAsia"/>
                <w:b/>
                <w:color w:val="000000"/>
                <w:kern w:val="0"/>
                <w:sz w:val="28"/>
                <w:szCs w:val="28"/>
              </w:rPr>
              <w:t>6、</w:t>
            </w:r>
            <w:proofErr w:type="gramStart"/>
            <w:r w:rsidRPr="00133371">
              <w:rPr>
                <w:rFonts w:ascii="仿宋_GB2312" w:eastAsia="仿宋_GB2312" w:hint="eastAsia"/>
                <w:b/>
                <w:color w:val="000000"/>
                <w:kern w:val="0"/>
                <w:sz w:val="28"/>
                <w:szCs w:val="28"/>
              </w:rPr>
              <w:t>银邮期</w:t>
            </w:r>
            <w:proofErr w:type="gramEnd"/>
            <w:r w:rsidRPr="00133371">
              <w:rPr>
                <w:rFonts w:ascii="仿宋_GB2312" w:eastAsia="仿宋_GB2312" w:hint="eastAsia"/>
                <w:b/>
                <w:color w:val="000000"/>
                <w:kern w:val="0"/>
                <w:sz w:val="28"/>
                <w:szCs w:val="28"/>
              </w:rPr>
              <w:t>交业务费用率</w:t>
            </w:r>
          </w:p>
        </w:tc>
        <w:tc>
          <w:tcPr>
            <w:tcW w:w="1887" w:type="pct"/>
            <w:shd w:val="clear" w:color="auto" w:fill="auto"/>
            <w:vAlign w:val="center"/>
          </w:tcPr>
          <w:p w:rsidR="00E84D44" w:rsidRPr="00133371" w:rsidRDefault="00E84D44" w:rsidP="00640598">
            <w:pPr>
              <w:snapToGrid w:val="0"/>
              <w:spacing w:line="400" w:lineRule="exact"/>
              <w:rPr>
                <w:rFonts w:ascii="仿宋_GB2312" w:eastAsia="仿宋_GB2312"/>
                <w:color w:val="000000"/>
                <w:kern w:val="0"/>
                <w:sz w:val="28"/>
                <w:szCs w:val="28"/>
              </w:rPr>
            </w:pPr>
            <w:proofErr w:type="gramStart"/>
            <w:r w:rsidRPr="00133371">
              <w:rPr>
                <w:rFonts w:ascii="仿宋_GB2312" w:eastAsia="仿宋_GB2312" w:hint="eastAsia"/>
                <w:color w:val="000000"/>
                <w:kern w:val="0"/>
                <w:sz w:val="28"/>
                <w:szCs w:val="28"/>
              </w:rPr>
              <w:t>银邮期</w:t>
            </w:r>
            <w:proofErr w:type="gramEnd"/>
            <w:r w:rsidRPr="00133371">
              <w:rPr>
                <w:rFonts w:ascii="仿宋_GB2312" w:eastAsia="仿宋_GB2312" w:hint="eastAsia"/>
                <w:color w:val="000000"/>
                <w:kern w:val="0"/>
                <w:sz w:val="28"/>
                <w:szCs w:val="28"/>
              </w:rPr>
              <w:t>交业务的手续费及佣金支出÷</w:t>
            </w:r>
            <w:proofErr w:type="gramStart"/>
            <w:r w:rsidRPr="00133371">
              <w:rPr>
                <w:rFonts w:ascii="仿宋_GB2312" w:eastAsia="仿宋_GB2312" w:hint="eastAsia"/>
                <w:color w:val="000000"/>
                <w:kern w:val="0"/>
                <w:sz w:val="28"/>
                <w:szCs w:val="28"/>
              </w:rPr>
              <w:t>本期银邮</w:t>
            </w:r>
            <w:proofErr w:type="gramEnd"/>
            <w:r w:rsidRPr="00133371">
              <w:rPr>
                <w:rFonts w:ascii="仿宋_GB2312" w:eastAsia="仿宋_GB2312" w:hint="eastAsia"/>
                <w:color w:val="000000"/>
                <w:kern w:val="0"/>
                <w:sz w:val="28"/>
                <w:szCs w:val="28"/>
              </w:rPr>
              <w:t>渠道期交业务的规模保费×100%</w:t>
            </w:r>
          </w:p>
          <w:p w:rsidR="00E84D44" w:rsidRPr="00133371" w:rsidRDefault="00E84D44" w:rsidP="00640598">
            <w:pPr>
              <w:snapToGrid w:val="0"/>
              <w:spacing w:line="400" w:lineRule="exact"/>
              <w:rPr>
                <w:rFonts w:ascii="仿宋_GB2312" w:eastAsia="仿宋_GB2312"/>
                <w:color w:val="000000"/>
                <w:kern w:val="0"/>
                <w:sz w:val="28"/>
                <w:szCs w:val="28"/>
              </w:rPr>
            </w:pPr>
            <w:proofErr w:type="gramStart"/>
            <w:r w:rsidRPr="00133371">
              <w:rPr>
                <w:rFonts w:ascii="仿宋_GB2312" w:eastAsia="仿宋_GB2312" w:hint="eastAsia"/>
                <w:color w:val="000000"/>
                <w:kern w:val="0"/>
                <w:sz w:val="28"/>
                <w:szCs w:val="28"/>
              </w:rPr>
              <w:t>银邮期</w:t>
            </w:r>
            <w:proofErr w:type="gramEnd"/>
            <w:r w:rsidRPr="00133371">
              <w:rPr>
                <w:rFonts w:ascii="仿宋_GB2312" w:eastAsia="仿宋_GB2312" w:hint="eastAsia"/>
                <w:color w:val="000000"/>
                <w:kern w:val="0"/>
                <w:sz w:val="28"/>
                <w:szCs w:val="28"/>
              </w:rPr>
              <w:t>交业务是</w:t>
            </w:r>
            <w:proofErr w:type="gramStart"/>
            <w:r w:rsidRPr="00133371">
              <w:rPr>
                <w:rFonts w:ascii="仿宋_GB2312" w:eastAsia="仿宋_GB2312" w:hint="eastAsia"/>
                <w:color w:val="000000"/>
                <w:kern w:val="0"/>
                <w:sz w:val="28"/>
                <w:szCs w:val="28"/>
              </w:rPr>
              <w:t>指银邮</w:t>
            </w:r>
            <w:proofErr w:type="gramEnd"/>
            <w:r w:rsidRPr="00133371">
              <w:rPr>
                <w:rFonts w:ascii="仿宋_GB2312" w:eastAsia="仿宋_GB2312" w:hint="eastAsia"/>
                <w:color w:val="000000"/>
                <w:kern w:val="0"/>
                <w:sz w:val="28"/>
                <w:szCs w:val="28"/>
              </w:rPr>
              <w:t>代理渠道投保人为个人的期交业务。</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手续费及佣金支出包含其他业务成本中</w:t>
            </w:r>
            <w:proofErr w:type="gramStart"/>
            <w:r w:rsidRPr="00133371">
              <w:rPr>
                <w:rFonts w:ascii="仿宋_GB2312" w:eastAsia="仿宋_GB2312" w:hint="eastAsia"/>
                <w:color w:val="000000"/>
                <w:kern w:val="0"/>
                <w:sz w:val="28"/>
                <w:szCs w:val="28"/>
              </w:rPr>
              <w:t>银邮期</w:t>
            </w:r>
            <w:proofErr w:type="gramEnd"/>
            <w:r w:rsidRPr="00133371">
              <w:rPr>
                <w:rFonts w:ascii="仿宋_GB2312" w:eastAsia="仿宋_GB2312" w:hint="eastAsia"/>
                <w:color w:val="000000"/>
                <w:kern w:val="0"/>
                <w:sz w:val="28"/>
                <w:szCs w:val="28"/>
              </w:rPr>
              <w:t>交业务的手续费及佣金支出。</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0.5</w:t>
            </w:r>
          </w:p>
        </w:tc>
        <w:tc>
          <w:tcPr>
            <w:tcW w:w="1362"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≤行业均值，得0.5分；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sz w:val="28"/>
                <w:szCs w:val="28"/>
              </w:rPr>
              <w:t>否则，得0分。</w:t>
            </w:r>
          </w:p>
        </w:tc>
      </w:tr>
      <w:tr w:rsidR="00E84D44" w:rsidRPr="00133371" w:rsidTr="00133371">
        <w:trPr>
          <w:trHeight w:val="1867"/>
          <w:jc w:val="center"/>
        </w:trPr>
        <w:tc>
          <w:tcPr>
            <w:tcW w:w="562" w:type="pct"/>
            <w:vMerge/>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snapToGrid w:val="0"/>
              <w:spacing w:line="400" w:lineRule="exact"/>
              <w:rPr>
                <w:rFonts w:ascii="仿宋_GB2312" w:eastAsia="仿宋_GB2312"/>
                <w:b/>
                <w:color w:val="000000"/>
                <w:kern w:val="0"/>
                <w:sz w:val="28"/>
                <w:szCs w:val="28"/>
              </w:rPr>
            </w:pPr>
            <w:r w:rsidRPr="00133371">
              <w:rPr>
                <w:rFonts w:ascii="仿宋_GB2312" w:eastAsia="仿宋_GB2312" w:hint="eastAsia"/>
                <w:b/>
                <w:color w:val="000000"/>
                <w:kern w:val="0"/>
                <w:sz w:val="28"/>
                <w:szCs w:val="28"/>
              </w:rPr>
              <w:t>7、</w:t>
            </w:r>
            <w:proofErr w:type="gramStart"/>
            <w:r w:rsidRPr="00133371">
              <w:rPr>
                <w:rFonts w:ascii="仿宋_GB2312" w:eastAsia="仿宋_GB2312" w:hint="eastAsia"/>
                <w:b/>
                <w:color w:val="000000"/>
                <w:kern w:val="0"/>
                <w:sz w:val="28"/>
                <w:szCs w:val="28"/>
              </w:rPr>
              <w:t>银邮趸</w:t>
            </w:r>
            <w:proofErr w:type="gramEnd"/>
            <w:r w:rsidRPr="00133371">
              <w:rPr>
                <w:rFonts w:ascii="仿宋_GB2312" w:eastAsia="仿宋_GB2312" w:hint="eastAsia"/>
                <w:b/>
                <w:color w:val="000000"/>
                <w:kern w:val="0"/>
                <w:sz w:val="28"/>
                <w:szCs w:val="28"/>
              </w:rPr>
              <w:t>交业务费用率</w:t>
            </w:r>
          </w:p>
        </w:tc>
        <w:tc>
          <w:tcPr>
            <w:tcW w:w="1887" w:type="pct"/>
            <w:shd w:val="clear" w:color="auto" w:fill="auto"/>
            <w:vAlign w:val="center"/>
          </w:tcPr>
          <w:p w:rsidR="00E84D44" w:rsidRPr="00133371" w:rsidRDefault="00E84D44" w:rsidP="00640598">
            <w:pPr>
              <w:snapToGrid w:val="0"/>
              <w:spacing w:line="400" w:lineRule="exact"/>
              <w:jc w:val="left"/>
              <w:rPr>
                <w:rFonts w:ascii="仿宋_GB2312" w:eastAsia="仿宋_GB2312"/>
                <w:color w:val="000000"/>
                <w:kern w:val="0"/>
                <w:sz w:val="28"/>
                <w:szCs w:val="28"/>
              </w:rPr>
            </w:pPr>
            <w:proofErr w:type="gramStart"/>
            <w:r w:rsidRPr="00133371">
              <w:rPr>
                <w:rFonts w:ascii="仿宋_GB2312" w:eastAsia="仿宋_GB2312" w:hint="eastAsia"/>
                <w:color w:val="000000"/>
                <w:kern w:val="0"/>
                <w:sz w:val="28"/>
                <w:szCs w:val="28"/>
              </w:rPr>
              <w:t>银邮趸</w:t>
            </w:r>
            <w:proofErr w:type="gramEnd"/>
            <w:r w:rsidRPr="00133371">
              <w:rPr>
                <w:rFonts w:ascii="仿宋_GB2312" w:eastAsia="仿宋_GB2312" w:hint="eastAsia"/>
                <w:color w:val="000000"/>
                <w:kern w:val="0"/>
                <w:sz w:val="28"/>
                <w:szCs w:val="28"/>
              </w:rPr>
              <w:t>交业务的手续费及佣金支出÷</w:t>
            </w:r>
            <w:proofErr w:type="gramStart"/>
            <w:r w:rsidRPr="00133371">
              <w:rPr>
                <w:rFonts w:ascii="仿宋_GB2312" w:eastAsia="仿宋_GB2312" w:hint="eastAsia"/>
                <w:color w:val="000000"/>
                <w:kern w:val="0"/>
                <w:sz w:val="28"/>
                <w:szCs w:val="28"/>
              </w:rPr>
              <w:t>本期银邮</w:t>
            </w:r>
            <w:proofErr w:type="gramEnd"/>
            <w:r w:rsidRPr="00133371">
              <w:rPr>
                <w:rFonts w:ascii="仿宋_GB2312" w:eastAsia="仿宋_GB2312" w:hint="eastAsia"/>
                <w:color w:val="000000"/>
                <w:kern w:val="0"/>
                <w:sz w:val="28"/>
                <w:szCs w:val="28"/>
              </w:rPr>
              <w:t>渠道趸交业务的规模保费×100%</w:t>
            </w:r>
          </w:p>
          <w:p w:rsidR="00E84D44" w:rsidRPr="00133371" w:rsidRDefault="00E84D44" w:rsidP="00640598">
            <w:pPr>
              <w:snapToGrid w:val="0"/>
              <w:spacing w:line="400" w:lineRule="exact"/>
              <w:jc w:val="left"/>
              <w:rPr>
                <w:rFonts w:ascii="仿宋_GB2312" w:eastAsia="仿宋_GB2312"/>
                <w:color w:val="000000"/>
                <w:kern w:val="0"/>
                <w:sz w:val="28"/>
                <w:szCs w:val="28"/>
              </w:rPr>
            </w:pPr>
            <w:proofErr w:type="gramStart"/>
            <w:r w:rsidRPr="00133371">
              <w:rPr>
                <w:rFonts w:ascii="仿宋_GB2312" w:eastAsia="仿宋_GB2312" w:hint="eastAsia"/>
                <w:color w:val="000000"/>
                <w:kern w:val="0"/>
                <w:sz w:val="28"/>
                <w:szCs w:val="28"/>
              </w:rPr>
              <w:t>银邮趸</w:t>
            </w:r>
            <w:proofErr w:type="gramEnd"/>
            <w:r w:rsidRPr="00133371">
              <w:rPr>
                <w:rFonts w:ascii="仿宋_GB2312" w:eastAsia="仿宋_GB2312" w:hint="eastAsia"/>
                <w:color w:val="000000"/>
                <w:kern w:val="0"/>
                <w:sz w:val="28"/>
                <w:szCs w:val="28"/>
              </w:rPr>
              <w:t>交业务是</w:t>
            </w:r>
            <w:proofErr w:type="gramStart"/>
            <w:r w:rsidRPr="00133371">
              <w:rPr>
                <w:rFonts w:ascii="仿宋_GB2312" w:eastAsia="仿宋_GB2312" w:hint="eastAsia"/>
                <w:color w:val="000000"/>
                <w:kern w:val="0"/>
                <w:sz w:val="28"/>
                <w:szCs w:val="28"/>
              </w:rPr>
              <w:t>指银邮</w:t>
            </w:r>
            <w:proofErr w:type="gramEnd"/>
            <w:r w:rsidRPr="00133371">
              <w:rPr>
                <w:rFonts w:ascii="仿宋_GB2312" w:eastAsia="仿宋_GB2312" w:hint="eastAsia"/>
                <w:color w:val="000000"/>
                <w:kern w:val="0"/>
                <w:sz w:val="28"/>
                <w:szCs w:val="28"/>
              </w:rPr>
              <w:t>代理渠道投保人为</w:t>
            </w:r>
            <w:proofErr w:type="gramStart"/>
            <w:r w:rsidRPr="00133371">
              <w:rPr>
                <w:rFonts w:ascii="仿宋_GB2312" w:eastAsia="仿宋_GB2312" w:hint="eastAsia"/>
                <w:color w:val="000000"/>
                <w:kern w:val="0"/>
                <w:sz w:val="28"/>
                <w:szCs w:val="28"/>
              </w:rPr>
              <w:t>个人的趸交</w:t>
            </w:r>
            <w:proofErr w:type="gramEnd"/>
            <w:r w:rsidRPr="00133371">
              <w:rPr>
                <w:rFonts w:ascii="仿宋_GB2312" w:eastAsia="仿宋_GB2312" w:hint="eastAsia"/>
                <w:color w:val="000000"/>
                <w:kern w:val="0"/>
                <w:sz w:val="28"/>
                <w:szCs w:val="28"/>
              </w:rPr>
              <w:t>业务。</w:t>
            </w:r>
          </w:p>
          <w:p w:rsidR="00E84D44" w:rsidRPr="00133371" w:rsidRDefault="00E84D44" w:rsidP="00640598">
            <w:pPr>
              <w:snapToGrid w:val="0"/>
              <w:spacing w:line="400" w:lineRule="exact"/>
              <w:jc w:val="left"/>
              <w:rPr>
                <w:rFonts w:ascii="仿宋_GB2312" w:eastAsia="仿宋_GB2312"/>
                <w:color w:val="000000"/>
                <w:kern w:val="0"/>
                <w:sz w:val="28"/>
                <w:szCs w:val="28"/>
              </w:rPr>
            </w:pPr>
            <w:r w:rsidRPr="00133371">
              <w:rPr>
                <w:rFonts w:ascii="仿宋_GB2312" w:eastAsia="仿宋_GB2312" w:hint="eastAsia"/>
                <w:color w:val="000000"/>
                <w:kern w:val="0"/>
                <w:sz w:val="28"/>
                <w:szCs w:val="28"/>
              </w:rPr>
              <w:t>手续费及佣金支出包含其他业务成本中</w:t>
            </w:r>
            <w:proofErr w:type="gramStart"/>
            <w:r w:rsidRPr="00133371">
              <w:rPr>
                <w:rFonts w:ascii="仿宋_GB2312" w:eastAsia="仿宋_GB2312" w:hint="eastAsia"/>
                <w:color w:val="000000"/>
                <w:kern w:val="0"/>
                <w:sz w:val="28"/>
                <w:szCs w:val="28"/>
              </w:rPr>
              <w:t>银邮趸</w:t>
            </w:r>
            <w:proofErr w:type="gramEnd"/>
            <w:r w:rsidRPr="00133371">
              <w:rPr>
                <w:rFonts w:ascii="仿宋_GB2312" w:eastAsia="仿宋_GB2312" w:hint="eastAsia"/>
                <w:color w:val="000000"/>
                <w:kern w:val="0"/>
                <w:sz w:val="28"/>
                <w:szCs w:val="28"/>
              </w:rPr>
              <w:t>交业务的手续费及佣金支出。</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1</w:t>
            </w:r>
          </w:p>
        </w:tc>
        <w:tc>
          <w:tcPr>
            <w:tcW w:w="1362"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≤行业均值，得1分；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行业均值＜指标值≤（行业均值</w:t>
            </w:r>
            <w:r w:rsidRPr="00133371">
              <w:rPr>
                <w:rFonts w:ascii="仿宋_GB2312" w:eastAsia="仿宋_GB2312" w:hint="eastAsia"/>
                <w:color w:val="000000"/>
                <w:kern w:val="0"/>
                <w:sz w:val="28"/>
                <w:szCs w:val="28"/>
              </w:rPr>
              <w:t>+3%）</w:t>
            </w:r>
            <w:r w:rsidRPr="00133371">
              <w:rPr>
                <w:rFonts w:ascii="仿宋_GB2312" w:eastAsia="仿宋_GB2312" w:hint="eastAsia"/>
                <w:sz w:val="28"/>
                <w:szCs w:val="28"/>
              </w:rPr>
              <w:t>，得0.5分；</w:t>
            </w:r>
          </w:p>
          <w:p w:rsidR="00E84D44" w:rsidRPr="00133371" w:rsidRDefault="00E84D44" w:rsidP="00640598">
            <w:pPr>
              <w:snapToGrid w:val="0"/>
              <w:spacing w:line="400" w:lineRule="exact"/>
              <w:jc w:val="center"/>
              <w:rPr>
                <w:rFonts w:ascii="仿宋_GB2312" w:eastAsia="仿宋_GB2312"/>
                <w:sz w:val="28"/>
                <w:szCs w:val="28"/>
              </w:rPr>
            </w:pPr>
            <w:r w:rsidRPr="00133371">
              <w:rPr>
                <w:rFonts w:ascii="仿宋_GB2312" w:eastAsia="仿宋_GB2312" w:hint="eastAsia"/>
                <w:sz w:val="28"/>
                <w:szCs w:val="28"/>
              </w:rPr>
              <w:t>否则，得0分。</w:t>
            </w:r>
          </w:p>
        </w:tc>
      </w:tr>
      <w:tr w:rsidR="00E84D44" w:rsidRPr="00133371" w:rsidTr="00133371">
        <w:trPr>
          <w:trHeight w:val="2676"/>
          <w:jc w:val="center"/>
        </w:trPr>
        <w:tc>
          <w:tcPr>
            <w:tcW w:w="562" w:type="pct"/>
            <w:vMerge/>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snapToGrid w:val="0"/>
              <w:spacing w:line="400" w:lineRule="exact"/>
              <w:rPr>
                <w:rFonts w:ascii="仿宋_GB2312" w:eastAsia="仿宋_GB2312"/>
                <w:b/>
                <w:color w:val="000000"/>
                <w:kern w:val="0"/>
                <w:sz w:val="28"/>
                <w:szCs w:val="28"/>
              </w:rPr>
            </w:pPr>
            <w:r w:rsidRPr="00133371">
              <w:rPr>
                <w:rFonts w:ascii="仿宋_GB2312" w:eastAsia="仿宋_GB2312" w:hint="eastAsia"/>
                <w:b/>
                <w:color w:val="000000"/>
                <w:kern w:val="0"/>
                <w:sz w:val="28"/>
                <w:szCs w:val="28"/>
              </w:rPr>
              <w:t>8、综合退保率</w:t>
            </w:r>
          </w:p>
        </w:tc>
        <w:tc>
          <w:tcPr>
            <w:tcW w:w="1887" w:type="pct"/>
            <w:shd w:val="clear" w:color="auto" w:fill="auto"/>
            <w:vAlign w:val="center"/>
          </w:tcPr>
          <w:p w:rsidR="00E84D44" w:rsidRPr="00133371" w:rsidDel="00C95240"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（退保金+保户储金及投资款的退保金＋投资连接保险独立账户的退保金）÷（期</w:t>
            </w:r>
            <w:proofErr w:type="gramStart"/>
            <w:r w:rsidRPr="00133371">
              <w:rPr>
                <w:rFonts w:ascii="仿宋_GB2312" w:eastAsia="仿宋_GB2312" w:hint="eastAsia"/>
                <w:color w:val="000000"/>
                <w:kern w:val="0"/>
                <w:sz w:val="28"/>
                <w:szCs w:val="28"/>
              </w:rPr>
              <w:t>初长期险责任</w:t>
            </w:r>
            <w:proofErr w:type="gramEnd"/>
            <w:r w:rsidRPr="00133371">
              <w:rPr>
                <w:rFonts w:ascii="仿宋_GB2312" w:eastAsia="仿宋_GB2312" w:hint="eastAsia"/>
                <w:color w:val="000000"/>
                <w:kern w:val="0"/>
                <w:sz w:val="28"/>
                <w:szCs w:val="28"/>
              </w:rPr>
              <w:t>准备金+保户储金及投资款期初余额+独立账户负债期初余额+规模保费）×100%</w:t>
            </w:r>
          </w:p>
        </w:tc>
        <w:tc>
          <w:tcPr>
            <w:tcW w:w="305" w:type="pct"/>
            <w:vAlign w:val="center"/>
          </w:tcPr>
          <w:p w:rsidR="00E84D44" w:rsidRPr="00133371" w:rsidDel="00C95240"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1</w:t>
            </w:r>
          </w:p>
        </w:tc>
        <w:tc>
          <w:tcPr>
            <w:tcW w:w="1362"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≤行业均值，得1分；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行业均值＜指标值≤（行业均值</w:t>
            </w:r>
            <w:r w:rsidRPr="00133371">
              <w:rPr>
                <w:rFonts w:ascii="仿宋_GB2312" w:eastAsia="仿宋_GB2312" w:hint="eastAsia"/>
                <w:color w:val="000000"/>
                <w:kern w:val="0"/>
                <w:sz w:val="28"/>
                <w:szCs w:val="28"/>
              </w:rPr>
              <w:t>+3%）</w:t>
            </w:r>
            <w:r w:rsidRPr="00133371">
              <w:rPr>
                <w:rFonts w:ascii="仿宋_GB2312" w:eastAsia="仿宋_GB2312" w:hint="eastAsia"/>
                <w:sz w:val="28"/>
                <w:szCs w:val="28"/>
              </w:rPr>
              <w:t>，得0.5分；</w:t>
            </w:r>
          </w:p>
          <w:p w:rsidR="00E84D44" w:rsidRPr="00133371" w:rsidDel="00C95240" w:rsidRDefault="00E84D44" w:rsidP="00640598">
            <w:pPr>
              <w:snapToGrid w:val="0"/>
              <w:spacing w:line="400" w:lineRule="exact"/>
              <w:jc w:val="center"/>
              <w:rPr>
                <w:rFonts w:ascii="仿宋_GB2312" w:eastAsia="仿宋_GB2312"/>
                <w:sz w:val="28"/>
                <w:szCs w:val="28"/>
              </w:rPr>
            </w:pPr>
            <w:r w:rsidRPr="00133371">
              <w:rPr>
                <w:rFonts w:ascii="仿宋_GB2312" w:eastAsia="仿宋_GB2312" w:hint="eastAsia"/>
                <w:sz w:val="28"/>
                <w:szCs w:val="28"/>
              </w:rPr>
              <w:t>否则，得0分。</w:t>
            </w:r>
          </w:p>
        </w:tc>
      </w:tr>
      <w:tr w:rsidR="00E84D44" w:rsidRPr="00133371" w:rsidTr="00133371">
        <w:trPr>
          <w:trHeight w:val="4527"/>
          <w:jc w:val="center"/>
        </w:trPr>
        <w:tc>
          <w:tcPr>
            <w:tcW w:w="562" w:type="pct"/>
            <w:vMerge/>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snapToGrid w:val="0"/>
              <w:spacing w:line="400" w:lineRule="exact"/>
              <w:rPr>
                <w:rFonts w:ascii="仿宋_GB2312" w:eastAsia="仿宋_GB2312"/>
                <w:b/>
                <w:color w:val="000000"/>
                <w:kern w:val="0"/>
                <w:sz w:val="28"/>
                <w:szCs w:val="28"/>
              </w:rPr>
            </w:pPr>
            <w:r w:rsidRPr="00133371">
              <w:rPr>
                <w:rFonts w:ascii="仿宋_GB2312" w:eastAsia="仿宋_GB2312" w:hint="eastAsia"/>
                <w:b/>
                <w:color w:val="000000"/>
                <w:kern w:val="0"/>
                <w:sz w:val="28"/>
                <w:szCs w:val="28"/>
              </w:rPr>
              <w:t>9、13个月保单继续率</w:t>
            </w:r>
          </w:p>
        </w:tc>
        <w:tc>
          <w:tcPr>
            <w:tcW w:w="1887" w:type="pct"/>
            <w:shd w:val="clear" w:color="auto" w:fill="auto"/>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评价期前溯12个月承保的期交新单在首个保单年度宽限期内实收的规模保费÷评价期前溯12个月承保的期交新单实收的规模保费×100%</w:t>
            </w:r>
          </w:p>
          <w:p w:rsidR="00E84D44" w:rsidRPr="00133371" w:rsidRDefault="00E84D44" w:rsidP="00640598">
            <w:pPr>
              <w:snapToGrid w:val="0"/>
              <w:spacing w:line="400" w:lineRule="exact"/>
              <w:jc w:val="left"/>
              <w:rPr>
                <w:rFonts w:ascii="仿宋_GB2312" w:eastAsia="仿宋_GB2312"/>
                <w:color w:val="000000"/>
                <w:kern w:val="0"/>
                <w:sz w:val="28"/>
                <w:szCs w:val="28"/>
              </w:rPr>
            </w:pPr>
            <w:r w:rsidRPr="00133371">
              <w:rPr>
                <w:rFonts w:ascii="仿宋_GB2312" w:eastAsia="仿宋_GB2312" w:hint="eastAsia"/>
                <w:color w:val="000000"/>
                <w:kern w:val="0"/>
                <w:sz w:val="28"/>
                <w:szCs w:val="28"/>
              </w:rPr>
              <w:t>评价期前溯12个月是</w:t>
            </w:r>
            <w:proofErr w:type="gramStart"/>
            <w:r w:rsidRPr="00133371">
              <w:rPr>
                <w:rFonts w:ascii="仿宋_GB2312" w:eastAsia="仿宋_GB2312" w:hint="eastAsia"/>
                <w:color w:val="000000"/>
                <w:kern w:val="0"/>
                <w:sz w:val="28"/>
                <w:szCs w:val="28"/>
              </w:rPr>
              <w:t>指评价期初前</w:t>
            </w:r>
            <w:proofErr w:type="gramEnd"/>
            <w:r w:rsidRPr="00133371">
              <w:rPr>
                <w:rFonts w:ascii="仿宋_GB2312" w:eastAsia="仿宋_GB2312" w:hint="eastAsia"/>
                <w:color w:val="000000"/>
                <w:kern w:val="0"/>
                <w:sz w:val="28"/>
                <w:szCs w:val="28"/>
              </w:rPr>
              <w:t>推12个月和评价</w:t>
            </w:r>
            <w:proofErr w:type="gramStart"/>
            <w:r w:rsidRPr="00133371">
              <w:rPr>
                <w:rFonts w:ascii="仿宋_GB2312" w:eastAsia="仿宋_GB2312" w:hint="eastAsia"/>
                <w:color w:val="000000"/>
                <w:kern w:val="0"/>
                <w:sz w:val="28"/>
                <w:szCs w:val="28"/>
              </w:rPr>
              <w:t>期末前</w:t>
            </w:r>
            <w:proofErr w:type="gramEnd"/>
            <w:r w:rsidRPr="00133371">
              <w:rPr>
                <w:rFonts w:ascii="仿宋_GB2312" w:eastAsia="仿宋_GB2312" w:hint="eastAsia"/>
                <w:color w:val="000000"/>
                <w:kern w:val="0"/>
                <w:sz w:val="28"/>
                <w:szCs w:val="28"/>
              </w:rPr>
              <w:t>推12个月之间的时间。</w:t>
            </w:r>
          </w:p>
          <w:p w:rsidR="00E84D44" w:rsidRPr="00133371" w:rsidDel="00C95240"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期交新单指投保人为个人的期交保单，不包含</w:t>
            </w:r>
            <w:proofErr w:type="gramStart"/>
            <w:r w:rsidRPr="00133371">
              <w:rPr>
                <w:rFonts w:ascii="仿宋_GB2312" w:eastAsia="仿宋_GB2312" w:hint="eastAsia"/>
                <w:color w:val="000000"/>
                <w:kern w:val="0"/>
                <w:sz w:val="28"/>
                <w:szCs w:val="28"/>
              </w:rPr>
              <w:t>趸</w:t>
            </w:r>
            <w:proofErr w:type="gramEnd"/>
            <w:r w:rsidRPr="00133371">
              <w:rPr>
                <w:rFonts w:ascii="仿宋_GB2312" w:eastAsia="仿宋_GB2312" w:hint="eastAsia"/>
                <w:color w:val="000000"/>
                <w:kern w:val="0"/>
                <w:sz w:val="28"/>
                <w:szCs w:val="28"/>
              </w:rPr>
              <w:t>交件、犹豫期撤单件、发生理赔终止件、免缴、注销、迁出、效力中止及转换终止的保单。</w:t>
            </w:r>
          </w:p>
        </w:tc>
        <w:tc>
          <w:tcPr>
            <w:tcW w:w="305" w:type="pct"/>
            <w:vAlign w:val="center"/>
          </w:tcPr>
          <w:p w:rsidR="00E84D44" w:rsidRPr="00133371" w:rsidDel="00C95240"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1</w:t>
            </w:r>
          </w:p>
        </w:tc>
        <w:tc>
          <w:tcPr>
            <w:tcW w:w="1362"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≥行业中位数，得1分；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行业均值＜指标值≤（行业均值</w:t>
            </w:r>
            <w:r w:rsidRPr="00133371">
              <w:rPr>
                <w:rFonts w:ascii="仿宋_GB2312" w:eastAsia="仿宋_GB2312" w:hint="eastAsia"/>
                <w:color w:val="000000"/>
                <w:kern w:val="0"/>
                <w:sz w:val="28"/>
                <w:szCs w:val="28"/>
              </w:rPr>
              <w:t>+5%）</w:t>
            </w:r>
            <w:r w:rsidRPr="00133371">
              <w:rPr>
                <w:rFonts w:ascii="仿宋_GB2312" w:eastAsia="仿宋_GB2312" w:hint="eastAsia"/>
                <w:sz w:val="28"/>
                <w:szCs w:val="28"/>
              </w:rPr>
              <w:t>，得0.5分；</w:t>
            </w:r>
          </w:p>
          <w:p w:rsidR="00E84D44" w:rsidRPr="00133371" w:rsidDel="00C95240" w:rsidRDefault="00E84D44" w:rsidP="00640598">
            <w:pPr>
              <w:snapToGrid w:val="0"/>
              <w:spacing w:line="400" w:lineRule="exact"/>
              <w:jc w:val="center"/>
              <w:rPr>
                <w:rFonts w:ascii="仿宋_GB2312" w:eastAsia="仿宋_GB2312"/>
                <w:sz w:val="28"/>
                <w:szCs w:val="28"/>
              </w:rPr>
            </w:pPr>
            <w:r w:rsidRPr="00133371">
              <w:rPr>
                <w:rFonts w:ascii="仿宋_GB2312" w:eastAsia="仿宋_GB2312" w:hint="eastAsia"/>
                <w:sz w:val="28"/>
                <w:szCs w:val="28"/>
              </w:rPr>
              <w:t>否则，得0分。</w:t>
            </w:r>
          </w:p>
        </w:tc>
      </w:tr>
      <w:tr w:rsidR="00E84D44" w:rsidRPr="00133371" w:rsidTr="00133371">
        <w:trPr>
          <w:trHeight w:val="1405"/>
          <w:jc w:val="center"/>
        </w:trPr>
        <w:tc>
          <w:tcPr>
            <w:tcW w:w="562" w:type="pct"/>
            <w:vMerge w:val="restart"/>
            <w:vAlign w:val="center"/>
          </w:tcPr>
          <w:p w:rsidR="00E84D44" w:rsidRPr="00133371" w:rsidRDefault="00E84D44" w:rsidP="00640598">
            <w:pPr>
              <w:snapToGrid w:val="0"/>
              <w:spacing w:line="400" w:lineRule="exact"/>
              <w:jc w:val="center"/>
              <w:rPr>
                <w:rFonts w:ascii="仿宋_GB2312" w:eastAsia="仿宋_GB2312"/>
                <w:b/>
                <w:color w:val="000000"/>
                <w:kern w:val="0"/>
                <w:sz w:val="28"/>
                <w:szCs w:val="28"/>
              </w:rPr>
            </w:pPr>
            <w:r w:rsidRPr="00133371">
              <w:rPr>
                <w:rFonts w:ascii="仿宋_GB2312" w:eastAsia="仿宋_GB2312" w:hint="eastAsia"/>
                <w:b/>
                <w:color w:val="000000"/>
                <w:kern w:val="0"/>
                <w:sz w:val="28"/>
                <w:szCs w:val="28"/>
              </w:rPr>
              <w:t>社会贡献（共2分）</w:t>
            </w:r>
          </w:p>
        </w:tc>
        <w:tc>
          <w:tcPr>
            <w:tcW w:w="884" w:type="pct"/>
            <w:shd w:val="clear" w:color="auto" w:fill="auto"/>
            <w:vAlign w:val="center"/>
          </w:tcPr>
          <w:p w:rsidR="00E84D44" w:rsidRPr="00133371" w:rsidRDefault="00E84D44" w:rsidP="00640598">
            <w:pPr>
              <w:snapToGrid w:val="0"/>
              <w:spacing w:line="400" w:lineRule="exact"/>
              <w:jc w:val="left"/>
              <w:rPr>
                <w:rFonts w:ascii="仿宋_GB2312" w:eastAsia="仿宋_GB2312"/>
                <w:b/>
                <w:color w:val="000000"/>
                <w:kern w:val="0"/>
                <w:sz w:val="28"/>
                <w:szCs w:val="28"/>
              </w:rPr>
            </w:pPr>
            <w:r w:rsidRPr="00133371">
              <w:rPr>
                <w:rFonts w:ascii="仿宋_GB2312" w:eastAsia="仿宋_GB2312" w:hint="eastAsia"/>
                <w:b/>
                <w:color w:val="000000"/>
                <w:kern w:val="0"/>
                <w:sz w:val="28"/>
                <w:szCs w:val="28"/>
              </w:rPr>
              <w:t>10、风险保障贡献度</w:t>
            </w:r>
          </w:p>
        </w:tc>
        <w:tc>
          <w:tcPr>
            <w:tcW w:w="1887" w:type="pct"/>
            <w:shd w:val="clear" w:color="auto" w:fill="auto"/>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分支机构经营的各类人身保险产品本期累计新增保险金额之和÷本地区寿险行业本期累计新增保险金额总和×100%</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0.5</w:t>
            </w:r>
          </w:p>
        </w:tc>
        <w:tc>
          <w:tcPr>
            <w:tcW w:w="1362"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≥1%，得0.5分；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0.5%≤指标值＜1%，得0.4分；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0.1%≤指标值＜0.5%，得0.3分；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sz w:val="28"/>
                <w:szCs w:val="28"/>
              </w:rPr>
              <w:t>否则，得0分。</w:t>
            </w:r>
          </w:p>
        </w:tc>
      </w:tr>
      <w:tr w:rsidR="00E84D44" w:rsidRPr="00133371" w:rsidTr="00133371">
        <w:trPr>
          <w:trHeight w:val="1810"/>
          <w:jc w:val="center"/>
        </w:trPr>
        <w:tc>
          <w:tcPr>
            <w:tcW w:w="562" w:type="pct"/>
            <w:vMerge/>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snapToGrid w:val="0"/>
              <w:spacing w:line="400" w:lineRule="exact"/>
              <w:jc w:val="left"/>
              <w:rPr>
                <w:rFonts w:ascii="仿宋_GB2312" w:eastAsia="仿宋_GB2312"/>
                <w:b/>
                <w:color w:val="000000"/>
                <w:kern w:val="0"/>
                <w:sz w:val="28"/>
                <w:szCs w:val="28"/>
              </w:rPr>
            </w:pPr>
            <w:r w:rsidRPr="00133371">
              <w:rPr>
                <w:rFonts w:ascii="仿宋_GB2312" w:eastAsia="仿宋_GB2312" w:hint="eastAsia"/>
                <w:b/>
                <w:color w:val="000000"/>
                <w:kern w:val="0"/>
                <w:sz w:val="28"/>
                <w:szCs w:val="28"/>
              </w:rPr>
              <w:t>11、赔付贡献度</w:t>
            </w:r>
          </w:p>
        </w:tc>
        <w:tc>
          <w:tcPr>
            <w:tcW w:w="1887" w:type="pct"/>
            <w:shd w:val="clear" w:color="auto" w:fill="auto"/>
            <w:vAlign w:val="center"/>
          </w:tcPr>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分支机构赔付金额÷本地区寿险行业赔付金额总和×100%</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赔付金额=公司利润表中本期的赔付支出金额</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0.5</w:t>
            </w:r>
          </w:p>
        </w:tc>
        <w:tc>
          <w:tcPr>
            <w:tcW w:w="1362"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≥1%，得0.5分；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0.5%≤指标值＜1%，得0.4分；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0.1%≤指标值＜0.5%，得0.3分；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sz w:val="28"/>
                <w:szCs w:val="28"/>
              </w:rPr>
              <w:t>否则，得0分。</w:t>
            </w:r>
          </w:p>
        </w:tc>
      </w:tr>
      <w:tr w:rsidR="00E84D44" w:rsidRPr="00133371" w:rsidTr="00133371">
        <w:trPr>
          <w:trHeight w:val="2109"/>
          <w:jc w:val="center"/>
        </w:trPr>
        <w:tc>
          <w:tcPr>
            <w:tcW w:w="562" w:type="pct"/>
            <w:vMerge/>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widowControl/>
              <w:spacing w:line="400" w:lineRule="exact"/>
              <w:rPr>
                <w:rFonts w:ascii="仿宋_GB2312" w:eastAsia="仿宋_GB2312"/>
                <w:b/>
                <w:color w:val="000000"/>
                <w:kern w:val="0"/>
                <w:sz w:val="28"/>
                <w:szCs w:val="28"/>
              </w:rPr>
            </w:pPr>
            <w:r w:rsidRPr="00133371">
              <w:rPr>
                <w:rFonts w:ascii="仿宋_GB2312" w:eastAsia="仿宋_GB2312" w:hint="eastAsia"/>
                <w:b/>
                <w:color w:val="000000"/>
                <w:kern w:val="0"/>
                <w:sz w:val="28"/>
                <w:szCs w:val="28"/>
              </w:rPr>
              <w:t>12、纳税增长率</w:t>
            </w:r>
          </w:p>
        </w:tc>
        <w:tc>
          <w:tcPr>
            <w:tcW w:w="1887" w:type="pct"/>
            <w:shd w:val="clear" w:color="auto" w:fill="auto"/>
            <w:tcMar>
              <w:left w:w="0" w:type="dxa"/>
              <w:right w:w="0" w:type="dxa"/>
            </w:tcMar>
            <w:vAlign w:val="center"/>
          </w:tcPr>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本期纳税额÷去年同期纳税额×100%－1</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纳税额是指保险公司扣除当期税金返还后实际缴纳（包括预缴）的企业所得税、营业税、印花税等各项税金的总和（包括代扣代缴的个人所得税、代征的车船税等税金）。</w:t>
            </w:r>
          </w:p>
        </w:tc>
        <w:tc>
          <w:tcPr>
            <w:tcW w:w="305"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0.5</w:t>
            </w:r>
          </w:p>
        </w:tc>
        <w:tc>
          <w:tcPr>
            <w:tcW w:w="1362" w:type="pct"/>
            <w:vAlign w:val="center"/>
          </w:tcPr>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≥0，得0.5分；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-20%≤指标值＜0，得0.3分；</w:t>
            </w:r>
          </w:p>
          <w:p w:rsidR="00E84D44" w:rsidRPr="00133371" w:rsidRDefault="00E84D44" w:rsidP="00640598">
            <w:pPr>
              <w:spacing w:line="400" w:lineRule="exact"/>
              <w:jc w:val="center"/>
              <w:rPr>
                <w:rFonts w:ascii="仿宋_GB2312" w:eastAsia="仿宋_GB2312"/>
                <w:sz w:val="28"/>
                <w:szCs w:val="28"/>
              </w:rPr>
            </w:pPr>
            <w:r w:rsidRPr="00133371">
              <w:rPr>
                <w:rFonts w:ascii="仿宋_GB2312" w:eastAsia="仿宋_GB2312" w:hint="eastAsia"/>
                <w:sz w:val="28"/>
                <w:szCs w:val="28"/>
              </w:rPr>
              <w:t>否则，得0分。</w:t>
            </w:r>
          </w:p>
        </w:tc>
      </w:tr>
      <w:tr w:rsidR="00E84D44" w:rsidRPr="00133371" w:rsidTr="00F90979">
        <w:trPr>
          <w:trHeight w:val="4966"/>
          <w:jc w:val="center"/>
        </w:trPr>
        <w:tc>
          <w:tcPr>
            <w:tcW w:w="562" w:type="pct"/>
            <w:vMerge/>
          </w:tcPr>
          <w:p w:rsidR="00E84D44" w:rsidRPr="00133371" w:rsidRDefault="00E84D44" w:rsidP="00640598">
            <w:pPr>
              <w:snapToGrid w:val="0"/>
              <w:spacing w:line="400" w:lineRule="exact"/>
              <w:jc w:val="center"/>
              <w:rPr>
                <w:rFonts w:ascii="仿宋_GB2312" w:eastAsia="仿宋_GB2312"/>
                <w:b/>
                <w:color w:val="000000"/>
                <w:kern w:val="0"/>
                <w:sz w:val="28"/>
                <w:szCs w:val="28"/>
              </w:rPr>
            </w:pPr>
          </w:p>
        </w:tc>
        <w:tc>
          <w:tcPr>
            <w:tcW w:w="884" w:type="pct"/>
            <w:shd w:val="clear" w:color="auto" w:fill="auto"/>
            <w:vAlign w:val="center"/>
          </w:tcPr>
          <w:p w:rsidR="00E84D44" w:rsidRPr="00133371" w:rsidRDefault="00E84D44" w:rsidP="00640598">
            <w:pPr>
              <w:snapToGrid w:val="0"/>
              <w:spacing w:line="400" w:lineRule="exact"/>
              <w:jc w:val="left"/>
              <w:rPr>
                <w:rFonts w:ascii="仿宋_GB2312" w:eastAsia="仿宋_GB2312"/>
                <w:b/>
                <w:color w:val="000000"/>
                <w:kern w:val="0"/>
                <w:sz w:val="28"/>
                <w:szCs w:val="28"/>
              </w:rPr>
            </w:pPr>
            <w:r w:rsidRPr="00133371">
              <w:rPr>
                <w:rFonts w:ascii="仿宋_GB2312" w:eastAsia="仿宋_GB2312" w:hint="eastAsia"/>
                <w:b/>
                <w:color w:val="000000"/>
                <w:kern w:val="0"/>
                <w:sz w:val="28"/>
                <w:szCs w:val="28"/>
              </w:rPr>
              <w:t>13、增加值增长率</w:t>
            </w:r>
          </w:p>
        </w:tc>
        <w:tc>
          <w:tcPr>
            <w:tcW w:w="1887" w:type="pct"/>
            <w:shd w:val="clear" w:color="auto" w:fill="auto"/>
            <w:tcMar>
              <w:left w:w="0" w:type="dxa"/>
              <w:right w:w="0" w:type="dxa"/>
            </w:tcMar>
            <w:vAlign w:val="center"/>
          </w:tcPr>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增加值增长率＝（本期增加值－去年同期增加值）÷去年同期增加值的绝对值×100%</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增加值＝劳动者报酬+生产税净额+固定资产折旧＋营业盈余</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其中：</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（1）劳动者报酬＝职工工资及福利费＋支付给个人的佣金＋劳动保险费＋待业保险费＋住房公积金＋社会统筹保险＋取暖降温费</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（2）生产税净额＝营业税金及附加＋印花税＋房产税＋车船使用税＋土地使用税</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（3）固定资产折旧＝本年折旧</w:t>
            </w:r>
          </w:p>
          <w:p w:rsidR="00E84D44" w:rsidRPr="00133371" w:rsidRDefault="00E84D44" w:rsidP="00640598">
            <w:pPr>
              <w:snapToGrid w:val="0"/>
              <w:spacing w:line="400" w:lineRule="exact"/>
              <w:rPr>
                <w:rFonts w:ascii="仿宋_GB2312" w:eastAsia="仿宋_GB2312"/>
                <w:color w:val="000000"/>
                <w:kern w:val="0"/>
                <w:sz w:val="28"/>
                <w:szCs w:val="28"/>
              </w:rPr>
            </w:pPr>
            <w:r w:rsidRPr="00133371">
              <w:rPr>
                <w:rFonts w:ascii="仿宋_GB2312" w:eastAsia="仿宋_GB2312" w:hint="eastAsia"/>
                <w:color w:val="000000"/>
                <w:kern w:val="0"/>
                <w:sz w:val="28"/>
                <w:szCs w:val="28"/>
              </w:rPr>
              <w:t>（4）营业盈余＝营业利润－公允价值变动收益</w:t>
            </w:r>
          </w:p>
        </w:tc>
        <w:tc>
          <w:tcPr>
            <w:tcW w:w="305"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sz w:val="28"/>
                <w:szCs w:val="28"/>
              </w:rPr>
              <w:t>0.5</w:t>
            </w:r>
          </w:p>
        </w:tc>
        <w:tc>
          <w:tcPr>
            <w:tcW w:w="1362" w:type="pct"/>
            <w:vAlign w:val="center"/>
          </w:tcPr>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≥行业中位数，得0.5分；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行业中位数×0.8（或1.2）≤指标值＜行业中位数，得0.3分；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否则，得0分。</w:t>
            </w:r>
          </w:p>
          <w:p w:rsidR="00E84D44" w:rsidRPr="00133371" w:rsidRDefault="00E84D44" w:rsidP="00640598">
            <w:pPr>
              <w:snapToGrid w:val="0"/>
              <w:spacing w:line="400" w:lineRule="exact"/>
              <w:jc w:val="center"/>
              <w:rPr>
                <w:rFonts w:ascii="仿宋_GB2312" w:eastAsia="仿宋_GB2312"/>
                <w:color w:val="000000"/>
                <w:kern w:val="0"/>
                <w:sz w:val="28"/>
                <w:szCs w:val="28"/>
              </w:rPr>
            </w:pPr>
            <w:r w:rsidRPr="00133371">
              <w:rPr>
                <w:rFonts w:ascii="仿宋_GB2312" w:eastAsia="仿宋_GB2312" w:hint="eastAsia"/>
                <w:color w:val="000000"/>
                <w:kern w:val="0"/>
                <w:sz w:val="28"/>
                <w:szCs w:val="28"/>
              </w:rPr>
              <w:t>注：当行业中位数为负值时，第二条评分规则左侧取“行业中位数×1.2”。</w:t>
            </w:r>
          </w:p>
        </w:tc>
      </w:tr>
    </w:tbl>
    <w:p w:rsidR="00E84D44" w:rsidRDefault="00E84D44" w:rsidP="00E84D44">
      <w:pPr>
        <w:spacing w:line="400" w:lineRule="exact"/>
        <w:rPr>
          <w:rFonts w:eastAsia="仿宋_GB2312"/>
          <w:color w:val="000000"/>
          <w:kern w:val="0"/>
          <w:sz w:val="28"/>
          <w:szCs w:val="28"/>
        </w:rPr>
      </w:pPr>
      <w:r>
        <w:rPr>
          <w:rFonts w:eastAsia="仿宋_GB2312" w:hint="eastAsia"/>
          <w:color w:val="000000"/>
          <w:kern w:val="0"/>
          <w:sz w:val="28"/>
          <w:szCs w:val="28"/>
        </w:rPr>
        <w:t>注：</w:t>
      </w:r>
      <w:r>
        <w:rPr>
          <w:rFonts w:eastAsia="仿宋_GB2312" w:hint="eastAsia"/>
          <w:color w:val="000000"/>
          <w:kern w:val="0"/>
          <w:sz w:val="28"/>
          <w:szCs w:val="28"/>
        </w:rPr>
        <w:t>1</w:t>
      </w:r>
      <w:r>
        <w:rPr>
          <w:rFonts w:eastAsia="仿宋_GB2312" w:hint="eastAsia"/>
          <w:color w:val="000000"/>
          <w:kern w:val="0"/>
          <w:sz w:val="28"/>
          <w:szCs w:val="28"/>
        </w:rPr>
        <w:t>、行业均值和行业中位数应根据本地区寿险行业相关数据统计算。</w:t>
      </w:r>
    </w:p>
    <w:p w:rsidR="00E84D44" w:rsidRPr="00E84D44" w:rsidRDefault="00E84D44" w:rsidP="00133371">
      <w:pPr>
        <w:spacing w:line="400" w:lineRule="exact"/>
      </w:pPr>
      <w:r>
        <w:rPr>
          <w:rFonts w:eastAsia="仿宋_GB2312" w:hint="eastAsia"/>
          <w:color w:val="000000"/>
          <w:kern w:val="0"/>
          <w:sz w:val="28"/>
          <w:szCs w:val="28"/>
        </w:rPr>
        <w:t xml:space="preserve">    2</w:t>
      </w:r>
      <w:r>
        <w:rPr>
          <w:rFonts w:eastAsia="仿宋_GB2312" w:hint="eastAsia"/>
          <w:color w:val="000000"/>
          <w:kern w:val="0"/>
          <w:sz w:val="28"/>
          <w:szCs w:val="28"/>
        </w:rPr>
        <w:t>、若某分支机构未开展个人代理</w:t>
      </w:r>
      <w:proofErr w:type="gramStart"/>
      <w:r>
        <w:rPr>
          <w:rFonts w:eastAsia="仿宋_GB2312" w:hint="eastAsia"/>
          <w:color w:val="000000"/>
          <w:kern w:val="0"/>
          <w:sz w:val="28"/>
          <w:szCs w:val="28"/>
        </w:rPr>
        <w:t>或银邮代理</w:t>
      </w:r>
      <w:proofErr w:type="gramEnd"/>
      <w:r>
        <w:rPr>
          <w:rFonts w:eastAsia="仿宋_GB2312" w:hint="eastAsia"/>
          <w:color w:val="000000"/>
          <w:kern w:val="0"/>
          <w:sz w:val="28"/>
          <w:szCs w:val="28"/>
        </w:rPr>
        <w:t>等业务，相关指标直接得满分。</w:t>
      </w:r>
    </w:p>
    <w:sectPr w:rsidR="00E84D44" w:rsidRPr="00E84D44" w:rsidSect="00133371">
      <w:headerReference w:type="even" r:id="rId8"/>
      <w:headerReference w:type="default" r:id="rId9"/>
      <w:footerReference w:type="even" r:id="rId10"/>
      <w:footerReference w:type="default" r:id="rId11"/>
      <w:headerReference w:type="first" r:id="rId12"/>
      <w:footerReference w:type="first" r:id="rId13"/>
      <w:pgSz w:w="16840" w:h="11907" w:orient="landscape"/>
      <w:pgMar w:top="2098" w:right="1418" w:bottom="1701" w:left="141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58" w:rsidRDefault="00605A58" w:rsidP="00E84D44">
      <w:pPr>
        <w:ind w:firstLine="640"/>
      </w:pPr>
      <w:r>
        <w:separator/>
      </w:r>
    </w:p>
  </w:endnote>
  <w:endnote w:type="continuationSeparator" w:id="0">
    <w:p w:rsidR="00605A58" w:rsidRDefault="00605A58" w:rsidP="00E84D4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71" w:rsidRDefault="001333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DD" w:rsidRDefault="00605A5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71" w:rsidRDefault="001333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58" w:rsidRDefault="00605A58" w:rsidP="00E84D44">
      <w:pPr>
        <w:ind w:firstLine="640"/>
      </w:pPr>
      <w:r>
        <w:separator/>
      </w:r>
    </w:p>
  </w:footnote>
  <w:footnote w:type="continuationSeparator" w:id="0">
    <w:p w:rsidR="00605A58" w:rsidRDefault="00605A58" w:rsidP="00E84D44">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71" w:rsidRDefault="001333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DD" w:rsidRDefault="00605A58" w:rsidP="00C72B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71" w:rsidRDefault="001333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0CA"/>
    <w:multiLevelType w:val="hybridMultilevel"/>
    <w:tmpl w:val="8A22C56A"/>
    <w:lvl w:ilvl="0" w:tplc="F8B6F79A">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D44"/>
    <w:rsid w:val="00001B4B"/>
    <w:rsid w:val="0005362F"/>
    <w:rsid w:val="0005452D"/>
    <w:rsid w:val="00071A2B"/>
    <w:rsid w:val="000A287C"/>
    <w:rsid w:val="000B6F81"/>
    <w:rsid w:val="00127671"/>
    <w:rsid w:val="00133371"/>
    <w:rsid w:val="00134C68"/>
    <w:rsid w:val="00137304"/>
    <w:rsid w:val="00157B22"/>
    <w:rsid w:val="002364E1"/>
    <w:rsid w:val="002A5154"/>
    <w:rsid w:val="00312C2A"/>
    <w:rsid w:val="003B1258"/>
    <w:rsid w:val="003D2E6A"/>
    <w:rsid w:val="00426848"/>
    <w:rsid w:val="00430E7D"/>
    <w:rsid w:val="005217BD"/>
    <w:rsid w:val="00562306"/>
    <w:rsid w:val="005A0ABD"/>
    <w:rsid w:val="00605A58"/>
    <w:rsid w:val="00635775"/>
    <w:rsid w:val="00660C1D"/>
    <w:rsid w:val="00662B60"/>
    <w:rsid w:val="006B5DB2"/>
    <w:rsid w:val="006E2C5A"/>
    <w:rsid w:val="007578D7"/>
    <w:rsid w:val="00781D7B"/>
    <w:rsid w:val="007F34CF"/>
    <w:rsid w:val="00873B7A"/>
    <w:rsid w:val="009078CF"/>
    <w:rsid w:val="00956D39"/>
    <w:rsid w:val="009D5087"/>
    <w:rsid w:val="00A26E5C"/>
    <w:rsid w:val="00AD6AEA"/>
    <w:rsid w:val="00BB43B7"/>
    <w:rsid w:val="00C968D2"/>
    <w:rsid w:val="00D05401"/>
    <w:rsid w:val="00D462BE"/>
    <w:rsid w:val="00D55A2A"/>
    <w:rsid w:val="00DF467F"/>
    <w:rsid w:val="00E84D44"/>
    <w:rsid w:val="00E84E0D"/>
    <w:rsid w:val="00F90979"/>
    <w:rsid w:val="00FB350E"/>
    <w:rsid w:val="00FB43E0"/>
    <w:rsid w:val="00FC51F0"/>
    <w:rsid w:val="00FE3F17"/>
    <w:rsid w:val="00FF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44"/>
    <w:pPr>
      <w:widowControl w:val="0"/>
      <w:ind w:firstLineChars="0" w:firstLine="0"/>
    </w:pPr>
    <w:rPr>
      <w:rFonts w:eastAsia="宋体"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4D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4D44"/>
    <w:rPr>
      <w:sz w:val="18"/>
      <w:szCs w:val="18"/>
    </w:rPr>
  </w:style>
  <w:style w:type="paragraph" w:styleId="a4">
    <w:name w:val="footer"/>
    <w:basedOn w:val="a"/>
    <w:link w:val="Char0"/>
    <w:uiPriority w:val="99"/>
    <w:unhideWhenUsed/>
    <w:rsid w:val="00E84D44"/>
    <w:pPr>
      <w:tabs>
        <w:tab w:val="center" w:pos="4153"/>
        <w:tab w:val="right" w:pos="8306"/>
      </w:tabs>
      <w:snapToGrid w:val="0"/>
      <w:jc w:val="left"/>
    </w:pPr>
    <w:rPr>
      <w:sz w:val="18"/>
      <w:szCs w:val="18"/>
    </w:rPr>
  </w:style>
  <w:style w:type="character" w:customStyle="1" w:styleId="Char0">
    <w:name w:val="页脚 Char"/>
    <w:basedOn w:val="a0"/>
    <w:link w:val="a4"/>
    <w:uiPriority w:val="99"/>
    <w:rsid w:val="00E84D44"/>
    <w:rPr>
      <w:sz w:val="18"/>
      <w:szCs w:val="18"/>
    </w:rPr>
  </w:style>
  <w:style w:type="character" w:styleId="a5">
    <w:name w:val="page number"/>
    <w:basedOn w:val="a0"/>
    <w:uiPriority w:val="99"/>
    <w:rsid w:val="00E84D44"/>
    <w:rPr>
      <w:rFonts w:cs="Times New Roman"/>
    </w:rPr>
  </w:style>
  <w:style w:type="paragraph" w:styleId="a6">
    <w:name w:val="List Paragraph"/>
    <w:basedOn w:val="a"/>
    <w:uiPriority w:val="99"/>
    <w:qFormat/>
    <w:rsid w:val="00E84D44"/>
    <w:pPr>
      <w:ind w:firstLineChars="200" w:firstLine="420"/>
    </w:pPr>
    <w:rPr>
      <w:rFonts w:ascii="Calibri" w:hAnsi="Calibri"/>
      <w:szCs w:val="22"/>
    </w:rPr>
  </w:style>
  <w:style w:type="paragraph" w:styleId="a7">
    <w:name w:val="Balloon Text"/>
    <w:basedOn w:val="a"/>
    <w:link w:val="Char1"/>
    <w:uiPriority w:val="99"/>
    <w:semiHidden/>
    <w:unhideWhenUsed/>
    <w:rsid w:val="000B6F81"/>
    <w:rPr>
      <w:sz w:val="18"/>
      <w:szCs w:val="18"/>
    </w:rPr>
  </w:style>
  <w:style w:type="character" w:customStyle="1" w:styleId="Char1">
    <w:name w:val="批注框文本 Char"/>
    <w:basedOn w:val="a0"/>
    <w:link w:val="a7"/>
    <w:uiPriority w:val="99"/>
    <w:semiHidden/>
    <w:rsid w:val="000B6F81"/>
    <w:rPr>
      <w:rFonts w:eastAsia="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栗利玲</dc:creator>
  <cp:keywords/>
  <dc:description/>
  <cp:lastModifiedBy>张青林</cp:lastModifiedBy>
  <cp:revision>11</cp:revision>
  <cp:lastPrinted>2015-08-11T01:44:00Z</cp:lastPrinted>
  <dcterms:created xsi:type="dcterms:W3CDTF">2015-05-21T02:58:00Z</dcterms:created>
  <dcterms:modified xsi:type="dcterms:W3CDTF">2015-08-24T06:42:00Z</dcterms:modified>
</cp:coreProperties>
</file>