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00"/>
        <w:rPr>
          <w:rFonts w:ascii="黑体" w:hAnsi="黑体" w:eastAsia="黑体" w:cs="黑体"/>
          <w:szCs w:val="32"/>
        </w:rPr>
      </w:pPr>
      <w:r>
        <w:rPr>
          <w:rFonts w:hint="eastAsia" w:ascii="黑体" w:hAnsi="黑体" w:eastAsia="黑体" w:cs="黑体"/>
          <w:szCs w:val="32"/>
        </w:rPr>
        <w:t>附件4</w:t>
      </w:r>
    </w:p>
    <w:p>
      <w:pPr>
        <w:ind w:firstLine="1440"/>
        <w:jc w:val="center"/>
        <w:rPr>
          <w:rFonts w:ascii="Times New Roman" w:hAnsi="Times New Roman" w:eastAsia="黑体"/>
          <w:sz w:val="72"/>
        </w:rPr>
      </w:pPr>
    </w:p>
    <w:p>
      <w:pPr>
        <w:ind w:firstLine="1440"/>
        <w:jc w:val="center"/>
        <w:rPr>
          <w:rFonts w:ascii="Times New Roman" w:hAnsi="Times New Roman" w:eastAsia="黑体"/>
          <w:sz w:val="72"/>
        </w:rPr>
      </w:pPr>
    </w:p>
    <w:p>
      <w:pPr>
        <w:spacing w:line="240" w:lineRule="auto"/>
        <w:ind w:firstLine="0" w:firstLineChars="0"/>
        <w:jc w:val="center"/>
        <w:rPr>
          <w:rFonts w:ascii="Times New Roman" w:hAnsi="Times New Roman" w:eastAsia="黑体"/>
          <w:sz w:val="52"/>
          <w:szCs w:val="16"/>
        </w:rPr>
      </w:pPr>
      <w:r>
        <w:rPr>
          <w:rFonts w:hint="eastAsia" w:ascii="Times New Roman" w:hAnsi="Times New Roman" w:eastAsia="黑体"/>
          <w:sz w:val="52"/>
          <w:szCs w:val="16"/>
        </w:rPr>
        <w:t>中国银保监会</w:t>
      </w:r>
    </w:p>
    <w:p>
      <w:pPr>
        <w:spacing w:line="240" w:lineRule="auto"/>
        <w:ind w:firstLine="0" w:firstLineChars="0"/>
        <w:jc w:val="center"/>
        <w:rPr>
          <w:rFonts w:ascii="Times New Roman" w:hAnsi="Times New Roman" w:eastAsia="黑体"/>
          <w:sz w:val="52"/>
          <w:szCs w:val="16"/>
        </w:rPr>
      </w:pPr>
      <w:r>
        <w:rPr>
          <w:rFonts w:hint="eastAsia" w:ascii="Times New Roman" w:hAnsi="Times New Roman" w:eastAsia="黑体"/>
          <w:sz w:val="52"/>
          <w:szCs w:val="16"/>
        </w:rPr>
        <w:t>保险业监管数据标准化规范</w:t>
      </w:r>
    </w:p>
    <w:p>
      <w:pPr>
        <w:spacing w:line="240" w:lineRule="auto"/>
        <w:ind w:firstLine="0" w:firstLineChars="0"/>
        <w:jc w:val="center"/>
        <w:rPr>
          <w:rFonts w:ascii="Times New Roman" w:hAnsi="Times New Roman" w:eastAsia="黑体"/>
          <w:sz w:val="52"/>
          <w:szCs w:val="16"/>
        </w:rPr>
      </w:pPr>
      <w:r>
        <w:rPr>
          <w:rFonts w:hint="eastAsia" w:ascii="Times New Roman" w:hAnsi="Times New Roman" w:eastAsia="黑体"/>
          <w:sz w:val="52"/>
          <w:szCs w:val="16"/>
        </w:rPr>
        <w:t>（人身保险公司版）采集技术接口说明</w:t>
      </w:r>
    </w:p>
    <w:p>
      <w:pPr>
        <w:spacing w:line="240" w:lineRule="auto"/>
        <w:ind w:firstLine="0" w:firstLineChars="0"/>
        <w:jc w:val="center"/>
        <w:rPr>
          <w:rFonts w:ascii="Times New Roman" w:hAnsi="Times New Roman" w:eastAsia="黑体"/>
          <w:sz w:val="52"/>
          <w:szCs w:val="16"/>
        </w:rPr>
      </w:pPr>
    </w:p>
    <w:p>
      <w:pPr>
        <w:ind w:firstLine="1120"/>
        <w:jc w:val="center"/>
        <w:rPr>
          <w:rFonts w:ascii="Times New Roman" w:hAnsi="Times New Roman" w:eastAsia="黑体"/>
          <w:sz w:val="56"/>
          <w:szCs w:val="18"/>
        </w:rPr>
      </w:pPr>
    </w:p>
    <w:p>
      <w:pPr>
        <w:ind w:firstLine="1120"/>
        <w:jc w:val="center"/>
        <w:rPr>
          <w:rFonts w:ascii="Times New Roman" w:hAnsi="Times New Roman" w:eastAsia="黑体"/>
          <w:sz w:val="56"/>
          <w:szCs w:val="18"/>
        </w:rPr>
      </w:pPr>
    </w:p>
    <w:p>
      <w:pPr>
        <w:ind w:firstLine="1120"/>
        <w:jc w:val="center"/>
        <w:rPr>
          <w:rFonts w:ascii="Times New Roman" w:hAnsi="Times New Roman" w:eastAsia="黑体"/>
          <w:sz w:val="56"/>
          <w:szCs w:val="18"/>
        </w:rPr>
      </w:pPr>
    </w:p>
    <w:p>
      <w:pPr>
        <w:ind w:firstLine="1120"/>
        <w:jc w:val="center"/>
        <w:rPr>
          <w:rFonts w:ascii="Times New Roman" w:hAnsi="Times New Roman" w:eastAsia="黑体"/>
          <w:sz w:val="56"/>
          <w:szCs w:val="18"/>
        </w:rPr>
      </w:pPr>
    </w:p>
    <w:p>
      <w:pPr>
        <w:ind w:firstLine="1120"/>
        <w:jc w:val="center"/>
        <w:rPr>
          <w:rFonts w:ascii="Times New Roman" w:hAnsi="Times New Roman" w:eastAsia="黑体"/>
          <w:sz w:val="56"/>
          <w:szCs w:val="18"/>
        </w:rPr>
      </w:pPr>
    </w:p>
    <w:p>
      <w:pPr>
        <w:ind w:firstLine="1120"/>
        <w:jc w:val="center"/>
        <w:rPr>
          <w:rFonts w:ascii="Times New Roman" w:hAnsi="Times New Roman" w:eastAsia="黑体"/>
          <w:sz w:val="56"/>
          <w:szCs w:val="18"/>
        </w:rPr>
      </w:pPr>
    </w:p>
    <w:p>
      <w:pPr>
        <w:ind w:firstLine="1120"/>
        <w:jc w:val="center"/>
        <w:rPr>
          <w:rFonts w:ascii="Times New Roman" w:hAnsi="Times New Roman" w:eastAsia="黑体"/>
          <w:sz w:val="56"/>
          <w:szCs w:val="18"/>
        </w:rPr>
      </w:pPr>
    </w:p>
    <w:p>
      <w:pPr>
        <w:ind w:firstLine="1120"/>
        <w:jc w:val="center"/>
        <w:rPr>
          <w:rFonts w:ascii="Times New Roman" w:hAnsi="Times New Roman" w:eastAsia="黑体"/>
          <w:sz w:val="56"/>
          <w:szCs w:val="18"/>
        </w:rPr>
      </w:pPr>
    </w:p>
    <w:p>
      <w:pPr>
        <w:ind w:firstLine="1120"/>
        <w:jc w:val="center"/>
        <w:rPr>
          <w:rFonts w:ascii="Times New Roman" w:hAnsi="Times New Roman" w:eastAsia="黑体"/>
          <w:sz w:val="56"/>
          <w:szCs w:val="18"/>
        </w:rPr>
      </w:pPr>
    </w:p>
    <w:p>
      <w:pPr>
        <w:ind w:firstLine="1120"/>
        <w:jc w:val="center"/>
        <w:rPr>
          <w:rFonts w:ascii="Times New Roman" w:hAnsi="Times New Roman" w:eastAsia="黑体"/>
          <w:sz w:val="56"/>
          <w:szCs w:val="18"/>
        </w:rPr>
      </w:pPr>
    </w:p>
    <w:p>
      <w:pPr>
        <w:ind w:firstLine="1120"/>
        <w:jc w:val="center"/>
        <w:rPr>
          <w:rFonts w:ascii="Times New Roman" w:hAnsi="Times New Roman" w:eastAsia="黑体"/>
          <w:sz w:val="56"/>
          <w:szCs w:val="18"/>
        </w:rPr>
      </w:pPr>
    </w:p>
    <w:p>
      <w:pPr>
        <w:ind w:firstLine="1120"/>
        <w:jc w:val="center"/>
        <w:rPr>
          <w:rFonts w:ascii="Times New Roman" w:hAnsi="Times New Roman" w:eastAsia="黑体"/>
          <w:sz w:val="56"/>
          <w:szCs w:val="18"/>
        </w:rPr>
      </w:pPr>
    </w:p>
    <w:p>
      <w:pPr>
        <w:ind w:firstLine="0" w:firstLineChars="0"/>
        <w:jc w:val="center"/>
        <w:rPr>
          <w:rFonts w:ascii="Times New Roman" w:hAnsi="Times New Roman" w:eastAsia="黑体"/>
          <w:sz w:val="56"/>
          <w:szCs w:val="18"/>
        </w:rPr>
      </w:pPr>
    </w:p>
    <w:p>
      <w:pPr>
        <w:ind w:firstLine="0" w:firstLineChars="0"/>
        <w:jc w:val="center"/>
        <w:rPr>
          <w:rFonts w:ascii="Times New Roman" w:hAnsi="Times New Roman" w:eastAsia="黑体" w:cs="黑体"/>
          <w:bCs/>
          <w:sz w:val="36"/>
        </w:rPr>
      </w:pPr>
      <w:r>
        <w:rPr>
          <w:rFonts w:hint="eastAsia" w:ascii="Times New Roman" w:hAnsi="Times New Roman" w:eastAsia="黑体" w:cs="黑体"/>
          <w:bCs/>
          <w:sz w:val="36"/>
        </w:rPr>
        <w:t>2020年5月</w:t>
      </w:r>
    </w:p>
    <w:p>
      <w:pPr>
        <w:ind w:firstLine="0" w:firstLineChars="0"/>
        <w:sectPr>
          <w:headerReference r:id="rId5" w:type="first"/>
          <w:footerReference r:id="rId8" w:type="first"/>
          <w:headerReference r:id="rId3" w:type="default"/>
          <w:footerReference r:id="rId6" w:type="default"/>
          <w:headerReference r:id="rId4" w:type="even"/>
          <w:footerReference r:id="rId7" w:type="even"/>
          <w:endnotePr>
            <w:numFmt w:val="decimal"/>
          </w:endnotePr>
          <w:pgSz w:w="11906" w:h="16838"/>
          <w:pgMar w:top="1440" w:right="1418" w:bottom="1440" w:left="1588" w:header="851" w:footer="992" w:gutter="0"/>
          <w:pgNumType w:fmt="numberInDash" w:start="1"/>
          <w:cols w:space="720" w:num="1"/>
          <w:docGrid w:type="lines" w:linePitch="317" w:charSpace="0"/>
        </w:sectPr>
      </w:pPr>
      <w:bookmarkStart w:id="0" w:name="_Toc30449"/>
      <w:bookmarkStart w:id="1" w:name="_Toc327522399"/>
      <w:bookmarkStart w:id="2" w:name="_Toc25945"/>
    </w:p>
    <w:p>
      <w:pPr>
        <w:pStyle w:val="2"/>
        <w:ind w:firstLine="600"/>
      </w:pPr>
      <w:r>
        <w:rPr>
          <w:rFonts w:hint="eastAsia"/>
        </w:rPr>
        <w:t>文档概述</w:t>
      </w:r>
    </w:p>
    <w:p>
      <w:pPr>
        <w:ind w:firstLine="600"/>
      </w:pPr>
      <w:r>
        <w:rPr>
          <w:rFonts w:hint="eastAsia"/>
        </w:rPr>
        <w:t>本文档定义依据《中国银保监会保险业监管数据标准化规范（人身保险公司版）》所采集数据的物理存储、传输形式，即数据的采集技术接口，包括承载数据的文件命名规则、字符集、行分隔符、数据项分隔符、缺省值和隐私保护要求等，以及集中采集和持续采集的模式（全量采集、增量采集、变化量采集）。本文档还给出了采集频率、报送介质的参考性要求，包括持续采集的频度，集中采集和持续采集采用的介质。</w:t>
      </w:r>
    </w:p>
    <w:p>
      <w:pPr>
        <w:pStyle w:val="2"/>
        <w:ind w:firstLine="600"/>
      </w:pPr>
      <w:r>
        <w:rPr>
          <w:rFonts w:hint="eastAsia"/>
        </w:rPr>
        <w:t>技术接口要求</w:t>
      </w:r>
    </w:p>
    <w:p>
      <w:pPr>
        <w:pStyle w:val="3"/>
        <w:numPr>
          <w:ilvl w:val="1"/>
          <w:numId w:val="0"/>
        </w:numPr>
        <w:ind w:left="600" w:leftChars="200"/>
      </w:pPr>
      <w:r>
        <w:rPr>
          <w:rFonts w:hint="eastAsia"/>
        </w:rPr>
        <w:t>（一）文件格式</w:t>
      </w:r>
    </w:p>
    <w:p>
      <w:pPr>
        <w:ind w:firstLine="600"/>
      </w:pPr>
      <w:r>
        <w:t>UTF-8</w:t>
      </w:r>
      <w:r>
        <w:rPr>
          <w:rFonts w:hint="eastAsia"/>
        </w:rPr>
        <w:t>编码（无</w:t>
      </w:r>
      <w:r>
        <w:t>BOM</w:t>
      </w:r>
      <w:r>
        <w:rPr>
          <w:rFonts w:hint="eastAsia"/>
        </w:rPr>
        <w:t>）的纯文本文件，扩展名为</w:t>
      </w:r>
      <w:r>
        <w:t>.txt</w:t>
      </w:r>
      <w:r>
        <w:rPr>
          <w:rFonts w:hint="eastAsia"/>
        </w:rPr>
        <w:t>。</w:t>
      </w:r>
    </w:p>
    <w:p>
      <w:pPr>
        <w:pStyle w:val="3"/>
        <w:numPr>
          <w:ilvl w:val="1"/>
          <w:numId w:val="0"/>
        </w:numPr>
        <w:ind w:left="600" w:leftChars="200"/>
      </w:pPr>
      <w:r>
        <w:rPr>
          <w:rFonts w:hint="eastAsia"/>
        </w:rPr>
        <w:t>（二）文件命名</w:t>
      </w:r>
    </w:p>
    <w:p>
      <w:pPr>
        <w:ind w:firstLine="600"/>
      </w:pPr>
      <w:r>
        <w:rPr>
          <w:rFonts w:hint="eastAsia"/>
        </w:rPr>
        <w:t>原则上每个数据表生成一个数据文件，文件命名规则是：机构代码-表名对应字符串-YYYYMMDD.txt，其中分隔符“-”为英文短横线（ASCII码0x2D），“YYYYMMDD”为本次/本期采集的截至日期。表名对应字符串见表1，如中国人寿保险股份有限公司报送截至2019年3月31日的机构股权信息表数据时，文件名称应为：</w:t>
      </w:r>
    </w:p>
    <w:p>
      <w:pPr>
        <w:ind w:firstLine="600"/>
      </w:pPr>
      <w:r>
        <w:rPr>
          <w:rFonts w:hint="eastAsia"/>
        </w:rPr>
        <w:t>000005-JGGQXXB-20190331.txt</w:t>
      </w:r>
    </w:p>
    <w:p>
      <w:pPr>
        <w:ind w:firstLine="600"/>
      </w:pPr>
      <w:r>
        <w:rPr>
          <w:rFonts w:hint="eastAsia"/>
        </w:rPr>
        <w:t>每一个数据文件要同时生成一个同名的数据校验文件，数据校验文件的编码格式同数据文件，后缀名为.log，数据校验文件需要包含以下5行信息，定义如下：</w:t>
      </w:r>
    </w:p>
    <w:p>
      <w:pPr>
        <w:ind w:firstLine="600"/>
      </w:pPr>
      <w:r>
        <w:rPr>
          <w:rFonts w:hint="eastAsia"/>
        </w:rPr>
        <w:t>文件名</w:t>
      </w:r>
    </w:p>
    <w:p>
      <w:pPr>
        <w:ind w:firstLine="600"/>
      </w:pPr>
      <w:r>
        <w:rPr>
          <w:rFonts w:hint="eastAsia"/>
        </w:rPr>
        <w:t>文件大小（字节）</w:t>
      </w:r>
    </w:p>
    <w:p>
      <w:pPr>
        <w:ind w:firstLine="600"/>
      </w:pPr>
      <w:r>
        <w:rPr>
          <w:rFonts w:hint="eastAsia"/>
        </w:rPr>
        <w:t>文件创建完成时间（YYYY-MM-DD HH:MM:SS）</w:t>
      </w:r>
    </w:p>
    <w:p>
      <w:pPr>
        <w:ind w:firstLine="600"/>
      </w:pPr>
      <w:r>
        <w:rPr>
          <w:rFonts w:hint="eastAsia"/>
        </w:rPr>
        <w:t>文件是否正常生成（Y或N）</w:t>
      </w:r>
    </w:p>
    <w:p>
      <w:pPr>
        <w:ind w:firstLine="600"/>
      </w:pPr>
      <w:r>
        <w:rPr>
          <w:rFonts w:hint="eastAsia"/>
        </w:rPr>
        <w:t>文件记录数（行数）</w:t>
      </w:r>
    </w:p>
    <w:p>
      <w:pPr>
        <w:ind w:firstLine="600"/>
      </w:pPr>
      <w:r>
        <w:rPr>
          <w:rFonts w:hint="eastAsia"/>
        </w:rPr>
        <w:t>例如：</w:t>
      </w:r>
    </w:p>
    <w:p>
      <w:pPr>
        <w:ind w:firstLine="600"/>
      </w:pPr>
      <w:r>
        <w:rPr>
          <w:rFonts w:hint="eastAsia"/>
        </w:rPr>
        <w:t>000005-JGGQXXB-20190331.txt</w:t>
      </w:r>
    </w:p>
    <w:p>
      <w:pPr>
        <w:ind w:firstLine="600"/>
      </w:pPr>
      <w:r>
        <w:rPr>
          <w:rFonts w:hint="eastAsia"/>
        </w:rPr>
        <w:t>80896</w:t>
      </w:r>
    </w:p>
    <w:p>
      <w:pPr>
        <w:ind w:firstLine="600"/>
      </w:pPr>
      <w:r>
        <w:rPr>
          <w:rFonts w:hint="eastAsia"/>
        </w:rPr>
        <w:t>2019-04-01 00:29:02</w:t>
      </w:r>
    </w:p>
    <w:p>
      <w:pPr>
        <w:ind w:firstLine="600"/>
      </w:pPr>
      <w:r>
        <w:rPr>
          <w:rFonts w:hint="eastAsia"/>
        </w:rPr>
        <w:t>Y</w:t>
      </w:r>
    </w:p>
    <w:p>
      <w:pPr>
        <w:ind w:firstLine="600"/>
      </w:pPr>
      <w:r>
        <w:rPr>
          <w:rFonts w:hint="eastAsia"/>
        </w:rPr>
        <w:t>25</w:t>
      </w:r>
    </w:p>
    <w:p>
      <w:pPr>
        <w:pStyle w:val="16"/>
        <w:spacing w:before="0" w:line="240" w:lineRule="auto"/>
        <w:ind w:firstLine="0" w:firstLineChars="0"/>
        <w:jc w:val="center"/>
        <w:rPr>
          <w:rFonts w:ascii="宋体" w:hAnsi="宋体"/>
          <w:sz w:val="24"/>
          <w:szCs w:val="24"/>
        </w:rPr>
      </w:pPr>
      <w:r>
        <w:rPr>
          <w:rFonts w:ascii="宋体" w:hAnsi="宋体"/>
          <w:sz w:val="24"/>
          <w:szCs w:val="24"/>
        </w:rPr>
        <w:t>表</w:t>
      </w:r>
      <w:r>
        <w:rPr>
          <w:rFonts w:ascii="宋体" w:hAnsi="宋体"/>
          <w:sz w:val="24"/>
          <w:szCs w:val="24"/>
        </w:rPr>
        <w:fldChar w:fldCharType="begin"/>
      </w:r>
      <w:r>
        <w:rPr>
          <w:rFonts w:ascii="宋体" w:hAnsi="宋体"/>
          <w:sz w:val="24"/>
          <w:szCs w:val="24"/>
        </w:rPr>
        <w:instrText xml:space="preserve"> SEQ 表 \* ARABIC </w:instrText>
      </w:r>
      <w:r>
        <w:rPr>
          <w:rFonts w:ascii="宋体" w:hAnsi="宋体"/>
          <w:sz w:val="24"/>
          <w:szCs w:val="24"/>
        </w:rPr>
        <w:fldChar w:fldCharType="separate"/>
      </w:r>
      <w:r>
        <w:rPr>
          <w:rFonts w:ascii="宋体" w:hAnsi="宋体"/>
          <w:sz w:val="24"/>
          <w:szCs w:val="24"/>
        </w:rPr>
        <w:t>1</w:t>
      </w:r>
      <w:r>
        <w:rPr>
          <w:rFonts w:ascii="宋体" w:hAnsi="宋体"/>
          <w:sz w:val="24"/>
          <w:szCs w:val="24"/>
        </w:rPr>
        <w:fldChar w:fldCharType="end"/>
      </w:r>
      <w:r>
        <w:rPr>
          <w:rFonts w:hint="eastAsia" w:ascii="宋体" w:hAnsi="宋体"/>
          <w:sz w:val="24"/>
          <w:szCs w:val="24"/>
        </w:rPr>
        <w:t xml:space="preserve"> 表名与字符串</w:t>
      </w:r>
      <w:r>
        <w:rPr>
          <w:rFonts w:ascii="宋体" w:hAnsi="宋体"/>
          <w:sz w:val="24"/>
          <w:szCs w:val="24"/>
        </w:rPr>
        <w:t>对应</w:t>
      </w:r>
      <w:r>
        <w:rPr>
          <w:rFonts w:hint="eastAsia" w:ascii="宋体" w:hAnsi="宋体"/>
          <w:sz w:val="24"/>
          <w:szCs w:val="24"/>
        </w:rPr>
        <w:t>表</w:t>
      </w:r>
    </w:p>
    <w:tbl>
      <w:tblPr>
        <w:tblStyle w:val="45"/>
        <w:tblW w:w="7659" w:type="dxa"/>
        <w:jc w:val="center"/>
        <w:tblInd w:w="0" w:type="dxa"/>
        <w:tblLayout w:type="fixed"/>
        <w:tblCellMar>
          <w:top w:w="0" w:type="dxa"/>
          <w:left w:w="0" w:type="dxa"/>
          <w:bottom w:w="0" w:type="dxa"/>
          <w:right w:w="0" w:type="dxa"/>
        </w:tblCellMar>
      </w:tblPr>
      <w:tblGrid>
        <w:gridCol w:w="1539"/>
        <w:gridCol w:w="4124"/>
        <w:gridCol w:w="1996"/>
      </w:tblGrid>
      <w:tr>
        <w:tblPrEx>
          <w:tblLayout w:type="fixed"/>
          <w:tblCellMar>
            <w:top w:w="0" w:type="dxa"/>
            <w:left w:w="0" w:type="dxa"/>
            <w:bottom w:w="0" w:type="dxa"/>
            <w:right w:w="0" w:type="dxa"/>
          </w:tblCellMar>
        </w:tblPrEx>
        <w:trPr>
          <w:trHeight w:val="278" w:hRule="atLeast"/>
          <w:tblHeader/>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b/>
                <w:bCs/>
                <w:color w:val="000000"/>
                <w:sz w:val="22"/>
                <w:szCs w:val="22"/>
                <w:lang w:bidi="ar"/>
              </w:rPr>
            </w:pPr>
            <w:r>
              <w:rPr>
                <w:rFonts w:hint="eastAsia" w:ascii="宋体" w:hAnsi="宋体" w:eastAsia="宋体" w:cs="宋体"/>
                <w:b/>
                <w:bCs/>
                <w:color w:val="000000"/>
                <w:sz w:val="22"/>
                <w:szCs w:val="22"/>
                <w:lang w:bidi="ar"/>
              </w:rPr>
              <w:t>表编号</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b/>
                <w:bCs/>
                <w:color w:val="000000"/>
                <w:sz w:val="22"/>
                <w:szCs w:val="22"/>
                <w:lang w:bidi="ar"/>
              </w:rPr>
            </w:pPr>
            <w:r>
              <w:rPr>
                <w:rFonts w:hint="eastAsia" w:ascii="宋体" w:hAnsi="宋体" w:eastAsia="宋体" w:cs="宋体"/>
                <w:b/>
                <w:bCs/>
                <w:color w:val="000000"/>
                <w:sz w:val="22"/>
                <w:szCs w:val="22"/>
                <w:lang w:bidi="ar"/>
              </w:rPr>
              <w:t>表中文名</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b/>
                <w:bCs/>
                <w:color w:val="000000"/>
                <w:sz w:val="22"/>
                <w:szCs w:val="22"/>
                <w:lang w:bidi="ar"/>
              </w:rPr>
            </w:pPr>
            <w:r>
              <w:rPr>
                <w:rFonts w:hint="eastAsia" w:ascii="宋体" w:hAnsi="宋体" w:eastAsia="宋体" w:cs="宋体"/>
                <w:b/>
                <w:bCs/>
                <w:color w:val="000000"/>
                <w:sz w:val="22"/>
                <w:szCs w:val="22"/>
                <w:lang w:bidi="ar"/>
              </w:rPr>
              <w:t>对应字符串</w:t>
            </w:r>
          </w:p>
        </w:tc>
      </w:tr>
      <w:tr>
        <w:tblPrEx>
          <w:tblLayout w:type="fixed"/>
          <w:tblCellMar>
            <w:top w:w="0" w:type="dxa"/>
            <w:left w:w="0" w:type="dxa"/>
            <w:bottom w:w="0" w:type="dxa"/>
            <w:right w:w="0" w:type="dxa"/>
          </w:tblCellMar>
        </w:tblPrEx>
        <w:trPr>
          <w:trHeight w:val="42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0101</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机构股权信息表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JGGQXXB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0102</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分支机构信息表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FZJGXXB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0103</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中介机构信息表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ZJJGXXB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0104</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员工信息表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YGXXB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0105</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董监高履职信息表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DJGLZXXB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0106</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销售人员信息表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XSRYXXB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0201</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总账会计全科目表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ZZKJQKMB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0202</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内部科目对照表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NBKMDZB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0203</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财务凭证信息表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CWPZXXB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0204</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业务及管理费分科目明细账表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YWJGLFFKMMXZB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0205</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手续费及佣金分科目明细账表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SXFJYJFKMMXZB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0206</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银行账户信息表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YHZHXXB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0301</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个人客户信息表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GRKHXXB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0302</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团体客户信息表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TTKHXXB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0303</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客户保单对照表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KHBDDZB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0304</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保单投诉信息表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BDTSXXB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0401</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险种定义表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XZDYB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0501</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个人保单表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GRBDB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0502</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个人险种表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GRXZB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0503</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被保险人表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BBXRB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0504</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团体保单表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TTBDB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0505</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团体险种表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TTXZB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0506</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保单佣金信息表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BDYJXXB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0507</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客户回访表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KHHFB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0508</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保单销售人员关联表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BDXSRYGLB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0601</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保费明细表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BFMXB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0602</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付费明细表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FFMXB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0603</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团体保费表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TTBFB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0701</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再保产品信息表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ZBCPXXB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0702</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再保合同信息表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ZBHTXXB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0703</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再保账单信息表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ZBZDXXB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0801</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出险人信息表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CXRXXB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0802</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理赔保单明细表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LPBDMXB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0901</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年金计划信息表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NJJHXXB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0902</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年金计划管理情况表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NJJHGLQKB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0903</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年金计划运营明细表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NJJHYYMXB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0904</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年金投资情况表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NJTZQKB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0905</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养老保障业务信息表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YLBZYWXXB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0906</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养老保障产品信息情况表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YLBZCPXXQKB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1001</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自主投资账户信息汇总表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ZZTZZHXXHZB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1002</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自主投资账户持仓明细表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ZZTZZHCCMXB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1003</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自主投资交易流水表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ZZTZJYLSB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1004</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委托投资情况表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WTTZQKB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1101</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关联方信息表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GLFXXB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1102</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重大关联交易表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ZDGLJYB</w:t>
            </w:r>
          </w:p>
        </w:tc>
      </w:tr>
      <w:tr>
        <w:tblPrEx>
          <w:tblLayout w:type="fixed"/>
          <w:tblCellMar>
            <w:top w:w="0" w:type="dxa"/>
            <w:left w:w="0" w:type="dxa"/>
            <w:bottom w:w="0" w:type="dxa"/>
            <w:right w:w="0" w:type="dxa"/>
          </w:tblCellMar>
        </w:tblPrEx>
        <w:trPr>
          <w:trHeight w:val="280" w:hRule="atLeast"/>
          <w:jc w:val="center"/>
        </w:trPr>
        <w:tc>
          <w:tcPr>
            <w:tcW w:w="1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1103</w:t>
            </w:r>
          </w:p>
        </w:tc>
        <w:tc>
          <w:tcPr>
            <w:tcW w:w="41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关联交易汇总表</w:t>
            </w:r>
          </w:p>
        </w:tc>
        <w:tc>
          <w:tcPr>
            <w:tcW w:w="19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12" w:lineRule="auto"/>
              <w:ind w:firstLine="0" w:firstLineChars="0"/>
              <w:textAlignment w:val="center"/>
              <w:rPr>
                <w:rFonts w:ascii="宋体" w:hAnsi="宋体" w:eastAsia="宋体" w:cs="宋体"/>
                <w:color w:val="000000"/>
                <w:sz w:val="22"/>
                <w:szCs w:val="22"/>
              </w:rPr>
            </w:pPr>
            <w:r>
              <w:rPr>
                <w:rFonts w:hint="eastAsia" w:ascii="宋体" w:hAnsi="宋体" w:eastAsia="宋体" w:cs="宋体"/>
                <w:color w:val="000000"/>
                <w:sz w:val="22"/>
                <w:szCs w:val="22"/>
                <w:lang w:bidi="ar"/>
              </w:rPr>
              <w:t>GLJYHZB</w:t>
            </w:r>
          </w:p>
        </w:tc>
      </w:tr>
    </w:tbl>
    <w:p>
      <w:pPr>
        <w:pStyle w:val="3"/>
        <w:numPr>
          <w:ilvl w:val="1"/>
          <w:numId w:val="0"/>
        </w:numPr>
        <w:ind w:left="600" w:leftChars="200"/>
      </w:pPr>
      <w:r>
        <w:rPr>
          <w:rFonts w:hint="eastAsia"/>
        </w:rPr>
        <w:t>（三）数据项分隔与特殊字符处理</w:t>
      </w:r>
    </w:p>
    <w:p>
      <w:pPr>
        <w:ind w:firstLine="600"/>
      </w:pPr>
      <w:r>
        <w:rPr>
          <w:rFonts w:hint="eastAsia"/>
        </w:rPr>
        <w:t>1</w:t>
      </w:r>
      <w:r>
        <w:t>.</w:t>
      </w:r>
      <w:r>
        <w:rPr>
          <w:rFonts w:hint="eastAsia"/>
        </w:rPr>
        <w:t>行分隔符：数据文件的一行数据对应一条数据库记录，各行之间分隔符为UNIX样式的换行符（ASCII码0x0A）。</w:t>
      </w:r>
    </w:p>
    <w:p>
      <w:pPr>
        <w:ind w:firstLine="600"/>
      </w:pPr>
      <w:r>
        <w:rPr>
          <w:rFonts w:hint="eastAsia"/>
        </w:rPr>
        <w:t>2</w:t>
      </w:r>
      <w:r>
        <w:t>.</w:t>
      </w:r>
      <w:r>
        <w:rPr>
          <w:rFonts w:hint="eastAsia"/>
        </w:rPr>
        <w:t>数据项分隔符：数据项之间以^A（SOH，ASCII码0x01）进行分隔，每行末尾不需要添加数据项分隔符。</w:t>
      </w:r>
    </w:p>
    <w:p>
      <w:pPr>
        <w:ind w:firstLine="600"/>
      </w:pPr>
      <w:r>
        <w:rPr>
          <w:rFonts w:hint="eastAsia"/>
        </w:rPr>
        <w:t>3</w:t>
      </w:r>
      <w:r>
        <w:t>.</w:t>
      </w:r>
      <w:r>
        <w:rPr>
          <w:rFonts w:hint="eastAsia"/>
        </w:rPr>
        <w:t>数据项首尾禁止使用双引号（ASCII码0x22）包夹，但数据项内容可以有双引号，且不需要进行转义。</w:t>
      </w:r>
    </w:p>
    <w:p>
      <w:pPr>
        <w:ind w:firstLine="600"/>
      </w:pPr>
      <w:r>
        <w:rPr>
          <w:rFonts w:hint="eastAsia"/>
        </w:rPr>
        <w:t>4</w:t>
      </w:r>
      <w:r>
        <w:t>.</w:t>
      </w:r>
      <w:r>
        <w:rPr>
          <w:rFonts w:hint="eastAsia"/>
        </w:rPr>
        <w:t>数据项内子项分隔符：单个数据项中需要填报多个子项内容时，子项内容之间使用英文分号“;”（ASCII码0x3B）隔开。如“保险期限类型”，可同时归属为“1</w:t>
      </w:r>
      <w:r>
        <w:t>1长期险定期(年)</w:t>
      </w:r>
      <w:r>
        <w:rPr>
          <w:rFonts w:hint="eastAsia"/>
        </w:rPr>
        <w:t>”和“1</w:t>
      </w:r>
      <w:r>
        <w:t>4长期险终身</w:t>
      </w:r>
      <w:r>
        <w:rPr>
          <w:rFonts w:hint="eastAsia"/>
        </w:rPr>
        <w:t>”时，用“</w:t>
      </w:r>
      <w:r>
        <w:t>长期险定期(年)</w:t>
      </w:r>
      <w:r>
        <w:rPr>
          <w:rFonts w:hint="eastAsia"/>
        </w:rPr>
        <w:t>;</w:t>
      </w:r>
      <w:r>
        <w:t>长期险终身</w:t>
      </w:r>
      <w:r>
        <w:rPr>
          <w:rFonts w:hint="eastAsia"/>
        </w:rPr>
        <w:t>”表示。</w:t>
      </w:r>
    </w:p>
    <w:p>
      <w:pPr>
        <w:ind w:firstLine="600"/>
      </w:pPr>
      <w:r>
        <w:rPr>
          <w:rFonts w:hint="eastAsia"/>
        </w:rPr>
        <w:t>5</w:t>
      </w:r>
      <w:r>
        <w:t>.</w:t>
      </w:r>
      <w:r>
        <w:rPr>
          <w:rFonts w:hint="eastAsia"/>
        </w:rPr>
        <w:t>在数据项中不允许出现ASCII码为0x00</w:t>
      </w:r>
      <w:r>
        <w:rPr>
          <w:rFonts w:hint="eastAsia" w:ascii="Arial" w:hAnsi="Arial" w:eastAsia="宋体"/>
          <w:sz w:val="20"/>
        </w:rPr>
        <w:t>~</w:t>
      </w:r>
      <w:r>
        <w:rPr>
          <w:rFonts w:hint="eastAsia"/>
        </w:rPr>
        <w:t>0x1F、0x7F的各类控制字符和非可打印字符；若出现则统一替换为空格（ASCII码0x20）。</w:t>
      </w:r>
    </w:p>
    <w:p>
      <w:pPr>
        <w:pStyle w:val="3"/>
        <w:numPr>
          <w:ilvl w:val="1"/>
          <w:numId w:val="0"/>
        </w:numPr>
        <w:ind w:left="600" w:leftChars="200"/>
      </w:pPr>
      <w:r>
        <w:rPr>
          <w:rFonts w:hint="eastAsia"/>
        </w:rPr>
        <w:t>（四）小数值、空值与默认值处理</w:t>
      </w:r>
    </w:p>
    <w:p>
      <w:pPr>
        <w:ind w:firstLine="600"/>
      </w:pPr>
      <w:r>
        <w:rPr>
          <w:rFonts w:hint="eastAsia"/>
        </w:rPr>
        <w:t>所有数据项</w:t>
      </w:r>
      <w:r>
        <w:t>在取小数近似数的时候，采用“四舍五入”法。</w:t>
      </w:r>
    </w:p>
    <w:p>
      <w:pPr>
        <w:ind w:firstLine="600"/>
      </w:pPr>
      <w:r>
        <w:rPr>
          <w:rFonts w:hint="eastAsia"/>
        </w:rPr>
        <w:t>当如下数据类型出现空值时，如数据项备注无特殊说明，请按默认值填写，处理方式为：</w:t>
      </w:r>
    </w:p>
    <w:p>
      <w:pPr>
        <w:ind w:firstLine="600"/>
      </w:pPr>
      <w:r>
        <w:rPr>
          <w:rFonts w:hint="eastAsia"/>
        </w:rPr>
        <w:t>字符类型——默认值设为空，即什么都不填</w:t>
      </w:r>
    </w:p>
    <w:p>
      <w:pPr>
        <w:ind w:firstLine="600"/>
      </w:pPr>
      <w:r>
        <w:rPr>
          <w:rFonts w:hint="eastAsia"/>
        </w:rPr>
        <w:t>日期类型——默认值设为</w:t>
      </w:r>
      <w:r>
        <w:t>9999-12-31</w:t>
      </w:r>
    </w:p>
    <w:p>
      <w:pPr>
        <w:ind w:firstLine="600"/>
      </w:pPr>
      <w:r>
        <w:rPr>
          <w:rFonts w:hint="eastAsia"/>
        </w:rPr>
        <w:t>年月类型——默认值设为</w:t>
      </w:r>
      <w:r>
        <w:t>9999-12</w:t>
      </w:r>
    </w:p>
    <w:p>
      <w:pPr>
        <w:ind w:firstLine="600"/>
      </w:pPr>
      <w:r>
        <w:rPr>
          <w:rFonts w:hint="eastAsia"/>
        </w:rPr>
        <w:t>数字类型——默认值设为</w:t>
      </w:r>
      <w:r>
        <w:t>0</w:t>
      </w:r>
    </w:p>
    <w:p>
      <w:pPr>
        <w:pStyle w:val="3"/>
        <w:numPr>
          <w:ilvl w:val="1"/>
          <w:numId w:val="0"/>
        </w:numPr>
        <w:ind w:left="600" w:leftChars="200"/>
      </w:pPr>
      <w:r>
        <w:rPr>
          <w:rFonts w:hint="eastAsia"/>
        </w:rPr>
        <w:t>（五）隐私保护说明</w:t>
      </w:r>
    </w:p>
    <w:p>
      <w:pPr>
        <w:tabs>
          <w:tab w:val="left" w:pos="7560"/>
        </w:tabs>
        <w:spacing w:line="360" w:lineRule="auto"/>
        <w:ind w:firstLine="600"/>
        <w:rPr>
          <w:rFonts w:cs="FangSong_GB2312"/>
          <w:szCs w:val="30"/>
        </w:rPr>
      </w:pPr>
      <w:r>
        <w:rPr>
          <w:rFonts w:hint="eastAsia"/>
        </w:rPr>
        <w:t>涉及个人隐私数据的数据项详见《中国银保监会保险业监管数据标准化规范（人身保险公司版）》及其报送说明，由保险机构在报送前进行脱敏处理，并保留一份未脱敏版本以备核查。</w:t>
      </w:r>
      <w:r>
        <w:rPr>
          <w:rFonts w:hint="eastAsia" w:cs="FangSong_GB2312"/>
          <w:szCs w:val="30"/>
        </w:rPr>
        <w:t>对于“隐私，人身保险公司变形”数据项，按照以下规则进行变形：</w:t>
      </w:r>
    </w:p>
    <w:p>
      <w:pPr>
        <w:spacing w:line="360" w:lineRule="auto"/>
        <w:ind w:firstLine="600"/>
        <w:rPr>
          <w:rFonts w:cs="FangSong_GB2312"/>
          <w:szCs w:val="30"/>
        </w:rPr>
      </w:pPr>
      <w:r>
        <w:rPr>
          <w:rFonts w:hint="eastAsia" w:cs="FangSong_GB2312"/>
          <w:szCs w:val="30"/>
        </w:rPr>
        <w:t>1.个人客户姓名</w:t>
      </w:r>
    </w:p>
    <w:p>
      <w:pPr>
        <w:spacing w:line="360" w:lineRule="auto"/>
        <w:ind w:firstLine="600"/>
        <w:rPr>
          <w:rFonts w:cs="FangSong_GB2312"/>
          <w:szCs w:val="30"/>
        </w:rPr>
      </w:pPr>
      <w:r>
        <w:rPr>
          <w:rFonts w:hint="eastAsia" w:cs="FangSong_GB2312"/>
          <w:szCs w:val="30"/>
        </w:rPr>
        <w:t>个人客户姓名做有限暴露方式的脱敏处理，只保留最后一个字，包括投保人、被保险人、受益人及领款人等。人身保险公司员工、自然人股东、中介机构负责人姓名不变形。</w:t>
      </w:r>
    </w:p>
    <w:p>
      <w:pPr>
        <w:spacing w:line="360" w:lineRule="auto"/>
        <w:ind w:firstLine="600"/>
        <w:rPr>
          <w:rFonts w:cs="FangSong_GB2312"/>
          <w:szCs w:val="30"/>
        </w:rPr>
      </w:pPr>
      <w:r>
        <w:rPr>
          <w:rFonts w:hint="eastAsia" w:cs="FangSong_GB2312"/>
          <w:szCs w:val="30"/>
        </w:rPr>
        <w:t>2.个人身份证件号码</w:t>
      </w:r>
    </w:p>
    <w:p>
      <w:pPr>
        <w:spacing w:line="360" w:lineRule="auto"/>
        <w:ind w:firstLine="600"/>
        <w:rPr>
          <w:rFonts w:cs="FangSong_GB2312"/>
          <w:szCs w:val="30"/>
        </w:rPr>
      </w:pPr>
      <w:r>
        <w:rPr>
          <w:rFonts w:hint="eastAsia" w:cs="FangSong_GB2312"/>
          <w:szCs w:val="30"/>
        </w:rPr>
        <w:t>若身份证件号码中有英文字母，应先统一转换成大写英文字母；</w:t>
      </w:r>
    </w:p>
    <w:p>
      <w:pPr>
        <w:spacing w:line="360" w:lineRule="auto"/>
        <w:ind w:firstLine="600"/>
        <w:rPr>
          <w:rFonts w:cs="FangSong_GB2312"/>
          <w:szCs w:val="30"/>
        </w:rPr>
      </w:pPr>
      <w:r>
        <w:rPr>
          <w:rFonts w:hint="eastAsia" w:cs="FangSong_GB2312"/>
          <w:szCs w:val="30"/>
        </w:rPr>
        <w:t>变形后的身份证件号码（38字符） = 身份证件号码前6字节（6个英文字符/数字，或2个汉字，或1个汉字+3个英文字符/数字） + MD5(身份证件号码全文UTF-8编码)（32字符，英文按小写输出）。</w:t>
      </w:r>
    </w:p>
    <w:p>
      <w:pPr>
        <w:spacing w:line="360" w:lineRule="auto"/>
        <w:ind w:firstLine="600"/>
        <w:rPr>
          <w:rFonts w:cs="FangSong_GB2312"/>
          <w:szCs w:val="30"/>
        </w:rPr>
      </w:pPr>
      <w:r>
        <w:rPr>
          <w:rFonts w:hint="eastAsia" w:cs="FangSong_GB2312"/>
          <w:szCs w:val="30"/>
        </w:rPr>
        <w:t>例：</w:t>
      </w:r>
    </w:p>
    <w:p>
      <w:pPr>
        <w:spacing w:line="360" w:lineRule="auto"/>
        <w:ind w:firstLine="600"/>
        <w:rPr>
          <w:rFonts w:cs="FangSong_GB2312"/>
          <w:szCs w:val="30"/>
        </w:rPr>
      </w:pPr>
      <w:r>
        <w:rPr>
          <w:rFonts w:hint="eastAsia" w:cs="FangSong_GB2312"/>
          <w:szCs w:val="30"/>
        </w:rPr>
        <w:t>18位公民身份号码：33010219801212031X，变形后：</w:t>
      </w:r>
      <w:r>
        <w:rPr>
          <w:rFonts w:hint="eastAsia" w:cs="FangSong_GB2312"/>
          <w:szCs w:val="30"/>
        </w:rPr>
        <w:br w:type="textWrapping"/>
      </w:r>
      <w:r>
        <w:rPr>
          <w:rFonts w:hint="eastAsia" w:cs="FangSong_GB2312"/>
          <w:szCs w:val="30"/>
        </w:rPr>
        <w:t>33010268162287691742b48cbc3ae8b70650a7</w:t>
      </w:r>
    </w:p>
    <w:p>
      <w:pPr>
        <w:spacing w:line="360" w:lineRule="auto"/>
        <w:ind w:firstLine="600"/>
        <w:rPr>
          <w:rFonts w:cs="FangSong_GB2312"/>
          <w:szCs w:val="30"/>
        </w:rPr>
      </w:pPr>
      <w:r>
        <w:rPr>
          <w:rFonts w:hint="eastAsia" w:cs="FangSong_GB2312"/>
          <w:szCs w:val="30"/>
        </w:rPr>
        <w:t>15位公民身份号码：330102801212031，变形后：</w:t>
      </w:r>
      <w:r>
        <w:rPr>
          <w:rFonts w:hint="eastAsia" w:cs="FangSong_GB2312"/>
          <w:szCs w:val="30"/>
        </w:rPr>
        <w:br w:type="textWrapping"/>
      </w:r>
      <w:r>
        <w:rPr>
          <w:rFonts w:hint="eastAsia" w:cs="FangSong_GB2312"/>
          <w:szCs w:val="30"/>
        </w:rPr>
        <w:t>330102b88ce0d0e99298c224409414db399920</w:t>
      </w:r>
    </w:p>
    <w:p>
      <w:pPr>
        <w:spacing w:line="360" w:lineRule="auto"/>
        <w:ind w:firstLine="600"/>
        <w:rPr>
          <w:rFonts w:cs="FangSong_GB2312"/>
          <w:szCs w:val="30"/>
        </w:rPr>
      </w:pPr>
      <w:r>
        <w:rPr>
          <w:rFonts w:hint="eastAsia" w:cs="FangSong_GB2312"/>
          <w:szCs w:val="30"/>
        </w:rPr>
        <w:t>军官证/武警部队警官证：参字第1234567号，变形后：</w:t>
      </w:r>
      <w:r>
        <w:rPr>
          <w:rFonts w:hint="eastAsia" w:cs="FangSong_GB2312"/>
          <w:szCs w:val="30"/>
        </w:rPr>
        <w:br w:type="textWrapping"/>
      </w:r>
      <w:ins w:id="0" w:author="才 英" w:date="2020-08-12T13:25:00Z">
        <w:r>
          <w:rPr>
            <w:rFonts w:cs="FangSong_GB2312"/>
            <w:szCs w:val="30"/>
          </w:rPr>
          <w:t>参字e54977d990baa7a80b5fb794d622444d</w:t>
        </w:r>
      </w:ins>
      <w:del w:id="1" w:author="才 英" w:date="2020-08-12T13:25:00Z">
        <w:r>
          <w:rPr>
            <w:rFonts w:hint="eastAsia" w:cs="FangSong_GB2312"/>
            <w:szCs w:val="30"/>
          </w:rPr>
          <w:delText>参字</w:delText>
        </w:r>
      </w:del>
      <w:del w:id="2" w:author="才 英" w:date="2020-08-12T13:25:00Z">
        <w:r>
          <w:rPr>
            <w:rFonts w:cs="FangSong_GB2312"/>
            <w:szCs w:val="30"/>
          </w:rPr>
          <w:delText>2437b2fea483cd81d6368ba9b02d541a</w:delText>
        </w:r>
      </w:del>
    </w:p>
    <w:p>
      <w:pPr>
        <w:spacing w:line="360" w:lineRule="auto"/>
        <w:ind w:firstLine="600"/>
        <w:rPr>
          <w:rFonts w:cs="FangSong_GB2312"/>
          <w:szCs w:val="30"/>
        </w:rPr>
      </w:pPr>
      <w:r>
        <w:rPr>
          <w:rFonts w:hint="eastAsia" w:cs="FangSong_GB2312"/>
          <w:szCs w:val="30"/>
        </w:rPr>
        <w:t>护照：E12345678，变形后：</w:t>
      </w:r>
      <w:r>
        <w:rPr>
          <w:rFonts w:hint="eastAsia" w:cs="FangSong_GB2312"/>
          <w:szCs w:val="30"/>
        </w:rPr>
        <w:br w:type="textWrapping"/>
      </w:r>
      <w:r>
        <w:rPr>
          <w:rFonts w:hint="eastAsia" w:cs="FangSong_GB2312"/>
          <w:szCs w:val="30"/>
        </w:rPr>
        <w:t>E12345d02f3cf86bb402a904f98df6373eb1ac</w:t>
      </w:r>
    </w:p>
    <w:p>
      <w:pPr>
        <w:spacing w:line="360" w:lineRule="auto"/>
        <w:ind w:firstLine="600"/>
        <w:rPr>
          <w:rFonts w:cs="FangSong_GB2312"/>
          <w:szCs w:val="30"/>
        </w:rPr>
      </w:pPr>
      <w:r>
        <w:rPr>
          <w:rFonts w:hint="eastAsia" w:cs="FangSong_GB2312"/>
          <w:szCs w:val="30"/>
        </w:rPr>
        <w:t>3.银行账户名称</w:t>
      </w:r>
    </w:p>
    <w:p>
      <w:pPr>
        <w:spacing w:line="360" w:lineRule="auto"/>
        <w:ind w:firstLine="600"/>
        <w:rPr>
          <w:rFonts w:cs="FangSong_GB2312"/>
          <w:szCs w:val="30"/>
        </w:rPr>
      </w:pPr>
      <w:del w:id="3" w:author="留白" w:date="2020-09-24T09:39:18Z">
        <w:r>
          <w:rPr>
            <w:rFonts w:hint="eastAsia" w:cs="FangSong_GB2312"/>
            <w:szCs w:val="30"/>
          </w:rPr>
          <w:delText>个人客户和保险销售人员的三个汉字以内（包含三个汉字）的银行账户名称，做有限暴露方式的脱敏处理，只保留最后一个字，其余长度的名称不变形。</w:delText>
        </w:r>
      </w:del>
      <w:ins w:id="4" w:author="留白" w:date="2020-09-24T09:39:13Z">
        <w:r>
          <w:rPr>
            <w:rFonts w:hint="eastAsia" w:cs="FangSong_GB2312"/>
            <w:szCs w:val="30"/>
          </w:rPr>
          <w:t>个人客户和保险销售人员的银行账户名称，做有限暴露方式的脱敏处理，只保留最后一个字。</w:t>
        </w:r>
      </w:ins>
    </w:p>
    <w:p>
      <w:pPr>
        <w:spacing w:line="360" w:lineRule="auto"/>
        <w:ind w:firstLine="600"/>
        <w:rPr>
          <w:rFonts w:cs="FangSong_GB2312"/>
          <w:szCs w:val="30"/>
        </w:rPr>
      </w:pPr>
      <w:r>
        <w:rPr>
          <w:rFonts w:hint="eastAsia" w:cs="FangSong_GB2312"/>
          <w:szCs w:val="30"/>
        </w:rPr>
        <w:t>人身保险公司的银行账户名称不变形。</w:t>
      </w:r>
      <w:bookmarkStart w:id="3" w:name="_GoBack"/>
      <w:bookmarkEnd w:id="3"/>
    </w:p>
    <w:p>
      <w:pPr>
        <w:pStyle w:val="3"/>
        <w:numPr>
          <w:ilvl w:val="1"/>
          <w:numId w:val="0"/>
        </w:numPr>
        <w:ind w:left="600" w:leftChars="200"/>
      </w:pPr>
      <w:r>
        <w:rPr>
          <w:rFonts w:hint="eastAsia"/>
        </w:rPr>
        <w:t>（六）采集模式</w:t>
      </w:r>
    </w:p>
    <w:p>
      <w:pPr>
        <w:ind w:firstLine="600"/>
      </w:pPr>
      <w:r>
        <w:rPr>
          <w:rFonts w:hint="eastAsia"/>
        </w:rPr>
        <w:t>数据表根据性质，可以分为状态类和明细类两种。其中明细类包括：总账会计全科目表、财务凭证信息表、业务及管理费分科目明细账表、手续费及佣金分科目明细账表</w:t>
      </w:r>
      <w:r>
        <w:rPr>
          <w:rFonts w:hint="eastAsia"/>
          <w:szCs w:val="22"/>
        </w:rPr>
        <w:t>、自主投资交易流水表、重大关联交易表、关联交易汇总表；</w:t>
      </w:r>
      <w:r>
        <w:rPr>
          <w:rFonts w:hint="eastAsia"/>
        </w:rPr>
        <w:t>其他表属于状态类。</w:t>
      </w:r>
    </w:p>
    <w:p>
      <w:pPr>
        <w:ind w:firstLine="602"/>
        <w:rPr>
          <w:rFonts w:cs="FangSong_GB2312"/>
          <w:b/>
          <w:bCs/>
          <w:szCs w:val="32"/>
        </w:rPr>
      </w:pPr>
      <w:r>
        <w:rPr>
          <w:rFonts w:hint="eastAsia" w:cs="FangSong_GB2312"/>
          <w:b/>
          <w:bCs/>
          <w:szCs w:val="32"/>
        </w:rPr>
        <w:t>1.集中采集</w:t>
      </w:r>
    </w:p>
    <w:p>
      <w:pPr>
        <w:ind w:firstLine="600"/>
      </w:pPr>
      <w:r>
        <w:rPr>
          <w:rFonts w:hint="eastAsia"/>
        </w:rPr>
        <w:t>集中采集时，所有状态类表采用全量采集，指采集时间段内所有发生业务及存续业务的全量数据在采集截至时间点上的状态，不追溯采集时间段前已结清业务在采集截至时间点上的状态。例如，集中采集时间段为2016年1月1日至2016年12月31日，则2016年关停的分支机构应当报送一条状态为“停业”的记录，而2015年关停的分支机构则不在采集范围内。</w:t>
      </w:r>
    </w:p>
    <w:p>
      <w:pPr>
        <w:ind w:firstLine="600"/>
      </w:pPr>
      <w:r>
        <w:rPr>
          <w:rFonts w:hint="eastAsia"/>
        </w:rPr>
        <w:t>明细类表按照集中采集通知定义的时间范围采集具体时间段内所有数据。</w:t>
      </w:r>
    </w:p>
    <w:p>
      <w:pPr>
        <w:ind w:firstLine="602"/>
        <w:rPr>
          <w:rFonts w:cs="FangSong_GB2312"/>
          <w:b/>
          <w:bCs/>
          <w:szCs w:val="32"/>
        </w:rPr>
      </w:pPr>
      <w:r>
        <w:rPr>
          <w:rFonts w:hint="eastAsia" w:cs="FangSong_GB2312"/>
          <w:b/>
          <w:bCs/>
          <w:szCs w:val="32"/>
        </w:rPr>
        <w:t>2.持续采集</w:t>
      </w:r>
    </w:p>
    <w:p>
      <w:pPr>
        <w:ind w:firstLine="600"/>
      </w:pPr>
      <w:r>
        <w:rPr>
          <w:rFonts w:hint="eastAsia"/>
        </w:rPr>
        <w:t>持续采集模式详见表2。其中：</w:t>
      </w:r>
    </w:p>
    <w:p>
      <w:pPr>
        <w:ind w:firstLine="600"/>
      </w:pPr>
      <w:r>
        <w:rPr>
          <w:rFonts w:hint="eastAsia"/>
        </w:rPr>
        <w:t>全量：指当期所有发生业务及存续业务的全量数据在当期截至时间点上的状态，即当采集表中有新增记录或已有记录任一数据字段发生变化时，需将采集表内所有记录全部重新报送；</w:t>
      </w:r>
    </w:p>
    <w:p>
      <w:pPr>
        <w:ind w:firstLine="600"/>
      </w:pPr>
      <w:r>
        <w:rPr>
          <w:rFonts w:hint="eastAsia"/>
        </w:rPr>
        <w:t>增量：较前一次采集仅有增加的数据，无对前期数据更新、删除的情况，例如财务凭证信息、自主投资交易流水信息的增加属于增量数据，而分支机构名称变更则属于变化量数据（见以下说明）的更新部分；</w:t>
      </w:r>
    </w:p>
    <w:p>
      <w:pPr>
        <w:ind w:firstLine="600"/>
      </w:pPr>
      <w:r>
        <w:rPr>
          <w:rFonts w:hint="eastAsia"/>
        </w:rPr>
        <w:t>变化量：较前一次采集有变更的记录，包括新增、更新、删除。其中，“删除”可以理解为报送一条表示状态的数据项值置为“无效”或同等含义的新记录，并以“流水号”（保险机构代码+日期（</w:t>
      </w:r>
      <w:r>
        <w:t>YYYYMMDD</w:t>
      </w:r>
      <w:r>
        <w:rPr>
          <w:rFonts w:hint="eastAsia"/>
        </w:rPr>
        <w:t>）+10位流水）区分原记录。例：</w:t>
      </w:r>
    </w:p>
    <w:p>
      <w:pPr>
        <w:ind w:firstLine="602"/>
        <w:rPr>
          <w:b/>
          <w:bCs/>
        </w:rPr>
      </w:pPr>
      <w:r>
        <w:rPr>
          <w:rFonts w:hint="eastAsia"/>
          <w:b/>
          <w:bCs/>
        </w:rPr>
        <w:t>A.更新记录</w:t>
      </w:r>
    </w:p>
    <w:p>
      <w:pPr>
        <w:ind w:firstLine="600"/>
      </w:pPr>
      <w:r>
        <w:rPr>
          <w:rFonts w:hint="eastAsia"/>
        </w:rPr>
        <w:t>保单保额变动时，假设原记录为：</w:t>
      </w:r>
    </w:p>
    <w:p>
      <w:pPr>
        <w:ind w:firstLine="600"/>
      </w:pPr>
      <w:r>
        <w:t>0000052018113000000000000001^A^A^A^A^A^A^A^A5000.00^A^A</w:t>
      </w:r>
    </w:p>
    <w:p>
      <w:pPr>
        <w:ind w:firstLine="600"/>
      </w:pPr>
      <w:r>
        <w:rPr>
          <w:rFonts w:hint="eastAsia"/>
        </w:rPr>
        <w:t>需报送一条新记录，以“流水号”区分原记录：</w:t>
      </w:r>
    </w:p>
    <w:p>
      <w:pPr>
        <w:ind w:firstLine="600"/>
      </w:pPr>
      <w:r>
        <w:t>0000052018123100000000000001^A^A^A^A^A^A^A^A6000.00^A^A</w:t>
      </w:r>
    </w:p>
    <w:p>
      <w:pPr>
        <w:ind w:firstLine="602"/>
        <w:rPr>
          <w:b/>
          <w:bCs/>
        </w:rPr>
      </w:pPr>
      <w:r>
        <w:rPr>
          <w:rFonts w:hint="eastAsia"/>
          <w:b/>
          <w:bCs/>
        </w:rPr>
        <w:t>B.删除记录</w:t>
      </w:r>
    </w:p>
    <w:p>
      <w:pPr>
        <w:ind w:left="600" w:leftChars="200" w:firstLine="0" w:firstLineChars="0"/>
      </w:pPr>
      <w:r>
        <w:rPr>
          <w:rFonts w:hint="eastAsia"/>
        </w:rPr>
        <w:t>关停分支机构时，假设原记录为：</w:t>
      </w:r>
    </w:p>
    <w:p>
      <w:pPr>
        <w:ind w:firstLine="600"/>
      </w:pPr>
      <w:r>
        <w:t>0000052018113000000000000001^A^A^AX</w:t>
      </w:r>
      <w:r>
        <w:rPr>
          <w:rFonts w:hint="eastAsia"/>
        </w:rPr>
        <w:t>中支</w:t>
      </w:r>
      <w:r>
        <w:t>^A^A^A^A</w:t>
      </w:r>
      <w:r>
        <w:rPr>
          <w:rFonts w:hint="eastAsia"/>
        </w:rPr>
        <w:t>开业</w:t>
      </w:r>
      <w:r>
        <w:t>^A</w:t>
      </w:r>
      <w:r>
        <w:rPr>
          <w:rFonts w:hint="eastAsia"/>
        </w:rPr>
        <w:t>（对应表示状态的数据为分支机构状态）</w:t>
      </w:r>
    </w:p>
    <w:p>
      <w:pPr>
        <w:ind w:firstLine="600"/>
      </w:pPr>
      <w:r>
        <w:rPr>
          <w:rFonts w:hint="eastAsia"/>
        </w:rPr>
        <w:t>需报送一条表示“无效”的记录：</w:t>
      </w:r>
    </w:p>
    <w:p>
      <w:pPr>
        <w:ind w:firstLine="600"/>
      </w:pPr>
      <w:r>
        <w:t>0000052018123100000000000001^A^A^AX</w:t>
      </w:r>
      <w:r>
        <w:rPr>
          <w:rFonts w:hint="eastAsia"/>
        </w:rPr>
        <w:t>中支</w:t>
      </w:r>
      <w:r>
        <w:t>^A^A^A^A</w:t>
      </w:r>
      <w:r>
        <w:rPr>
          <w:rFonts w:hint="eastAsia"/>
        </w:rPr>
        <w:t>停业</w:t>
      </w:r>
      <w:r>
        <w:t>^A</w:t>
      </w:r>
    </w:p>
    <w:p>
      <w:pPr>
        <w:ind w:firstLine="600"/>
      </w:pPr>
      <w:r>
        <w:rPr>
          <w:rFonts w:hint="eastAsia"/>
        </w:rPr>
        <w:t>按变化量采集的各张表中表示状态的数据项详见表2“状态数据项”栏，供报送变化量数据和监管人员参考。对于有“状态数据项”的表，则意味着当需要删除一条数据时，应报送一条表示状态的数据项值置为“无效”或同等含义的新记录，并以“流水号”（保险机构代码+日期（</w:t>
      </w:r>
      <w:r>
        <w:t>YYYYMMDD</w:t>
      </w:r>
      <w:r>
        <w:rPr>
          <w:rFonts w:hint="eastAsia"/>
        </w:rPr>
        <w:t>）+10位流水）区分原记录。对于无“状态数据项”的表，则意味着该表中记录的信息不应该被删除。</w:t>
      </w:r>
    </w:p>
    <w:p>
      <w:pPr>
        <w:ind w:firstLine="0" w:firstLineChars="0"/>
        <w:jc w:val="center"/>
        <w:rPr>
          <w:rFonts w:ascii="宋体" w:hAnsi="宋体"/>
          <w:sz w:val="24"/>
          <w:szCs w:val="24"/>
        </w:rPr>
      </w:pPr>
      <w:r>
        <w:rPr>
          <w:rFonts w:hint="eastAsia" w:ascii="宋体" w:hAnsi="宋体"/>
          <w:sz w:val="24"/>
          <w:szCs w:val="24"/>
        </w:rPr>
        <w:t>表</w:t>
      </w:r>
      <w:r>
        <w:rPr>
          <w:rFonts w:hint="eastAsia" w:ascii="宋体" w:hAnsi="宋体"/>
          <w:sz w:val="24"/>
          <w:szCs w:val="24"/>
        </w:rPr>
        <w:fldChar w:fldCharType="begin"/>
      </w:r>
      <w:r>
        <w:rPr>
          <w:rFonts w:hint="eastAsia" w:ascii="宋体" w:hAnsi="宋体"/>
          <w:sz w:val="24"/>
          <w:szCs w:val="24"/>
        </w:rPr>
        <w:instrText xml:space="preserve"> SEQ 表 \* ARABIC </w:instrText>
      </w:r>
      <w:r>
        <w:rPr>
          <w:rFonts w:hint="eastAsia" w:ascii="宋体" w:hAnsi="宋体"/>
          <w:sz w:val="24"/>
          <w:szCs w:val="24"/>
        </w:rPr>
        <w:fldChar w:fldCharType="separate"/>
      </w:r>
      <w:r>
        <w:rPr>
          <w:rFonts w:hint="eastAsia" w:ascii="宋体" w:hAnsi="宋体"/>
          <w:sz w:val="24"/>
          <w:szCs w:val="24"/>
        </w:rPr>
        <w:t>2</w:t>
      </w:r>
      <w:r>
        <w:rPr>
          <w:rFonts w:hint="eastAsia" w:ascii="宋体" w:hAnsi="宋体"/>
          <w:sz w:val="24"/>
          <w:szCs w:val="24"/>
        </w:rPr>
        <w:fldChar w:fldCharType="end"/>
      </w:r>
      <w:r>
        <w:rPr>
          <w:rFonts w:hint="eastAsia" w:ascii="宋体" w:hAnsi="宋体"/>
          <w:sz w:val="24"/>
          <w:szCs w:val="24"/>
        </w:rPr>
        <w:t xml:space="preserve"> 监管标准化数据采集表</w:t>
      </w:r>
    </w:p>
    <w:tbl>
      <w:tblPr>
        <w:tblStyle w:val="45"/>
        <w:tblW w:w="91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2742"/>
        <w:gridCol w:w="2168"/>
        <w:gridCol w:w="1091"/>
        <w:gridCol w:w="2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947" w:type="dxa"/>
            <w:vAlign w:val="center"/>
          </w:tcPr>
          <w:p>
            <w:pPr>
              <w:pStyle w:val="58"/>
              <w:spacing w:line="240" w:lineRule="auto"/>
              <w:ind w:firstLine="0" w:firstLineChars="0"/>
              <w:rPr>
                <w:rFonts w:ascii="FangSong_GB2312" w:hAnsi="FangSong_GB2312" w:eastAsia="FangSong_GB2312" w:cs="FangSong_GB2312"/>
                <w:sz w:val="21"/>
                <w:szCs w:val="21"/>
              </w:rPr>
            </w:pPr>
            <w:r>
              <w:rPr>
                <w:rFonts w:hint="eastAsia" w:ascii="FangSong_GB2312" w:hAnsi="FangSong_GB2312" w:eastAsia="FangSong_GB2312" w:cs="FangSong_GB2312"/>
                <w:sz w:val="21"/>
                <w:szCs w:val="21"/>
              </w:rPr>
              <w:t>表编号</w:t>
            </w:r>
          </w:p>
        </w:tc>
        <w:tc>
          <w:tcPr>
            <w:tcW w:w="2742" w:type="dxa"/>
            <w:vAlign w:val="center"/>
          </w:tcPr>
          <w:p>
            <w:pPr>
              <w:pStyle w:val="58"/>
              <w:spacing w:line="240" w:lineRule="auto"/>
              <w:ind w:firstLine="0" w:firstLineChars="0"/>
              <w:rPr>
                <w:rFonts w:ascii="FangSong_GB2312" w:hAnsi="FangSong_GB2312" w:eastAsia="FangSong_GB2312" w:cs="FangSong_GB2312"/>
                <w:sz w:val="21"/>
                <w:szCs w:val="21"/>
              </w:rPr>
            </w:pPr>
            <w:r>
              <w:rPr>
                <w:rFonts w:hint="eastAsia" w:ascii="FangSong_GB2312" w:hAnsi="FangSong_GB2312" w:eastAsia="FangSong_GB2312" w:cs="FangSong_GB2312"/>
                <w:sz w:val="21"/>
                <w:szCs w:val="21"/>
              </w:rPr>
              <w:t>表中文名</w:t>
            </w:r>
          </w:p>
        </w:tc>
        <w:tc>
          <w:tcPr>
            <w:tcW w:w="2168" w:type="dxa"/>
            <w:vAlign w:val="center"/>
          </w:tcPr>
          <w:p>
            <w:pPr>
              <w:pStyle w:val="58"/>
              <w:spacing w:line="240" w:lineRule="auto"/>
              <w:ind w:firstLine="0" w:firstLineChars="0"/>
              <w:rPr>
                <w:rFonts w:ascii="FangSong_GB2312" w:hAnsi="FangSong_GB2312" w:eastAsia="FangSong_GB2312" w:cs="FangSong_GB2312"/>
                <w:sz w:val="21"/>
                <w:szCs w:val="21"/>
              </w:rPr>
            </w:pPr>
            <w:r>
              <w:rPr>
                <w:rFonts w:hint="eastAsia" w:ascii="FangSong_GB2312" w:hAnsi="FangSong_GB2312" w:eastAsia="FangSong_GB2312" w:cs="FangSong_GB2312"/>
                <w:sz w:val="21"/>
                <w:szCs w:val="21"/>
              </w:rPr>
              <w:t>集中采集</w:t>
            </w:r>
          </w:p>
        </w:tc>
        <w:tc>
          <w:tcPr>
            <w:tcW w:w="1091" w:type="dxa"/>
            <w:vAlign w:val="center"/>
          </w:tcPr>
          <w:p>
            <w:pPr>
              <w:pStyle w:val="58"/>
              <w:spacing w:line="240" w:lineRule="auto"/>
              <w:ind w:firstLine="0" w:firstLineChars="0"/>
              <w:rPr>
                <w:rFonts w:ascii="FangSong_GB2312" w:hAnsi="FangSong_GB2312" w:eastAsia="FangSong_GB2312" w:cs="FangSong_GB2312"/>
                <w:sz w:val="21"/>
                <w:szCs w:val="21"/>
              </w:rPr>
            </w:pPr>
            <w:r>
              <w:rPr>
                <w:rFonts w:hint="eastAsia" w:ascii="FangSong_GB2312" w:hAnsi="FangSong_GB2312" w:eastAsia="FangSong_GB2312" w:cs="FangSong_GB2312"/>
                <w:sz w:val="21"/>
                <w:szCs w:val="21"/>
              </w:rPr>
              <w:t>持续采集</w:t>
            </w:r>
          </w:p>
        </w:tc>
        <w:tc>
          <w:tcPr>
            <w:tcW w:w="2168" w:type="dxa"/>
          </w:tcPr>
          <w:p>
            <w:pPr>
              <w:pStyle w:val="58"/>
              <w:spacing w:line="240" w:lineRule="auto"/>
              <w:ind w:firstLine="0" w:firstLineChars="0"/>
            </w:pPr>
            <w:r>
              <w:rPr>
                <w:rFonts w:hint="eastAsia" w:ascii="FangSong_GB2312" w:hAnsi="FangSong_GB2312" w:eastAsia="FangSong_GB2312" w:cs="FangSong_GB2312"/>
                <w:sz w:val="21"/>
                <w:szCs w:val="21"/>
              </w:rPr>
              <w:t>状态数据项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0101</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机构股权信息表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2168" w:type="dxa"/>
            <w:vAlign w:val="center"/>
          </w:tcPr>
          <w:p>
            <w:pPr>
              <w:pStyle w:val="47"/>
              <w:spacing w:line="240" w:lineRule="auto"/>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0102</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分支机构信息表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2168" w:type="dxa"/>
            <w:vAlign w:val="center"/>
          </w:tcPr>
          <w:p>
            <w:pPr>
              <w:pStyle w:val="47"/>
              <w:spacing w:line="240" w:lineRule="auto"/>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0103</w:t>
            </w:r>
          </w:p>
        </w:tc>
        <w:tc>
          <w:tcPr>
            <w:tcW w:w="2742"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中介机构信息表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pPr>
            <w:r>
              <w:rPr>
                <w:rFonts w:hint="eastAsia" w:ascii="FangSong_GB2312" w:hAnsi="FangSong_GB2312" w:eastAsia="FangSong_GB2312" w:cs="FangSong_GB2312"/>
                <w:szCs w:val="21"/>
              </w:rPr>
              <w:t>协议到期日或解约日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0104</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员工信息表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pPr>
            <w:r>
              <w:rPr>
                <w:rFonts w:hint="eastAsia" w:ascii="FangSong_GB2312" w:hAnsi="FangSong_GB2312" w:eastAsia="FangSong_GB2312" w:cs="FangSong_GB2312"/>
                <w:szCs w:val="21"/>
              </w:rPr>
              <w:t>离司日期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0105</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董监高履职信息表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2168" w:type="dxa"/>
            <w:vAlign w:val="center"/>
          </w:tcPr>
          <w:p>
            <w:pPr>
              <w:pStyle w:val="47"/>
              <w:spacing w:line="240" w:lineRule="auto"/>
              <w:ind w:firstLine="0" w:firstLineChars="0"/>
              <w:jc w:val="center"/>
              <w:rPr>
                <w:rFonts w:eastAsia="FangSong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0106</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销售人员信息表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pPr>
            <w:r>
              <w:rPr>
                <w:rFonts w:hint="eastAsia" w:ascii="FangSong_GB2312" w:hAnsi="FangSong_GB2312" w:eastAsia="FangSong_GB2312" w:cs="FangSong_GB2312"/>
                <w:szCs w:val="21"/>
              </w:rPr>
              <w:t>解约日期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0201</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总账会计全科目表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通知定义的时间范围</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增量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0202</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内部科目对照表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0203</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财务凭证信息表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通知定义的时间范围</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增量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0204</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业务及管理费分科目明细账表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通知定义的时间范围</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增量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0205</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手续费及佣金分科目明细账表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通知定义的时间范围</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增量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0206</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银行账户信息表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银行账户状态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0301</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个人客户信息表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0302</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团体客户信息表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0303</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客户保单对照表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保单状态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0304</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保单投诉信息表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投诉处理结束时间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0401</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险种定义表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0501</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个人保单表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保单状态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0502</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个人险种表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保单险种状态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0503</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被保险人表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被保险人状态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0504</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团体保单表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保单状态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0505</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团体险种表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保单险种状态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947"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0506</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保单佣金信息表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p>
        </w:tc>
      </w:tr>
      <w:tr>
        <w:tblPrEx>
          <w:tblLayout w:type="fixed"/>
          <w:tblCellMar>
            <w:top w:w="0" w:type="dxa"/>
            <w:left w:w="108" w:type="dxa"/>
            <w:bottom w:w="0" w:type="dxa"/>
            <w:right w:w="108" w:type="dxa"/>
          </w:tblCellMar>
        </w:tblPrEx>
        <w:trPr>
          <w:cantSplit/>
          <w:jc w:val="center"/>
        </w:trPr>
        <w:tc>
          <w:tcPr>
            <w:tcW w:w="947"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0507</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客户回访表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0508</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保单销售人员关联表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0601</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保费明细表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0602</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付费明细表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0603</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团体保费表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0701</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再保产品信息表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0702</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再保合同信息表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合同状态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0703</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再保账单信息表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账单状态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spacing w:line="240" w:lineRule="auto"/>
              <w:ind w:firstLine="0" w:firstLineChars="0"/>
              <w:jc w:val="center"/>
              <w:rPr>
                <w:rFonts w:cs="FangSong_GB2312"/>
                <w:sz w:val="21"/>
                <w:szCs w:val="21"/>
              </w:rPr>
            </w:pPr>
            <w:r>
              <w:rPr>
                <w:rFonts w:hint="eastAsia" w:cs="FangSong_GB2312"/>
                <w:sz w:val="21"/>
                <w:szCs w:val="21"/>
              </w:rPr>
              <w:t>0801</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出险人信息表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死亡标志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spacing w:line="240" w:lineRule="auto"/>
              <w:ind w:firstLine="0" w:firstLineChars="0"/>
              <w:jc w:val="center"/>
              <w:rPr>
                <w:rFonts w:cs="FangSong_GB2312"/>
                <w:sz w:val="21"/>
                <w:szCs w:val="21"/>
              </w:rPr>
            </w:pPr>
            <w:r>
              <w:rPr>
                <w:rFonts w:hint="eastAsia" w:cs="FangSong_GB2312"/>
                <w:sz w:val="21"/>
                <w:szCs w:val="21"/>
              </w:rPr>
              <w:t>0802</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理赔保单明细表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spacing w:line="240" w:lineRule="auto"/>
              <w:ind w:firstLine="0" w:firstLineChars="0"/>
              <w:jc w:val="center"/>
              <w:rPr>
                <w:rFonts w:cs="FangSong_GB2312"/>
                <w:sz w:val="21"/>
                <w:szCs w:val="21"/>
              </w:rPr>
            </w:pPr>
            <w:r>
              <w:rPr>
                <w:rFonts w:hint="eastAsia" w:cs="FangSong_GB2312"/>
                <w:sz w:val="21"/>
                <w:szCs w:val="21"/>
              </w:rPr>
              <w:t>0901</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年金计划信息表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spacing w:line="240" w:lineRule="auto"/>
              <w:ind w:firstLine="0" w:firstLineChars="0"/>
              <w:jc w:val="center"/>
              <w:rPr>
                <w:rFonts w:cs="FangSong_GB2312"/>
                <w:sz w:val="21"/>
                <w:szCs w:val="21"/>
              </w:rPr>
            </w:pPr>
            <w:r>
              <w:rPr>
                <w:rFonts w:hint="eastAsia" w:cs="FangSong_GB2312"/>
                <w:sz w:val="21"/>
                <w:szCs w:val="21"/>
              </w:rPr>
              <w:t>0902</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年金计划管理情况表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spacing w:line="240" w:lineRule="auto"/>
              <w:ind w:firstLine="0" w:firstLineChars="0"/>
              <w:jc w:val="center"/>
              <w:rPr>
                <w:rFonts w:cs="FangSong_GB2312"/>
                <w:sz w:val="21"/>
                <w:szCs w:val="21"/>
              </w:rPr>
            </w:pPr>
            <w:r>
              <w:rPr>
                <w:rFonts w:hint="eastAsia" w:cs="FangSong_GB2312"/>
                <w:sz w:val="21"/>
                <w:szCs w:val="21"/>
              </w:rPr>
              <w:t>0903</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年金计划运营明细表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账户状态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spacing w:line="240" w:lineRule="auto"/>
              <w:ind w:firstLine="0" w:firstLineChars="0"/>
              <w:jc w:val="center"/>
              <w:rPr>
                <w:rFonts w:cs="FangSong_GB2312"/>
                <w:sz w:val="21"/>
                <w:szCs w:val="21"/>
              </w:rPr>
            </w:pPr>
            <w:r>
              <w:rPr>
                <w:rFonts w:hint="eastAsia" w:cs="FangSong_GB2312"/>
                <w:sz w:val="21"/>
                <w:szCs w:val="21"/>
              </w:rPr>
              <w:t>0904</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年金投资情况表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spacing w:line="240" w:lineRule="auto"/>
              <w:ind w:firstLine="0" w:firstLineChars="0"/>
              <w:jc w:val="center"/>
              <w:rPr>
                <w:rFonts w:cs="FangSong_GB2312"/>
                <w:sz w:val="21"/>
                <w:szCs w:val="21"/>
              </w:rPr>
            </w:pPr>
            <w:r>
              <w:rPr>
                <w:rFonts w:hint="eastAsia" w:cs="FangSong_GB2312"/>
                <w:sz w:val="21"/>
                <w:szCs w:val="21"/>
              </w:rPr>
              <w:t>0905</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养老保障业务信息表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账户状态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spacing w:line="240" w:lineRule="auto"/>
              <w:ind w:firstLine="0" w:firstLineChars="0"/>
              <w:jc w:val="center"/>
              <w:rPr>
                <w:rFonts w:cs="FangSong_GB2312"/>
                <w:sz w:val="21"/>
                <w:szCs w:val="21"/>
              </w:rPr>
            </w:pPr>
            <w:r>
              <w:rPr>
                <w:rFonts w:hint="eastAsia" w:cs="FangSong_GB2312"/>
                <w:sz w:val="21"/>
                <w:szCs w:val="21"/>
              </w:rPr>
              <w:t>0906</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养老保障产品信息情况表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spacing w:line="240" w:lineRule="auto"/>
              <w:ind w:firstLine="0" w:firstLineChars="0"/>
              <w:jc w:val="center"/>
              <w:rPr>
                <w:rFonts w:cs="FangSong_GB2312"/>
                <w:sz w:val="21"/>
                <w:szCs w:val="21"/>
              </w:rPr>
            </w:pPr>
            <w:r>
              <w:rPr>
                <w:rFonts w:hint="eastAsia" w:cs="FangSong_GB2312"/>
                <w:sz w:val="21"/>
                <w:szCs w:val="21"/>
              </w:rPr>
              <w:t>1001</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自主投资账户信息汇总表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spacing w:line="240" w:lineRule="auto"/>
              <w:ind w:firstLine="0" w:firstLineChars="0"/>
              <w:jc w:val="center"/>
              <w:rPr>
                <w:rFonts w:cs="FangSong_GB2312"/>
                <w:sz w:val="21"/>
                <w:szCs w:val="21"/>
              </w:rPr>
            </w:pPr>
            <w:r>
              <w:rPr>
                <w:rFonts w:hint="eastAsia" w:cs="FangSong_GB2312"/>
                <w:sz w:val="21"/>
                <w:szCs w:val="21"/>
              </w:rPr>
              <w:t>1002</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自主投资账户持仓明细表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spacing w:line="240" w:lineRule="auto"/>
              <w:ind w:firstLine="0" w:firstLineChars="0"/>
              <w:jc w:val="center"/>
              <w:rPr>
                <w:rFonts w:cs="FangSong_GB2312"/>
                <w:sz w:val="21"/>
                <w:szCs w:val="21"/>
              </w:rPr>
            </w:pPr>
            <w:r>
              <w:rPr>
                <w:rFonts w:hint="eastAsia" w:cs="FangSong_GB2312"/>
                <w:sz w:val="21"/>
                <w:szCs w:val="21"/>
              </w:rPr>
              <w:t>1003</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自主投资交易流水表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通知定义的时间范围</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增量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spacing w:line="240" w:lineRule="auto"/>
              <w:ind w:firstLine="0" w:firstLineChars="0"/>
              <w:jc w:val="center"/>
              <w:rPr>
                <w:rFonts w:cs="FangSong_GB2312"/>
                <w:sz w:val="21"/>
                <w:szCs w:val="21"/>
              </w:rPr>
            </w:pPr>
            <w:r>
              <w:rPr>
                <w:rFonts w:hint="eastAsia" w:cs="FangSong_GB2312"/>
                <w:sz w:val="21"/>
                <w:szCs w:val="21"/>
              </w:rPr>
              <w:t>1004</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委托投资情况表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spacing w:line="240" w:lineRule="auto"/>
              <w:ind w:firstLine="0" w:firstLineChars="0"/>
              <w:jc w:val="center"/>
              <w:rPr>
                <w:rFonts w:cs="FangSong_GB2312"/>
                <w:sz w:val="21"/>
                <w:szCs w:val="21"/>
              </w:rPr>
            </w:pPr>
            <w:r>
              <w:rPr>
                <w:rFonts w:hint="eastAsia" w:cs="FangSong_GB2312"/>
                <w:sz w:val="21"/>
                <w:szCs w:val="21"/>
              </w:rPr>
              <w:t>1101</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关联方信息表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全量</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变化量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关联有效标志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spacing w:line="240" w:lineRule="auto"/>
              <w:ind w:firstLine="0" w:firstLineChars="0"/>
              <w:jc w:val="center"/>
              <w:rPr>
                <w:rFonts w:cs="FangSong_GB2312"/>
                <w:sz w:val="21"/>
                <w:szCs w:val="21"/>
              </w:rPr>
            </w:pPr>
            <w:r>
              <w:rPr>
                <w:rFonts w:hint="eastAsia" w:cs="FangSong_GB2312"/>
                <w:sz w:val="21"/>
                <w:szCs w:val="21"/>
              </w:rPr>
              <w:t>1102</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重大关联交易表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通知定义的时间范围</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增量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7" w:type="dxa"/>
            <w:vAlign w:val="center"/>
          </w:tcPr>
          <w:p>
            <w:pPr>
              <w:spacing w:line="240" w:lineRule="auto"/>
              <w:ind w:firstLine="0" w:firstLineChars="0"/>
              <w:jc w:val="center"/>
              <w:rPr>
                <w:rFonts w:cs="FangSong_GB2312"/>
                <w:sz w:val="21"/>
                <w:szCs w:val="21"/>
              </w:rPr>
            </w:pPr>
            <w:r>
              <w:rPr>
                <w:rFonts w:hint="eastAsia" w:cs="FangSong_GB2312"/>
                <w:sz w:val="21"/>
                <w:szCs w:val="21"/>
              </w:rPr>
              <w:t>1</w:t>
            </w:r>
            <w:r>
              <w:rPr>
                <w:rFonts w:cs="FangSong_GB2312"/>
                <w:sz w:val="21"/>
                <w:szCs w:val="21"/>
              </w:rPr>
              <w:t>103</w:t>
            </w:r>
          </w:p>
        </w:tc>
        <w:tc>
          <w:tcPr>
            <w:tcW w:w="2742" w:type="dxa"/>
            <w:vAlign w:val="center"/>
          </w:tcPr>
          <w:p>
            <w:pPr>
              <w:spacing w:line="240" w:lineRule="auto"/>
              <w:ind w:firstLine="0" w:firstLineChars="0"/>
              <w:jc w:val="center"/>
              <w:textAlignment w:val="center"/>
              <w:rPr>
                <w:rFonts w:cs="FangSong_GB2312"/>
                <w:sz w:val="21"/>
                <w:szCs w:val="21"/>
              </w:rPr>
            </w:pPr>
            <w:r>
              <w:rPr>
                <w:rFonts w:hint="eastAsia" w:cs="FangSong_GB2312"/>
                <w:sz w:val="21"/>
                <w:szCs w:val="21"/>
              </w:rPr>
              <w:t>关联交易汇总表</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通知定义的时间范围</w:t>
            </w:r>
          </w:p>
        </w:tc>
        <w:tc>
          <w:tcPr>
            <w:tcW w:w="1091" w:type="dxa"/>
            <w:vAlign w:val="center"/>
          </w:tcPr>
          <w:p>
            <w:pPr>
              <w:pStyle w:val="47"/>
              <w:spacing w:line="240" w:lineRule="auto"/>
              <w:ind w:firstLine="0" w:firstLineChars="0"/>
              <w:jc w:val="center"/>
              <w:rPr>
                <w:rFonts w:ascii="FangSong_GB2312" w:hAnsi="FangSong_GB2312" w:eastAsia="FangSong_GB2312" w:cs="FangSong_GB2312"/>
                <w:szCs w:val="21"/>
              </w:rPr>
            </w:pPr>
            <w:r>
              <w:rPr>
                <w:rFonts w:hint="eastAsia" w:ascii="FangSong_GB2312" w:hAnsi="FangSong_GB2312" w:eastAsia="FangSong_GB2312" w:cs="FangSong_GB2312"/>
                <w:szCs w:val="21"/>
              </w:rPr>
              <w:t>增量</w:t>
            </w:r>
          </w:p>
        </w:tc>
        <w:tc>
          <w:tcPr>
            <w:tcW w:w="2168" w:type="dxa"/>
            <w:vAlign w:val="center"/>
          </w:tcPr>
          <w:p>
            <w:pPr>
              <w:pStyle w:val="47"/>
              <w:spacing w:line="240" w:lineRule="auto"/>
              <w:ind w:firstLine="0" w:firstLineChars="0"/>
              <w:jc w:val="center"/>
              <w:rPr>
                <w:rFonts w:ascii="FangSong_GB2312" w:hAnsi="FangSong_GB2312" w:eastAsia="FangSong_GB2312" w:cs="FangSong_GB2312"/>
                <w:szCs w:val="21"/>
              </w:rPr>
            </w:pPr>
          </w:p>
        </w:tc>
      </w:tr>
    </w:tbl>
    <w:p>
      <w:pPr>
        <w:pStyle w:val="3"/>
        <w:numPr>
          <w:ilvl w:val="1"/>
          <w:numId w:val="0"/>
        </w:numPr>
        <w:ind w:left="600" w:leftChars="200"/>
      </w:pPr>
      <w:r>
        <w:rPr>
          <w:rFonts w:hint="eastAsia"/>
        </w:rPr>
        <w:t>（七）数据拆分</w:t>
      </w:r>
    </w:p>
    <w:p>
      <w:pPr>
        <w:ind w:firstLine="600"/>
        <w:rPr>
          <w:rFonts w:ascii="宋体" w:hAnsi="宋体"/>
          <w:sz w:val="24"/>
          <w:szCs w:val="24"/>
        </w:rPr>
      </w:pPr>
      <w:r>
        <w:rPr>
          <w:rFonts w:hint="eastAsia" w:cs="FangSong_GB2312"/>
          <w:szCs w:val="30"/>
        </w:rPr>
        <w:t>人身保险公司总公司按照《规范》要求，将本公司所有数据报送至银保监会。人身保险公司各分支机构的数据，由人身保险公司总公司按照一级分公司进行拆分，拆分后下发至一级分公司，并由一级分公司报送到属地银保监局。若多个一级分公司归属同一银保监局管辖，则应由多个一级分公司独立报送。</w:t>
      </w:r>
      <w:r>
        <w:rPr>
          <w:rFonts w:hint="eastAsia" w:cs="FangSong_GB2312"/>
          <w:b/>
          <w:bCs/>
          <w:szCs w:val="30"/>
        </w:rPr>
        <w:t>数据拆分应当以满足交易描述的完整性为原则，</w:t>
      </w:r>
      <w:r>
        <w:rPr>
          <w:rFonts w:hint="eastAsia" w:cs="FangSong_GB2312"/>
          <w:szCs w:val="30"/>
        </w:rPr>
        <w:t>保单归属地、业务发生地如果不在一个一级分公司的，归属地、发生地应当分别报送完整数据。</w:t>
      </w:r>
    </w:p>
    <w:p>
      <w:pPr>
        <w:pStyle w:val="2"/>
        <w:ind w:firstLine="600"/>
      </w:pPr>
      <w:r>
        <w:rPr>
          <w:rFonts w:hint="eastAsia"/>
        </w:rPr>
        <w:t>非技术接口要求</w:t>
      </w:r>
    </w:p>
    <w:p>
      <w:pPr>
        <w:pStyle w:val="3"/>
        <w:numPr>
          <w:ilvl w:val="1"/>
          <w:numId w:val="0"/>
        </w:numPr>
        <w:ind w:left="600" w:leftChars="200"/>
      </w:pPr>
      <w:r>
        <w:rPr>
          <w:rFonts w:hint="eastAsia"/>
        </w:rPr>
        <w:t>（一）持续采集频率</w:t>
      </w:r>
    </w:p>
    <w:p>
      <w:pPr>
        <w:ind w:firstLine="600"/>
      </w:pPr>
      <w:r>
        <w:rPr>
          <w:rFonts w:hint="eastAsia"/>
        </w:rPr>
        <w:t>首次报送后，各人身保险公司按照表2要求，于每月15日前报送截至上月底各表的全量、增量和变化量数据。如截至上一个月底，报表数据没有变化，则可以不报送该报表。</w:t>
      </w:r>
    </w:p>
    <w:p>
      <w:pPr>
        <w:ind w:firstLine="600"/>
      </w:pPr>
      <w:r>
        <w:rPr>
          <w:rFonts w:hint="eastAsia"/>
        </w:rPr>
        <w:t>监管部门可根据监管工作需求，调整报表报送频度。最终将实现“T+1”数据采集，即每日报送前一日各报表的全量、增量和变化量数据。</w:t>
      </w:r>
    </w:p>
    <w:p>
      <w:pPr>
        <w:ind w:firstLine="600"/>
      </w:pPr>
      <w:r>
        <w:rPr>
          <w:rFonts w:hint="eastAsia"/>
        </w:rPr>
        <w:t>各分支机构的报送频度和总公司应当保持一致。</w:t>
      </w:r>
    </w:p>
    <w:p>
      <w:pPr>
        <w:pStyle w:val="3"/>
        <w:numPr>
          <w:ilvl w:val="1"/>
          <w:numId w:val="0"/>
        </w:numPr>
        <w:ind w:left="600" w:leftChars="200"/>
      </w:pPr>
      <w:r>
        <w:rPr>
          <w:rFonts w:hint="eastAsia"/>
        </w:rPr>
        <w:t>（二）采集介质</w:t>
      </w:r>
    </w:p>
    <w:bookmarkEnd w:id="0"/>
    <w:bookmarkEnd w:id="1"/>
    <w:bookmarkEnd w:id="2"/>
    <w:p>
      <w:pPr>
        <w:pStyle w:val="69"/>
        <w:ind w:firstLine="602"/>
        <w:rPr>
          <w:b/>
          <w:bCs/>
        </w:rPr>
      </w:pPr>
      <w:r>
        <w:rPr>
          <w:rFonts w:hint="eastAsia"/>
          <w:b/>
          <w:bCs/>
        </w:rPr>
        <w:t>1.使用移动存储介质</w:t>
      </w:r>
    </w:p>
    <w:p>
      <w:pPr>
        <w:pStyle w:val="69"/>
      </w:pPr>
      <w:r>
        <w:rPr>
          <w:rFonts w:hint="eastAsia"/>
        </w:rPr>
        <w:t>集中采集或数据量巨大，不便于通过金融专网传输时，人身保险公司可使用移动存储介质向监管部门报送数据。</w:t>
      </w:r>
      <w:r>
        <w:t>报送</w:t>
      </w:r>
      <w:r>
        <w:rPr>
          <w:rFonts w:hint="eastAsia"/>
        </w:rPr>
        <w:t>过程应采取必要措施保障数据安全，做好与监管部门数据交接工作。相关要求列举如下供参考，监管部门可在部署采集工作时予以明确：</w:t>
      </w:r>
    </w:p>
    <w:p>
      <w:pPr>
        <w:pStyle w:val="69"/>
        <w:rPr>
          <w:rFonts w:ascii="FangSong_GB2312" w:hAnsi="FangSong_GB2312" w:cs="FangSong_GB2312"/>
        </w:rPr>
      </w:pPr>
      <w:r>
        <w:rPr>
          <w:rFonts w:hint="eastAsia" w:ascii="FangSong_GB2312" w:hAnsi="FangSong_GB2312" w:cs="FangSong_GB2312"/>
        </w:rPr>
        <w:t>（1）建议采用USB3.0接口移动存储介质。持续采集阶段仍需要通过移动存储介质进行的，可建议人身保险公司准备2套移动存储介质以便轮流报送。</w:t>
      </w:r>
    </w:p>
    <w:p>
      <w:pPr>
        <w:pStyle w:val="69"/>
        <w:rPr>
          <w:rFonts w:ascii="FangSong_GB2312" w:hAnsi="FangSong_GB2312" w:cs="FangSong_GB2312"/>
        </w:rPr>
      </w:pPr>
      <w:r>
        <w:rPr>
          <w:rFonts w:hint="eastAsia" w:ascii="FangSong_GB2312" w:hAnsi="FangSong_GB2312" w:cs="FangSong_GB2312"/>
        </w:rPr>
        <w:t>（2）</w:t>
      </w:r>
      <w:r>
        <w:rPr>
          <w:rFonts w:hint="eastAsia" w:ascii="FangSong_GB2312" w:hAnsi="FangSong_GB2312" w:cs="FangSong_GB2312"/>
          <w:b/>
          <w:bCs/>
        </w:rPr>
        <w:t>当且仅当</w:t>
      </w:r>
      <w:r>
        <w:rPr>
          <w:rFonts w:hint="eastAsia" w:ascii="FangSong_GB2312" w:hAnsi="FangSong_GB2312" w:cs="FangSong_GB2312"/>
        </w:rPr>
        <w:t>单一文件大小超过500G时，须进行拆分，拆分后每个子文件大小在500G左右，子文件命名时在“表名对应字符串”后加两位数字顺序号区分，从“00”至“99”，与“表名对应字符串”中间用英文短横线“-”进行隔开。如：</w:t>
      </w:r>
    </w:p>
    <w:p>
      <w:pPr>
        <w:ind w:firstLine="600"/>
        <w:jc w:val="left"/>
      </w:pPr>
      <w:r>
        <w:rPr>
          <w:rFonts w:hint="eastAsia"/>
        </w:rPr>
        <w:t>000005-GRBDB-00-20190331.txt</w:t>
      </w:r>
    </w:p>
    <w:p>
      <w:pPr>
        <w:ind w:firstLine="600"/>
        <w:jc w:val="left"/>
        <w:rPr>
          <w:rFonts w:cs="FangSong_GB2312"/>
        </w:rPr>
      </w:pPr>
      <w:r>
        <w:rPr>
          <w:rFonts w:hint="eastAsia"/>
        </w:rPr>
        <w:t>000005-GRBDB-01-20190331.txt</w:t>
      </w:r>
    </w:p>
    <w:p>
      <w:pPr>
        <w:pStyle w:val="69"/>
        <w:rPr>
          <w:rFonts w:ascii="FangSong_GB2312" w:hAnsi="FangSong_GB2312" w:cs="FangSong_GB2312"/>
        </w:rPr>
      </w:pPr>
      <w:r>
        <w:rPr>
          <w:rFonts w:hint="eastAsia" w:ascii="FangSong_GB2312" w:hAnsi="FangSong_GB2312" w:cs="FangSong_GB2312"/>
        </w:rPr>
        <w:t>（3）监管部门可根据实际情况确定数据文件是否压缩。</w:t>
      </w:r>
    </w:p>
    <w:p>
      <w:pPr>
        <w:pStyle w:val="69"/>
        <w:rPr>
          <w:rFonts w:ascii="FangSong_GB2312" w:hAnsi="FangSong_GB2312" w:cs="FangSong_GB2312"/>
        </w:rPr>
      </w:pPr>
      <w:r>
        <w:rPr>
          <w:rFonts w:hint="eastAsia" w:ascii="FangSong_GB2312" w:hAnsi="FangSong_GB2312" w:cs="FangSong_GB2312"/>
        </w:rPr>
        <w:t>（4）所有数据文件及数据校验文件直接存放在移动存储介质根目录下:\cbirc目录中，如一块移动存储介质不能保存下所有数据文件，则按表1的顺序依次保存到其他移动存储介质\cbirc目录中。</w:t>
      </w:r>
    </w:p>
    <w:p>
      <w:pPr>
        <w:pStyle w:val="69"/>
        <w:rPr>
          <w:rFonts w:ascii="FangSong_GB2312" w:hAnsi="FangSong_GB2312" w:cs="FangSong_GB2312"/>
        </w:rPr>
      </w:pPr>
      <w:r>
        <w:rPr>
          <w:rFonts w:hint="eastAsia" w:ascii="FangSong_GB2312" w:hAnsi="FangSong_GB2312" w:cs="FangSong_GB2312"/>
        </w:rPr>
        <w:t>（5）报送数据时，每块移动存储介质同时提供一份电子版报送文件说明，说明数据文件与表名、时间范围之间的关系，如对文件进行了切分，或因系统升级数据文件分段报送，也一并说明。该说明文件以文本格式.txt存放于各移动存储介质的根目录下。</w:t>
      </w:r>
    </w:p>
    <w:p>
      <w:pPr>
        <w:pStyle w:val="69"/>
        <w:ind w:firstLine="602"/>
        <w:rPr>
          <w:b/>
          <w:bCs/>
        </w:rPr>
      </w:pPr>
      <w:r>
        <w:rPr>
          <w:rFonts w:hint="eastAsia"/>
          <w:b/>
          <w:bCs/>
        </w:rPr>
        <w:t>2.通过金融专网</w:t>
      </w:r>
    </w:p>
    <w:p>
      <w:pPr>
        <w:pStyle w:val="69"/>
        <w:rPr>
          <w:szCs w:val="22"/>
        </w:rPr>
      </w:pPr>
      <w:r>
        <w:rPr>
          <w:rFonts w:hint="eastAsia"/>
        </w:rPr>
        <w:t>已采用金融专网方式采集数据的，按既有方式开展。监管部门应当根据本接口说明，对数据采集系统中的传输文件名等要素进行更新。</w:t>
      </w:r>
    </w:p>
    <w:sectPr>
      <w:footerReference r:id="rId9" w:type="default"/>
      <w:endnotePr>
        <w:numFmt w:val="decimal"/>
      </w:endnotePr>
      <w:type w:val="oddPage"/>
      <w:pgSz w:w="11906" w:h="16838"/>
      <w:pgMar w:top="1440" w:right="1418" w:bottom="1440" w:left="1588" w:header="851" w:footer="992" w:gutter="0"/>
      <w:pgNumType w:fmt="numberInDash" w:start="1"/>
      <w:cols w:space="720" w:num="1"/>
      <w:docGrid w:type="lines" w:linePitch="317" w:charSpace="0"/>
    </w:sectPr>
  </w:body>
</w:document>
</file>

<file path=word/customizations.xml><?xml version="1.0" encoding="utf-8"?>
<wne:tcg xmlns:r="http://schemas.openxmlformats.org/officeDocument/2006/relationships" xmlns:wne="http://schemas.microsoft.com/office/word/2006/wordml">
  <wne:keymaps>
    <wne:keymap wne:kcmPrimary="0232">
      <wne:acd wne:acdName="acd0"/>
    </wne:keymap>
    <wne:keymap wne:kcmPrimary="0451">
      <wne:acd wne:acdName="acd1"/>
    </wne:keymap>
    <wne:keymap wne:kcmPrimary="0454">
      <wne:acd wne:acdName="acd2"/>
    </wne:keymap>
    <wne:keymap wne:kcmPrimary="045A">
      <wne:acd wne:acdName="acd3"/>
    </wne:keymap>
  </wne:keymaps>
  <wne:acds>
    <wne:acd wne:argValue="AQAAAAAA" wne:acdName="acd0" wne:fciIndexBasedOn="0065"/>
    <wne:acd wne:argValue="AQAAAFgA" wne:acdName="acd1" wne:fciIndexBasedOn="0065"/>
    <wne:acd wne:argValue="AgBoiDxo" wne:acdName="acd2" wne:fciIndexBasedOn="0065"/>
    <wne:acd wne:argValue="AgBja4dlMQA=" wne:acdName="acd3"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10609060101010101"/>
    <w:charset w:val="86"/>
    <w:family w:val="modern"/>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KaiTi_GB2312">
    <w:altName w:val="楷体"/>
    <w:panose1 w:val="0201060906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ind w:firstLine="0" w:firstLineChars="0"/>
                            <w:rPr>
                              <w:rFonts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- 6 -</w:t>
                          </w:r>
                          <w:r>
                            <w:rPr>
                              <w:rFonts w:hint="eastAsia" w:ascii="宋体" w:hAnsi="宋体" w:eastAsia="宋体" w:cs="宋体"/>
                              <w:sz w:val="28"/>
                              <w:szCs w:val="28"/>
                            </w:rPr>
                            <w:fldChar w:fldCharType="end"/>
                          </w:r>
                        </w:p>
                      </w:txbxContent>
                    </wps:txbx>
                    <wps:bodyPr wrap="none" lIns="0" tIns="0" rIns="0" bIns="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zql5uc8AAAAFAQAADwAAAAAAAAAB&#10;ACAAAAAiAAAAZHJzL2Rvd25yZXYueG1sUEsBAhQAFAAAAAgAh07iQPV95NKnAQAAPwMAAA4AAAAA&#10;AAAAAQAgAAAAHgEAAGRycy9lMm9Eb2MueG1sUEsFBgAAAAAGAAYAWQEAADcFAAAAAA==&#10;">
              <v:fill on="f" focussize="0,0"/>
              <v:stroke on="f"/>
              <v:imagedata o:title=""/>
              <o:lock v:ext="edit" aspectratio="f"/>
              <v:textbox inset="0mm,0mm,0mm,0mm" style="mso-fit-shape-to-text:t;">
                <w:txbxContent>
                  <w:p>
                    <w:pPr>
                      <w:snapToGrid w:val="0"/>
                      <w:ind w:firstLine="0" w:firstLineChars="0"/>
                      <w:rPr>
                        <w:rFonts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- 6 -</w:t>
                    </w:r>
                    <w:r>
                      <w:rPr>
                        <w:rFonts w:hint="eastAsia" w:ascii="宋体" w:hAnsi="宋体" w:eastAsia="宋体" w:cs="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0D58F0"/>
    <w:multiLevelType w:val="singleLevel"/>
    <w:tmpl w:val="CA0D58F0"/>
    <w:lvl w:ilvl="0" w:tentative="0">
      <w:start w:val="1"/>
      <w:numFmt w:val="chineseCounting"/>
      <w:pStyle w:val="2"/>
      <w:suff w:val="nothing"/>
      <w:lvlText w:val="%1、"/>
      <w:lvlJc w:val="left"/>
      <w:pPr>
        <w:ind w:left="0" w:firstLine="420"/>
      </w:pPr>
      <w:rPr>
        <w:rFonts w:hint="eastAsia"/>
      </w:rPr>
    </w:lvl>
  </w:abstractNum>
  <w:abstractNum w:abstractNumId="1">
    <w:nsid w:val="E3B45D96"/>
    <w:multiLevelType w:val="multilevel"/>
    <w:tmpl w:val="E3B45D96"/>
    <w:lvl w:ilvl="0" w:tentative="0">
      <w:start w:val="1"/>
      <w:numFmt w:val="chineseCounting"/>
      <w:suff w:val="nothing"/>
      <w:lvlText w:val="（%1）"/>
      <w:lvlJc w:val="left"/>
      <w:pPr>
        <w:ind w:left="0" w:firstLine="420"/>
      </w:pPr>
      <w:rPr>
        <w:rFonts w:hint="eastAsia"/>
      </w:rPr>
    </w:lvl>
    <w:lvl w:ilvl="1" w:tentative="0">
      <w:start w:val="1"/>
      <w:numFmt w:val="decimal"/>
      <w:pStyle w:val="3"/>
      <w:suff w:val="nothing"/>
      <w:lvlText w:val="%2．"/>
      <w:lvlJc w:val="left"/>
      <w:pPr>
        <w:ind w:left="0" w:firstLine="420"/>
      </w:pPr>
      <w:rPr>
        <w:rFonts w:hint="eastAsia"/>
      </w:rPr>
    </w:lvl>
    <w:lvl w:ilvl="2" w:tentative="0">
      <w:start w:val="1"/>
      <w:numFmt w:val="decimal"/>
      <w:suff w:val="nothing"/>
      <w:lvlText w:val="（%3）"/>
      <w:lvlJc w:val="left"/>
      <w:pPr>
        <w:ind w:left="0" w:firstLine="420"/>
      </w:pPr>
      <w:rPr>
        <w:rFonts w:hint="eastAsia"/>
      </w:rPr>
    </w:lvl>
    <w:lvl w:ilvl="3" w:tentative="0">
      <w:start w:val="1"/>
      <w:numFmt w:val="decimalEnclosedCircleChinese"/>
      <w:suff w:val="nothing"/>
      <w:lvlText w:val="%4"/>
      <w:lvlJc w:val="left"/>
      <w:pPr>
        <w:ind w:left="0" w:firstLine="420"/>
      </w:pPr>
      <w:rPr>
        <w:rFonts w:hint="eastAsia"/>
      </w:rPr>
    </w:lvl>
    <w:lvl w:ilvl="4" w:tentative="0">
      <w:start w:val="1"/>
      <w:numFmt w:val="decimal"/>
      <w:suff w:val="nothing"/>
      <w:lvlText w:val="%5）"/>
      <w:lvlJc w:val="left"/>
      <w:pPr>
        <w:ind w:left="0" w:firstLine="420"/>
      </w:pPr>
      <w:rPr>
        <w:rFonts w:hint="eastAsia"/>
      </w:rPr>
    </w:lvl>
    <w:lvl w:ilvl="5" w:tentative="0">
      <w:start w:val="1"/>
      <w:numFmt w:val="lowerLetter"/>
      <w:suff w:val="nothing"/>
      <w:lvlText w:val="%6．"/>
      <w:lvlJc w:val="left"/>
      <w:pPr>
        <w:ind w:left="0" w:firstLine="420"/>
      </w:pPr>
      <w:rPr>
        <w:rFonts w:hint="eastAsia"/>
      </w:rPr>
    </w:lvl>
    <w:lvl w:ilvl="6" w:tentative="0">
      <w:start w:val="1"/>
      <w:numFmt w:val="lowerLetter"/>
      <w:suff w:val="nothing"/>
      <w:lvlText w:val="%7）"/>
      <w:lvlJc w:val="left"/>
      <w:pPr>
        <w:ind w:left="0" w:firstLine="420"/>
      </w:pPr>
      <w:rPr>
        <w:rFonts w:hint="eastAsia"/>
      </w:rPr>
    </w:lvl>
    <w:lvl w:ilvl="7" w:tentative="0">
      <w:start w:val="1"/>
      <w:numFmt w:val="lowerRoman"/>
      <w:suff w:val="nothing"/>
      <w:lvlText w:val="%8．"/>
      <w:lvlJc w:val="left"/>
      <w:pPr>
        <w:ind w:left="0" w:firstLine="420"/>
      </w:pPr>
      <w:rPr>
        <w:rFonts w:hint="eastAsia"/>
      </w:rPr>
    </w:lvl>
    <w:lvl w:ilvl="8" w:tentative="0">
      <w:start w:val="1"/>
      <w:numFmt w:val="lowerRoman"/>
      <w:suff w:val="nothing"/>
      <w:lvlText w:val="%9）"/>
      <w:lvlJc w:val="left"/>
      <w:pPr>
        <w:ind w:left="0" w:firstLine="420"/>
      </w:pPr>
      <w:rPr>
        <w:rFonts w:hint="eastAsia"/>
      </w:rPr>
    </w:lvl>
  </w:abstractNum>
  <w:abstractNum w:abstractNumId="2">
    <w:nsid w:val="00000008"/>
    <w:multiLevelType w:val="multilevel"/>
    <w:tmpl w:val="00000008"/>
    <w:lvl w:ilvl="0" w:tentative="0">
      <w:start w:val="1"/>
      <w:numFmt w:val="none"/>
      <w:pStyle w:val="54"/>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A"/>
    <w:multiLevelType w:val="multilevel"/>
    <w:tmpl w:val="0000000A"/>
    <w:lvl w:ilvl="0" w:tentative="0">
      <w:start w:val="1"/>
      <w:numFmt w:val="chineseCountingThousand"/>
      <w:lvlText w:val="%1、"/>
      <w:lvlJc w:val="left"/>
      <w:pPr>
        <w:tabs>
          <w:tab w:val="left" w:pos="420"/>
        </w:tabs>
        <w:ind w:left="420" w:hanging="420"/>
      </w:pPr>
      <w:rPr>
        <w:rFonts w:hint="eastAsia" w:ascii="黑体" w:eastAsia="黑体"/>
        <w:b w:val="0"/>
        <w:sz w:val="30"/>
        <w:szCs w:val="30"/>
        <w:lang w:val="en-US"/>
      </w:rPr>
    </w:lvl>
    <w:lvl w:ilvl="1" w:tentative="0">
      <w:start w:val="1"/>
      <w:numFmt w:val="decimal"/>
      <w:lvlText w:val="%1.%2"/>
      <w:lvlJc w:val="left"/>
      <w:pPr>
        <w:tabs>
          <w:tab w:val="left" w:pos="576"/>
        </w:tabs>
        <w:ind w:left="576" w:hanging="576"/>
      </w:pPr>
      <w:rPr>
        <w:rFonts w:hint="default" w:ascii="Arial" w:hAnsi="Arial" w:eastAsia="宋体" w:cs="Arial"/>
      </w:rPr>
    </w:lvl>
    <w:lvl w:ilvl="2" w:tentative="0">
      <w:start w:val="1"/>
      <w:numFmt w:val="decimal"/>
      <w:pStyle w:val="46"/>
      <w:lvlText w:val="%1.%2.%3"/>
      <w:lvlJc w:val="left"/>
      <w:pPr>
        <w:tabs>
          <w:tab w:val="left" w:pos="720"/>
        </w:tabs>
        <w:ind w:left="720" w:hanging="720"/>
      </w:pPr>
      <w:rPr>
        <w:rFonts w:ascii="宋体" w:hAnsi="宋体" w:eastAsia="宋体"/>
        <w:b/>
        <w:sz w:val="24"/>
        <w:szCs w:val="24"/>
      </w:rPr>
    </w:lvl>
    <w:lvl w:ilvl="3" w:tentative="0">
      <w:start w:val="1"/>
      <w:numFmt w:val="decimal"/>
      <w:pStyle w:val="5"/>
      <w:lvlText w:val="%1.%2.%3.%4"/>
      <w:lvlJc w:val="left"/>
      <w:pPr>
        <w:tabs>
          <w:tab w:val="left" w:pos="864"/>
        </w:tabs>
        <w:ind w:left="864" w:hanging="864"/>
      </w:pPr>
      <w:rPr>
        <w:rFonts w:hint="eastAsia" w:ascii="宋体" w:hAnsi="宋体" w:eastAsia="宋体"/>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才 英">
    <w15:presenceInfo w15:providerId="Windows Live" w15:userId="53a2a33e4cd296de"/>
  </w15:person>
  <w15:person w15:author="留白">
    <w15:presenceInfo w15:providerId="WPS Office" w15:userId="1490576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trackRevisions w:val="1"/>
  <w:documentProtection w:enforcement="0"/>
  <w:defaultTabStop w:val="420"/>
  <w:drawingGridHorizontalSpacing w:val="200"/>
  <w:drawingGridVerticalSpacing w:val="159"/>
  <w:noPunctuationKerning w:val="1"/>
  <w:characterSpacingControl w:val="compressPunctuation"/>
  <w:doNotValidateAgainstSchema/>
  <w:doNotDemarcateInvalidXml/>
  <w:endnotePr>
    <w:numFmt w:val="decimal"/>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7882"/>
    <w:rsid w:val="000156E0"/>
    <w:rsid w:val="00017872"/>
    <w:rsid w:val="00023C4E"/>
    <w:rsid w:val="000345FA"/>
    <w:rsid w:val="000632B1"/>
    <w:rsid w:val="00072CAD"/>
    <w:rsid w:val="00093159"/>
    <w:rsid w:val="000C2704"/>
    <w:rsid w:val="000D0B66"/>
    <w:rsid w:val="000F0891"/>
    <w:rsid w:val="00114476"/>
    <w:rsid w:val="00172A27"/>
    <w:rsid w:val="00174C10"/>
    <w:rsid w:val="00182F90"/>
    <w:rsid w:val="001973E8"/>
    <w:rsid w:val="001A1D45"/>
    <w:rsid w:val="001B6905"/>
    <w:rsid w:val="001E1945"/>
    <w:rsid w:val="00214EEA"/>
    <w:rsid w:val="00216FF4"/>
    <w:rsid w:val="0026015F"/>
    <w:rsid w:val="00266D4A"/>
    <w:rsid w:val="00275FFD"/>
    <w:rsid w:val="00276901"/>
    <w:rsid w:val="00293199"/>
    <w:rsid w:val="002A02DF"/>
    <w:rsid w:val="002A32F5"/>
    <w:rsid w:val="002C2938"/>
    <w:rsid w:val="002C2BBC"/>
    <w:rsid w:val="002D2F0A"/>
    <w:rsid w:val="002D32E9"/>
    <w:rsid w:val="002D43D4"/>
    <w:rsid w:val="002D7715"/>
    <w:rsid w:val="002E28A0"/>
    <w:rsid w:val="00316DD6"/>
    <w:rsid w:val="003334EE"/>
    <w:rsid w:val="003354C1"/>
    <w:rsid w:val="0035493C"/>
    <w:rsid w:val="00356D49"/>
    <w:rsid w:val="0037153F"/>
    <w:rsid w:val="0037741C"/>
    <w:rsid w:val="00385ACC"/>
    <w:rsid w:val="003B79F6"/>
    <w:rsid w:val="003C4D6D"/>
    <w:rsid w:val="003D57E4"/>
    <w:rsid w:val="003F6EF9"/>
    <w:rsid w:val="00465CDA"/>
    <w:rsid w:val="004875B7"/>
    <w:rsid w:val="004876EE"/>
    <w:rsid w:val="004D0329"/>
    <w:rsid w:val="004D35B8"/>
    <w:rsid w:val="004D5768"/>
    <w:rsid w:val="004E1AFA"/>
    <w:rsid w:val="00501331"/>
    <w:rsid w:val="00502E67"/>
    <w:rsid w:val="005045F3"/>
    <w:rsid w:val="00505092"/>
    <w:rsid w:val="00506B37"/>
    <w:rsid w:val="00506FF5"/>
    <w:rsid w:val="005139A4"/>
    <w:rsid w:val="00524BD3"/>
    <w:rsid w:val="00534596"/>
    <w:rsid w:val="00563060"/>
    <w:rsid w:val="005722F0"/>
    <w:rsid w:val="005734E1"/>
    <w:rsid w:val="00584C02"/>
    <w:rsid w:val="005A2AFF"/>
    <w:rsid w:val="005B27EE"/>
    <w:rsid w:val="005C3438"/>
    <w:rsid w:val="005E0FDE"/>
    <w:rsid w:val="005F0EDC"/>
    <w:rsid w:val="005F2F5F"/>
    <w:rsid w:val="005F3FC1"/>
    <w:rsid w:val="006041F8"/>
    <w:rsid w:val="0060452B"/>
    <w:rsid w:val="0061057F"/>
    <w:rsid w:val="006108E0"/>
    <w:rsid w:val="006170F1"/>
    <w:rsid w:val="006353D0"/>
    <w:rsid w:val="00637D9F"/>
    <w:rsid w:val="00670CEB"/>
    <w:rsid w:val="00693887"/>
    <w:rsid w:val="00693AAF"/>
    <w:rsid w:val="006A0248"/>
    <w:rsid w:val="006C3AB9"/>
    <w:rsid w:val="006D25D3"/>
    <w:rsid w:val="006F3BEC"/>
    <w:rsid w:val="006F7608"/>
    <w:rsid w:val="006F7C16"/>
    <w:rsid w:val="00700752"/>
    <w:rsid w:val="00711026"/>
    <w:rsid w:val="007134A7"/>
    <w:rsid w:val="00714BE4"/>
    <w:rsid w:val="00717982"/>
    <w:rsid w:val="00722F8B"/>
    <w:rsid w:val="00760C78"/>
    <w:rsid w:val="0076486F"/>
    <w:rsid w:val="00773C79"/>
    <w:rsid w:val="007A2A11"/>
    <w:rsid w:val="007A6CCE"/>
    <w:rsid w:val="007B1CA8"/>
    <w:rsid w:val="007B67DC"/>
    <w:rsid w:val="007D76C3"/>
    <w:rsid w:val="007E040D"/>
    <w:rsid w:val="007E216A"/>
    <w:rsid w:val="007E4F54"/>
    <w:rsid w:val="007F6118"/>
    <w:rsid w:val="0080074E"/>
    <w:rsid w:val="008414F8"/>
    <w:rsid w:val="008675C9"/>
    <w:rsid w:val="00873B49"/>
    <w:rsid w:val="00884E58"/>
    <w:rsid w:val="00884E63"/>
    <w:rsid w:val="008973C6"/>
    <w:rsid w:val="008A2D51"/>
    <w:rsid w:val="008B0B5E"/>
    <w:rsid w:val="008B356C"/>
    <w:rsid w:val="008B5589"/>
    <w:rsid w:val="008D7C6A"/>
    <w:rsid w:val="008F0DF1"/>
    <w:rsid w:val="008F6399"/>
    <w:rsid w:val="009018A3"/>
    <w:rsid w:val="00910891"/>
    <w:rsid w:val="00915FD9"/>
    <w:rsid w:val="0092651B"/>
    <w:rsid w:val="0096627D"/>
    <w:rsid w:val="00967A78"/>
    <w:rsid w:val="00967CD0"/>
    <w:rsid w:val="00970DE2"/>
    <w:rsid w:val="009856F8"/>
    <w:rsid w:val="00995A37"/>
    <w:rsid w:val="009C1296"/>
    <w:rsid w:val="009C221A"/>
    <w:rsid w:val="009F306D"/>
    <w:rsid w:val="009F594E"/>
    <w:rsid w:val="00A065CA"/>
    <w:rsid w:val="00A072EA"/>
    <w:rsid w:val="00A1310D"/>
    <w:rsid w:val="00A14D1C"/>
    <w:rsid w:val="00A23505"/>
    <w:rsid w:val="00A31CF0"/>
    <w:rsid w:val="00A56198"/>
    <w:rsid w:val="00A568E3"/>
    <w:rsid w:val="00A62B76"/>
    <w:rsid w:val="00A62FC3"/>
    <w:rsid w:val="00A70D91"/>
    <w:rsid w:val="00A71F23"/>
    <w:rsid w:val="00A93210"/>
    <w:rsid w:val="00AA3840"/>
    <w:rsid w:val="00AB5857"/>
    <w:rsid w:val="00AB64D0"/>
    <w:rsid w:val="00AD602D"/>
    <w:rsid w:val="00AE620F"/>
    <w:rsid w:val="00AF1068"/>
    <w:rsid w:val="00AF35C5"/>
    <w:rsid w:val="00B31B13"/>
    <w:rsid w:val="00B601C3"/>
    <w:rsid w:val="00B61253"/>
    <w:rsid w:val="00B75C9B"/>
    <w:rsid w:val="00B92212"/>
    <w:rsid w:val="00BB7679"/>
    <w:rsid w:val="00BC32C2"/>
    <w:rsid w:val="00BD049A"/>
    <w:rsid w:val="00BD11E8"/>
    <w:rsid w:val="00BE0456"/>
    <w:rsid w:val="00BF7846"/>
    <w:rsid w:val="00C170E5"/>
    <w:rsid w:val="00C54794"/>
    <w:rsid w:val="00C66F0E"/>
    <w:rsid w:val="00C70C98"/>
    <w:rsid w:val="00C81F53"/>
    <w:rsid w:val="00C9003C"/>
    <w:rsid w:val="00CA27B0"/>
    <w:rsid w:val="00CC7E62"/>
    <w:rsid w:val="00CD3191"/>
    <w:rsid w:val="00CE2340"/>
    <w:rsid w:val="00CE2EC5"/>
    <w:rsid w:val="00CE4634"/>
    <w:rsid w:val="00CE7751"/>
    <w:rsid w:val="00D114B6"/>
    <w:rsid w:val="00D131BE"/>
    <w:rsid w:val="00D17C35"/>
    <w:rsid w:val="00D26961"/>
    <w:rsid w:val="00D70A8F"/>
    <w:rsid w:val="00D85A8C"/>
    <w:rsid w:val="00D90A4A"/>
    <w:rsid w:val="00D9454D"/>
    <w:rsid w:val="00DA3E56"/>
    <w:rsid w:val="00DA5339"/>
    <w:rsid w:val="00DB78CD"/>
    <w:rsid w:val="00DC7470"/>
    <w:rsid w:val="00DD2FB3"/>
    <w:rsid w:val="00DD607A"/>
    <w:rsid w:val="00DF585F"/>
    <w:rsid w:val="00DF5C31"/>
    <w:rsid w:val="00DF7048"/>
    <w:rsid w:val="00E04E92"/>
    <w:rsid w:val="00E10880"/>
    <w:rsid w:val="00E12521"/>
    <w:rsid w:val="00E17C77"/>
    <w:rsid w:val="00E240C9"/>
    <w:rsid w:val="00E2560E"/>
    <w:rsid w:val="00E26E8F"/>
    <w:rsid w:val="00E614E7"/>
    <w:rsid w:val="00E62544"/>
    <w:rsid w:val="00E741E2"/>
    <w:rsid w:val="00E742FF"/>
    <w:rsid w:val="00E77089"/>
    <w:rsid w:val="00E869B8"/>
    <w:rsid w:val="00EA1E63"/>
    <w:rsid w:val="00EA3743"/>
    <w:rsid w:val="00EB3B85"/>
    <w:rsid w:val="00ED7D35"/>
    <w:rsid w:val="00EE1B23"/>
    <w:rsid w:val="00F00086"/>
    <w:rsid w:val="00F00984"/>
    <w:rsid w:val="00F24D25"/>
    <w:rsid w:val="00F373BC"/>
    <w:rsid w:val="00F378CE"/>
    <w:rsid w:val="00F37A67"/>
    <w:rsid w:val="00F80065"/>
    <w:rsid w:val="00FA2A94"/>
    <w:rsid w:val="00FA6D4A"/>
    <w:rsid w:val="00FB2DDD"/>
    <w:rsid w:val="00FB5B9A"/>
    <w:rsid w:val="00FD2137"/>
    <w:rsid w:val="00FD3F61"/>
    <w:rsid w:val="00FD597D"/>
    <w:rsid w:val="00FE6FC5"/>
    <w:rsid w:val="00FF3178"/>
    <w:rsid w:val="00FF411B"/>
    <w:rsid w:val="00FF684B"/>
    <w:rsid w:val="012164A0"/>
    <w:rsid w:val="012B41E4"/>
    <w:rsid w:val="015317B6"/>
    <w:rsid w:val="01553A36"/>
    <w:rsid w:val="01570494"/>
    <w:rsid w:val="01605EE2"/>
    <w:rsid w:val="01CE67F4"/>
    <w:rsid w:val="01F23F2A"/>
    <w:rsid w:val="02261622"/>
    <w:rsid w:val="028202F0"/>
    <w:rsid w:val="02CF4BDA"/>
    <w:rsid w:val="02D17124"/>
    <w:rsid w:val="033D2A56"/>
    <w:rsid w:val="03413BE1"/>
    <w:rsid w:val="035B717A"/>
    <w:rsid w:val="03994DA7"/>
    <w:rsid w:val="03D22E33"/>
    <w:rsid w:val="03D625E6"/>
    <w:rsid w:val="040D2AA0"/>
    <w:rsid w:val="04185982"/>
    <w:rsid w:val="04312E68"/>
    <w:rsid w:val="043178A8"/>
    <w:rsid w:val="043C6642"/>
    <w:rsid w:val="04450098"/>
    <w:rsid w:val="04821C4C"/>
    <w:rsid w:val="04A52D5E"/>
    <w:rsid w:val="04B9384D"/>
    <w:rsid w:val="04FB688D"/>
    <w:rsid w:val="053036E5"/>
    <w:rsid w:val="05321746"/>
    <w:rsid w:val="054E6430"/>
    <w:rsid w:val="05625C26"/>
    <w:rsid w:val="057B238D"/>
    <w:rsid w:val="05922A16"/>
    <w:rsid w:val="05D90A0C"/>
    <w:rsid w:val="060671F9"/>
    <w:rsid w:val="062B0569"/>
    <w:rsid w:val="064A5EDE"/>
    <w:rsid w:val="0654681C"/>
    <w:rsid w:val="069C4950"/>
    <w:rsid w:val="06E22BD9"/>
    <w:rsid w:val="07813BEA"/>
    <w:rsid w:val="078B6A63"/>
    <w:rsid w:val="079B1188"/>
    <w:rsid w:val="07AF6AAA"/>
    <w:rsid w:val="0803017B"/>
    <w:rsid w:val="08083955"/>
    <w:rsid w:val="08BF1355"/>
    <w:rsid w:val="08C11C57"/>
    <w:rsid w:val="08EB3893"/>
    <w:rsid w:val="094C3718"/>
    <w:rsid w:val="096164AA"/>
    <w:rsid w:val="097A7AD1"/>
    <w:rsid w:val="099A78CF"/>
    <w:rsid w:val="09A3701B"/>
    <w:rsid w:val="09D1046B"/>
    <w:rsid w:val="09E119A2"/>
    <w:rsid w:val="0A5A37E1"/>
    <w:rsid w:val="0A657D9F"/>
    <w:rsid w:val="0A717402"/>
    <w:rsid w:val="0A73289C"/>
    <w:rsid w:val="0A892E08"/>
    <w:rsid w:val="0AB31B64"/>
    <w:rsid w:val="0AE8367C"/>
    <w:rsid w:val="0B244052"/>
    <w:rsid w:val="0B6F2693"/>
    <w:rsid w:val="0BB87D63"/>
    <w:rsid w:val="0BD23D81"/>
    <w:rsid w:val="0BDB2A1C"/>
    <w:rsid w:val="0BEA628D"/>
    <w:rsid w:val="0BF145E8"/>
    <w:rsid w:val="0C6032AE"/>
    <w:rsid w:val="0C8E29D6"/>
    <w:rsid w:val="0C8F7A87"/>
    <w:rsid w:val="0C995D7A"/>
    <w:rsid w:val="0CAB4205"/>
    <w:rsid w:val="0CBA3529"/>
    <w:rsid w:val="0CC55409"/>
    <w:rsid w:val="0CE13029"/>
    <w:rsid w:val="0CF4170E"/>
    <w:rsid w:val="0D07099E"/>
    <w:rsid w:val="0D70169F"/>
    <w:rsid w:val="0D924734"/>
    <w:rsid w:val="0DD81515"/>
    <w:rsid w:val="0DFC7D61"/>
    <w:rsid w:val="0E057DF8"/>
    <w:rsid w:val="0E06571C"/>
    <w:rsid w:val="0E341388"/>
    <w:rsid w:val="0E3766AE"/>
    <w:rsid w:val="0E3C3F88"/>
    <w:rsid w:val="0E582A9F"/>
    <w:rsid w:val="0E7425F0"/>
    <w:rsid w:val="0E8233EC"/>
    <w:rsid w:val="0E8954B3"/>
    <w:rsid w:val="0ED062C0"/>
    <w:rsid w:val="0F0B4808"/>
    <w:rsid w:val="0F183748"/>
    <w:rsid w:val="0F4278A1"/>
    <w:rsid w:val="0F5830A6"/>
    <w:rsid w:val="0F7C6B24"/>
    <w:rsid w:val="0FD60930"/>
    <w:rsid w:val="10083E9B"/>
    <w:rsid w:val="109D16D1"/>
    <w:rsid w:val="10B90B5B"/>
    <w:rsid w:val="10BB2A42"/>
    <w:rsid w:val="10CB5AD1"/>
    <w:rsid w:val="10DF1D3E"/>
    <w:rsid w:val="10E703CB"/>
    <w:rsid w:val="11390855"/>
    <w:rsid w:val="115B4F82"/>
    <w:rsid w:val="11913095"/>
    <w:rsid w:val="11957B9C"/>
    <w:rsid w:val="11963BD2"/>
    <w:rsid w:val="11A11AE5"/>
    <w:rsid w:val="11D968CE"/>
    <w:rsid w:val="1208533D"/>
    <w:rsid w:val="120D6068"/>
    <w:rsid w:val="12241DA6"/>
    <w:rsid w:val="12C33C44"/>
    <w:rsid w:val="12C7219B"/>
    <w:rsid w:val="1356441F"/>
    <w:rsid w:val="13873278"/>
    <w:rsid w:val="138D28D6"/>
    <w:rsid w:val="139A32B7"/>
    <w:rsid w:val="13C505FF"/>
    <w:rsid w:val="13EE2F46"/>
    <w:rsid w:val="143B531E"/>
    <w:rsid w:val="14492156"/>
    <w:rsid w:val="146C1347"/>
    <w:rsid w:val="14793F95"/>
    <w:rsid w:val="149104E8"/>
    <w:rsid w:val="14D54D74"/>
    <w:rsid w:val="1506011C"/>
    <w:rsid w:val="15683B42"/>
    <w:rsid w:val="157842C9"/>
    <w:rsid w:val="15807649"/>
    <w:rsid w:val="158E25ED"/>
    <w:rsid w:val="15947676"/>
    <w:rsid w:val="15A72795"/>
    <w:rsid w:val="15D456A0"/>
    <w:rsid w:val="15F87200"/>
    <w:rsid w:val="15FE2248"/>
    <w:rsid w:val="16182E0A"/>
    <w:rsid w:val="165677D9"/>
    <w:rsid w:val="167B388D"/>
    <w:rsid w:val="16D9398F"/>
    <w:rsid w:val="170422D1"/>
    <w:rsid w:val="1708634D"/>
    <w:rsid w:val="172E1B5E"/>
    <w:rsid w:val="17371389"/>
    <w:rsid w:val="17546ADB"/>
    <w:rsid w:val="175D0414"/>
    <w:rsid w:val="17703AFD"/>
    <w:rsid w:val="179C5FBA"/>
    <w:rsid w:val="17C526BC"/>
    <w:rsid w:val="1808235E"/>
    <w:rsid w:val="18246B6B"/>
    <w:rsid w:val="18271D02"/>
    <w:rsid w:val="184A5790"/>
    <w:rsid w:val="184C2CC6"/>
    <w:rsid w:val="1889101E"/>
    <w:rsid w:val="188C0BE3"/>
    <w:rsid w:val="18976E60"/>
    <w:rsid w:val="18BA187B"/>
    <w:rsid w:val="18BE0F2E"/>
    <w:rsid w:val="19343EF6"/>
    <w:rsid w:val="194E0330"/>
    <w:rsid w:val="194F4C6F"/>
    <w:rsid w:val="195908C4"/>
    <w:rsid w:val="197054A5"/>
    <w:rsid w:val="198620CE"/>
    <w:rsid w:val="19A65F68"/>
    <w:rsid w:val="19D83E14"/>
    <w:rsid w:val="1A701A15"/>
    <w:rsid w:val="1AA537A2"/>
    <w:rsid w:val="1AAC1EB2"/>
    <w:rsid w:val="1AE24529"/>
    <w:rsid w:val="1B1D3D2D"/>
    <w:rsid w:val="1B604DF7"/>
    <w:rsid w:val="1B661710"/>
    <w:rsid w:val="1B9E64F2"/>
    <w:rsid w:val="1C1F0542"/>
    <w:rsid w:val="1C2D3E4A"/>
    <w:rsid w:val="1C426950"/>
    <w:rsid w:val="1C4765A8"/>
    <w:rsid w:val="1C546029"/>
    <w:rsid w:val="1C6901B1"/>
    <w:rsid w:val="1CAD60DF"/>
    <w:rsid w:val="1CC45DEB"/>
    <w:rsid w:val="1D337359"/>
    <w:rsid w:val="1D380D02"/>
    <w:rsid w:val="1D4467AC"/>
    <w:rsid w:val="1D497547"/>
    <w:rsid w:val="1DCB19EE"/>
    <w:rsid w:val="1DD5706C"/>
    <w:rsid w:val="1DE31F6B"/>
    <w:rsid w:val="1DF33385"/>
    <w:rsid w:val="1E223A8B"/>
    <w:rsid w:val="1E2D620F"/>
    <w:rsid w:val="1E410E9D"/>
    <w:rsid w:val="1E6D4690"/>
    <w:rsid w:val="1ECC60AF"/>
    <w:rsid w:val="1ED63B46"/>
    <w:rsid w:val="1EE76CC2"/>
    <w:rsid w:val="1F5C043F"/>
    <w:rsid w:val="1F87632D"/>
    <w:rsid w:val="1FA02C62"/>
    <w:rsid w:val="1FC22FC0"/>
    <w:rsid w:val="1FD95B8D"/>
    <w:rsid w:val="1FDE651D"/>
    <w:rsid w:val="1FFB0277"/>
    <w:rsid w:val="20005D1A"/>
    <w:rsid w:val="202872CE"/>
    <w:rsid w:val="20382911"/>
    <w:rsid w:val="2056239C"/>
    <w:rsid w:val="207E643B"/>
    <w:rsid w:val="208E5198"/>
    <w:rsid w:val="20AF5EEA"/>
    <w:rsid w:val="20B32D1B"/>
    <w:rsid w:val="20B946E0"/>
    <w:rsid w:val="20D41B2E"/>
    <w:rsid w:val="20F07092"/>
    <w:rsid w:val="211227F5"/>
    <w:rsid w:val="2122049F"/>
    <w:rsid w:val="2145226F"/>
    <w:rsid w:val="21766768"/>
    <w:rsid w:val="218602AF"/>
    <w:rsid w:val="21DF046D"/>
    <w:rsid w:val="21F8071D"/>
    <w:rsid w:val="22156E7A"/>
    <w:rsid w:val="226674C2"/>
    <w:rsid w:val="22762EC1"/>
    <w:rsid w:val="22B508AF"/>
    <w:rsid w:val="22FE3C0B"/>
    <w:rsid w:val="232775E6"/>
    <w:rsid w:val="238258EA"/>
    <w:rsid w:val="23B96968"/>
    <w:rsid w:val="23C54C80"/>
    <w:rsid w:val="24001E9D"/>
    <w:rsid w:val="241F76FC"/>
    <w:rsid w:val="245615A0"/>
    <w:rsid w:val="24914773"/>
    <w:rsid w:val="24E62C82"/>
    <w:rsid w:val="24FB61C4"/>
    <w:rsid w:val="254D53C2"/>
    <w:rsid w:val="255054BA"/>
    <w:rsid w:val="257F6278"/>
    <w:rsid w:val="25A869D6"/>
    <w:rsid w:val="26742D34"/>
    <w:rsid w:val="26981B61"/>
    <w:rsid w:val="26A37EF2"/>
    <w:rsid w:val="27127660"/>
    <w:rsid w:val="272A0371"/>
    <w:rsid w:val="2772537F"/>
    <w:rsid w:val="277A46D2"/>
    <w:rsid w:val="2788129E"/>
    <w:rsid w:val="27BE1344"/>
    <w:rsid w:val="27E704A8"/>
    <w:rsid w:val="283B4790"/>
    <w:rsid w:val="284550A0"/>
    <w:rsid w:val="2859091A"/>
    <w:rsid w:val="287176A3"/>
    <w:rsid w:val="2884331E"/>
    <w:rsid w:val="28A453F4"/>
    <w:rsid w:val="28BB411C"/>
    <w:rsid w:val="28E15A83"/>
    <w:rsid w:val="28E95FEC"/>
    <w:rsid w:val="28FE6705"/>
    <w:rsid w:val="29652300"/>
    <w:rsid w:val="29957A6A"/>
    <w:rsid w:val="299856B9"/>
    <w:rsid w:val="29D32128"/>
    <w:rsid w:val="29E5509C"/>
    <w:rsid w:val="2A6D7F28"/>
    <w:rsid w:val="2ABD26F5"/>
    <w:rsid w:val="2ACC5E2B"/>
    <w:rsid w:val="2AE758BA"/>
    <w:rsid w:val="2B2B5DBF"/>
    <w:rsid w:val="2B3A0B91"/>
    <w:rsid w:val="2B4D1C5C"/>
    <w:rsid w:val="2B5F3FFC"/>
    <w:rsid w:val="2BDB42F2"/>
    <w:rsid w:val="2BDF4485"/>
    <w:rsid w:val="2BE1122A"/>
    <w:rsid w:val="2BE5684F"/>
    <w:rsid w:val="2BFE3367"/>
    <w:rsid w:val="2C084E07"/>
    <w:rsid w:val="2C3A44DA"/>
    <w:rsid w:val="2C557F84"/>
    <w:rsid w:val="2C6538E6"/>
    <w:rsid w:val="2D081B41"/>
    <w:rsid w:val="2D324DFC"/>
    <w:rsid w:val="2D376F96"/>
    <w:rsid w:val="2D4016A6"/>
    <w:rsid w:val="2D416E01"/>
    <w:rsid w:val="2D9D3F9F"/>
    <w:rsid w:val="2DB12BFF"/>
    <w:rsid w:val="2DD85915"/>
    <w:rsid w:val="2DF00767"/>
    <w:rsid w:val="2E450E84"/>
    <w:rsid w:val="2E591542"/>
    <w:rsid w:val="2E6F2476"/>
    <w:rsid w:val="2E897D86"/>
    <w:rsid w:val="2EA14652"/>
    <w:rsid w:val="2EEC6788"/>
    <w:rsid w:val="2F122F12"/>
    <w:rsid w:val="2F1A0789"/>
    <w:rsid w:val="2F460F56"/>
    <w:rsid w:val="2F4A11E0"/>
    <w:rsid w:val="2F6B372D"/>
    <w:rsid w:val="2FA239BE"/>
    <w:rsid w:val="300A77B4"/>
    <w:rsid w:val="30974B52"/>
    <w:rsid w:val="30BE2847"/>
    <w:rsid w:val="310A5B94"/>
    <w:rsid w:val="312E2402"/>
    <w:rsid w:val="31AB4D5A"/>
    <w:rsid w:val="31B74303"/>
    <w:rsid w:val="31CD24DF"/>
    <w:rsid w:val="3241401D"/>
    <w:rsid w:val="32481A0E"/>
    <w:rsid w:val="325E5714"/>
    <w:rsid w:val="32895019"/>
    <w:rsid w:val="329E19A2"/>
    <w:rsid w:val="32A44D62"/>
    <w:rsid w:val="32B826E0"/>
    <w:rsid w:val="333764D1"/>
    <w:rsid w:val="33653119"/>
    <w:rsid w:val="341206D3"/>
    <w:rsid w:val="34210119"/>
    <w:rsid w:val="342D144A"/>
    <w:rsid w:val="343238D1"/>
    <w:rsid w:val="3439473C"/>
    <w:rsid w:val="343D3FD2"/>
    <w:rsid w:val="34941C9D"/>
    <w:rsid w:val="34FF32C9"/>
    <w:rsid w:val="35091883"/>
    <w:rsid w:val="350E5A19"/>
    <w:rsid w:val="354B080B"/>
    <w:rsid w:val="35A01BFD"/>
    <w:rsid w:val="35AF6A99"/>
    <w:rsid w:val="35AF7FB4"/>
    <w:rsid w:val="35B77304"/>
    <w:rsid w:val="36226AD0"/>
    <w:rsid w:val="364A66CE"/>
    <w:rsid w:val="365336AB"/>
    <w:rsid w:val="36575BE2"/>
    <w:rsid w:val="3667045E"/>
    <w:rsid w:val="36C25770"/>
    <w:rsid w:val="371401A8"/>
    <w:rsid w:val="37604A57"/>
    <w:rsid w:val="37A421DA"/>
    <w:rsid w:val="37D11758"/>
    <w:rsid w:val="37D551BC"/>
    <w:rsid w:val="38072F6B"/>
    <w:rsid w:val="38170483"/>
    <w:rsid w:val="38412595"/>
    <w:rsid w:val="38545018"/>
    <w:rsid w:val="38922C43"/>
    <w:rsid w:val="38B96A79"/>
    <w:rsid w:val="38D00895"/>
    <w:rsid w:val="38E76A9C"/>
    <w:rsid w:val="39214C45"/>
    <w:rsid w:val="3931588F"/>
    <w:rsid w:val="39520404"/>
    <w:rsid w:val="39634705"/>
    <w:rsid w:val="3A0E03CB"/>
    <w:rsid w:val="3A301DED"/>
    <w:rsid w:val="3A3E4F6F"/>
    <w:rsid w:val="3A4B10A1"/>
    <w:rsid w:val="3A716769"/>
    <w:rsid w:val="3AEB2329"/>
    <w:rsid w:val="3AF34D63"/>
    <w:rsid w:val="3B246909"/>
    <w:rsid w:val="3B5A55C5"/>
    <w:rsid w:val="3B723F27"/>
    <w:rsid w:val="3BAB2075"/>
    <w:rsid w:val="3BB31E3E"/>
    <w:rsid w:val="3BBF5144"/>
    <w:rsid w:val="3BF666C0"/>
    <w:rsid w:val="3C203E80"/>
    <w:rsid w:val="3C8B16E3"/>
    <w:rsid w:val="3CDF753E"/>
    <w:rsid w:val="3D1971BF"/>
    <w:rsid w:val="3D523EA7"/>
    <w:rsid w:val="3D5D5DCB"/>
    <w:rsid w:val="3D716785"/>
    <w:rsid w:val="3D7F6679"/>
    <w:rsid w:val="3DE91A97"/>
    <w:rsid w:val="3DEB1675"/>
    <w:rsid w:val="3E6109A4"/>
    <w:rsid w:val="3E7E2C6C"/>
    <w:rsid w:val="3E805D41"/>
    <w:rsid w:val="3E9277B1"/>
    <w:rsid w:val="3EC3264A"/>
    <w:rsid w:val="3EE141C8"/>
    <w:rsid w:val="3F0A73E6"/>
    <w:rsid w:val="3F1823D8"/>
    <w:rsid w:val="3F2C6F9F"/>
    <w:rsid w:val="3F3A7536"/>
    <w:rsid w:val="3F8714CB"/>
    <w:rsid w:val="3F893FA9"/>
    <w:rsid w:val="3FAD2BB6"/>
    <w:rsid w:val="3FD14A94"/>
    <w:rsid w:val="401269C1"/>
    <w:rsid w:val="401C40D8"/>
    <w:rsid w:val="40255E31"/>
    <w:rsid w:val="404A0D49"/>
    <w:rsid w:val="407400B1"/>
    <w:rsid w:val="407671D0"/>
    <w:rsid w:val="408A5B06"/>
    <w:rsid w:val="40EE15E1"/>
    <w:rsid w:val="40F91680"/>
    <w:rsid w:val="41943DE7"/>
    <w:rsid w:val="41A2574B"/>
    <w:rsid w:val="41B67932"/>
    <w:rsid w:val="41BA7839"/>
    <w:rsid w:val="41BF0272"/>
    <w:rsid w:val="41EE3A38"/>
    <w:rsid w:val="42DC35FB"/>
    <w:rsid w:val="42DD500A"/>
    <w:rsid w:val="43297526"/>
    <w:rsid w:val="43655713"/>
    <w:rsid w:val="439A2524"/>
    <w:rsid w:val="43D111E7"/>
    <w:rsid w:val="43E23901"/>
    <w:rsid w:val="43EF76BD"/>
    <w:rsid w:val="4416012A"/>
    <w:rsid w:val="44297836"/>
    <w:rsid w:val="444658D6"/>
    <w:rsid w:val="44C61B90"/>
    <w:rsid w:val="450128BD"/>
    <w:rsid w:val="45397211"/>
    <w:rsid w:val="45585A18"/>
    <w:rsid w:val="457E68AD"/>
    <w:rsid w:val="45AA6CD7"/>
    <w:rsid w:val="45BA5568"/>
    <w:rsid w:val="45F157BC"/>
    <w:rsid w:val="45F732CE"/>
    <w:rsid w:val="46A10236"/>
    <w:rsid w:val="46B01F4B"/>
    <w:rsid w:val="46D35ECA"/>
    <w:rsid w:val="472A3B1C"/>
    <w:rsid w:val="47430D13"/>
    <w:rsid w:val="47500015"/>
    <w:rsid w:val="476067EB"/>
    <w:rsid w:val="477914D1"/>
    <w:rsid w:val="47850A45"/>
    <w:rsid w:val="478F2545"/>
    <w:rsid w:val="47910384"/>
    <w:rsid w:val="4791696C"/>
    <w:rsid w:val="479C3B4D"/>
    <w:rsid w:val="479E57A2"/>
    <w:rsid w:val="47C8193C"/>
    <w:rsid w:val="47E42A42"/>
    <w:rsid w:val="47E44A14"/>
    <w:rsid w:val="47F32289"/>
    <w:rsid w:val="47F910B1"/>
    <w:rsid w:val="48021260"/>
    <w:rsid w:val="483E7320"/>
    <w:rsid w:val="487D519F"/>
    <w:rsid w:val="488644B5"/>
    <w:rsid w:val="489F12B3"/>
    <w:rsid w:val="48DB03B6"/>
    <w:rsid w:val="48E158AE"/>
    <w:rsid w:val="48F44837"/>
    <w:rsid w:val="494F5022"/>
    <w:rsid w:val="4965495B"/>
    <w:rsid w:val="49871979"/>
    <w:rsid w:val="49BE7CDE"/>
    <w:rsid w:val="4A4A20CB"/>
    <w:rsid w:val="4A4D52E0"/>
    <w:rsid w:val="4A717981"/>
    <w:rsid w:val="4AA11648"/>
    <w:rsid w:val="4ABF7C19"/>
    <w:rsid w:val="4ACF3306"/>
    <w:rsid w:val="4ADF0312"/>
    <w:rsid w:val="4B736C89"/>
    <w:rsid w:val="4B783080"/>
    <w:rsid w:val="4BA97779"/>
    <w:rsid w:val="4BB275BC"/>
    <w:rsid w:val="4BEB5651"/>
    <w:rsid w:val="4C0B60B5"/>
    <w:rsid w:val="4C164CFA"/>
    <w:rsid w:val="4C410ED1"/>
    <w:rsid w:val="4C6A6F66"/>
    <w:rsid w:val="4C7B6DB7"/>
    <w:rsid w:val="4C9961C0"/>
    <w:rsid w:val="4CD32FA2"/>
    <w:rsid w:val="4CE14AD2"/>
    <w:rsid w:val="4D067963"/>
    <w:rsid w:val="4D295DAF"/>
    <w:rsid w:val="4D973649"/>
    <w:rsid w:val="4D9D50DB"/>
    <w:rsid w:val="4DC558BC"/>
    <w:rsid w:val="4DDA5692"/>
    <w:rsid w:val="4E001FBC"/>
    <w:rsid w:val="4E05041D"/>
    <w:rsid w:val="4E13753E"/>
    <w:rsid w:val="4E227D14"/>
    <w:rsid w:val="4E4327BA"/>
    <w:rsid w:val="4E4809D0"/>
    <w:rsid w:val="4E4B4668"/>
    <w:rsid w:val="4E591F5C"/>
    <w:rsid w:val="4E6D653B"/>
    <w:rsid w:val="4EAB3B6C"/>
    <w:rsid w:val="4EAE47A7"/>
    <w:rsid w:val="4EAE4BF3"/>
    <w:rsid w:val="4EB844F9"/>
    <w:rsid w:val="4EE06B39"/>
    <w:rsid w:val="4EF67AE3"/>
    <w:rsid w:val="4F1F635F"/>
    <w:rsid w:val="4FB43525"/>
    <w:rsid w:val="4FEA1CE2"/>
    <w:rsid w:val="5027528D"/>
    <w:rsid w:val="50345D3F"/>
    <w:rsid w:val="50532444"/>
    <w:rsid w:val="505950BF"/>
    <w:rsid w:val="50E410A7"/>
    <w:rsid w:val="511C59E0"/>
    <w:rsid w:val="51367904"/>
    <w:rsid w:val="51707B6C"/>
    <w:rsid w:val="517D480E"/>
    <w:rsid w:val="51A26DF0"/>
    <w:rsid w:val="51B448AE"/>
    <w:rsid w:val="52164F15"/>
    <w:rsid w:val="52310F57"/>
    <w:rsid w:val="525948FD"/>
    <w:rsid w:val="52726444"/>
    <w:rsid w:val="528F3E93"/>
    <w:rsid w:val="52A044F4"/>
    <w:rsid w:val="52D31BAA"/>
    <w:rsid w:val="52FA34BE"/>
    <w:rsid w:val="531135F1"/>
    <w:rsid w:val="53544D50"/>
    <w:rsid w:val="539F3F37"/>
    <w:rsid w:val="53EC6E3E"/>
    <w:rsid w:val="54302B8E"/>
    <w:rsid w:val="54365967"/>
    <w:rsid w:val="54506361"/>
    <w:rsid w:val="54A4317B"/>
    <w:rsid w:val="54B8792E"/>
    <w:rsid w:val="54DC2048"/>
    <w:rsid w:val="54F14E86"/>
    <w:rsid w:val="5500720B"/>
    <w:rsid w:val="5536732C"/>
    <w:rsid w:val="55A10345"/>
    <w:rsid w:val="55ED5899"/>
    <w:rsid w:val="55F76B1C"/>
    <w:rsid w:val="56013273"/>
    <w:rsid w:val="561F6E48"/>
    <w:rsid w:val="564A3785"/>
    <w:rsid w:val="564F3F0F"/>
    <w:rsid w:val="565643EB"/>
    <w:rsid w:val="565F30DA"/>
    <w:rsid w:val="568A5206"/>
    <w:rsid w:val="56AA1789"/>
    <w:rsid w:val="56AB3C81"/>
    <w:rsid w:val="570670D6"/>
    <w:rsid w:val="5716066D"/>
    <w:rsid w:val="586650CB"/>
    <w:rsid w:val="58A673C6"/>
    <w:rsid w:val="58C21006"/>
    <w:rsid w:val="58C358D1"/>
    <w:rsid w:val="58DD47E9"/>
    <w:rsid w:val="58F962D5"/>
    <w:rsid w:val="591C0116"/>
    <w:rsid w:val="59451AF2"/>
    <w:rsid w:val="59535F7A"/>
    <w:rsid w:val="595B29E5"/>
    <w:rsid w:val="5973466D"/>
    <w:rsid w:val="598415B1"/>
    <w:rsid w:val="59C75B74"/>
    <w:rsid w:val="5A1631D9"/>
    <w:rsid w:val="5A1F1B8B"/>
    <w:rsid w:val="5A436C9A"/>
    <w:rsid w:val="5A470BD5"/>
    <w:rsid w:val="5A7C6DBF"/>
    <w:rsid w:val="5A8A054E"/>
    <w:rsid w:val="5AB57F1D"/>
    <w:rsid w:val="5AC05BF0"/>
    <w:rsid w:val="5AE71D4F"/>
    <w:rsid w:val="5B345835"/>
    <w:rsid w:val="5B824B8A"/>
    <w:rsid w:val="5C6F7EB5"/>
    <w:rsid w:val="5CC10BB9"/>
    <w:rsid w:val="5D067251"/>
    <w:rsid w:val="5D7519BE"/>
    <w:rsid w:val="5D967917"/>
    <w:rsid w:val="5DE40117"/>
    <w:rsid w:val="5E0C5358"/>
    <w:rsid w:val="5E1C7AA4"/>
    <w:rsid w:val="5E3602E2"/>
    <w:rsid w:val="5E4976C9"/>
    <w:rsid w:val="5E5F6B78"/>
    <w:rsid w:val="5EBA54CB"/>
    <w:rsid w:val="5EC9169E"/>
    <w:rsid w:val="5EDD2484"/>
    <w:rsid w:val="5EED3303"/>
    <w:rsid w:val="5F352F53"/>
    <w:rsid w:val="5F4948D0"/>
    <w:rsid w:val="5F7922D4"/>
    <w:rsid w:val="5F7F1013"/>
    <w:rsid w:val="5FAC295D"/>
    <w:rsid w:val="5FB4079A"/>
    <w:rsid w:val="5FBA705A"/>
    <w:rsid w:val="5FF836F6"/>
    <w:rsid w:val="606174C8"/>
    <w:rsid w:val="60A94346"/>
    <w:rsid w:val="61036B45"/>
    <w:rsid w:val="61332BAC"/>
    <w:rsid w:val="613C6FF5"/>
    <w:rsid w:val="613D3971"/>
    <w:rsid w:val="61621419"/>
    <w:rsid w:val="61C977C8"/>
    <w:rsid w:val="61D17068"/>
    <w:rsid w:val="61FA0249"/>
    <w:rsid w:val="620B3947"/>
    <w:rsid w:val="6243258E"/>
    <w:rsid w:val="624B0BD0"/>
    <w:rsid w:val="627207EA"/>
    <w:rsid w:val="628A3AB4"/>
    <w:rsid w:val="62957C9B"/>
    <w:rsid w:val="62A66778"/>
    <w:rsid w:val="62DE5BC0"/>
    <w:rsid w:val="63153836"/>
    <w:rsid w:val="631C646C"/>
    <w:rsid w:val="636F3885"/>
    <w:rsid w:val="637454D9"/>
    <w:rsid w:val="64362692"/>
    <w:rsid w:val="643B2792"/>
    <w:rsid w:val="645A0770"/>
    <w:rsid w:val="645C7985"/>
    <w:rsid w:val="652E5830"/>
    <w:rsid w:val="653E61EA"/>
    <w:rsid w:val="654D05BF"/>
    <w:rsid w:val="654D14A9"/>
    <w:rsid w:val="659A7066"/>
    <w:rsid w:val="65E273B9"/>
    <w:rsid w:val="65F95D7A"/>
    <w:rsid w:val="664F20DE"/>
    <w:rsid w:val="66634354"/>
    <w:rsid w:val="66D01339"/>
    <w:rsid w:val="66E773DB"/>
    <w:rsid w:val="674D6E07"/>
    <w:rsid w:val="6755229C"/>
    <w:rsid w:val="6786274D"/>
    <w:rsid w:val="67D75514"/>
    <w:rsid w:val="67E74B0A"/>
    <w:rsid w:val="680126E7"/>
    <w:rsid w:val="68257B37"/>
    <w:rsid w:val="687142E8"/>
    <w:rsid w:val="688E2C0E"/>
    <w:rsid w:val="68A1486D"/>
    <w:rsid w:val="68BF1E69"/>
    <w:rsid w:val="68EA7E48"/>
    <w:rsid w:val="6904444F"/>
    <w:rsid w:val="69432E10"/>
    <w:rsid w:val="69DF087B"/>
    <w:rsid w:val="69F07101"/>
    <w:rsid w:val="6A204114"/>
    <w:rsid w:val="6A204A29"/>
    <w:rsid w:val="6A522630"/>
    <w:rsid w:val="6A626DD2"/>
    <w:rsid w:val="6AD36418"/>
    <w:rsid w:val="6AEE110F"/>
    <w:rsid w:val="6B000653"/>
    <w:rsid w:val="6B111E26"/>
    <w:rsid w:val="6B2C0D7D"/>
    <w:rsid w:val="6B2C5E93"/>
    <w:rsid w:val="6BDD483B"/>
    <w:rsid w:val="6BEC331A"/>
    <w:rsid w:val="6C026743"/>
    <w:rsid w:val="6C264FD3"/>
    <w:rsid w:val="6C5E3498"/>
    <w:rsid w:val="6CAC7B4C"/>
    <w:rsid w:val="6D0944D9"/>
    <w:rsid w:val="6D21534A"/>
    <w:rsid w:val="6D5A599F"/>
    <w:rsid w:val="6D816609"/>
    <w:rsid w:val="6DA44F4D"/>
    <w:rsid w:val="6DBB1944"/>
    <w:rsid w:val="6DC42AAA"/>
    <w:rsid w:val="6DCE61E3"/>
    <w:rsid w:val="6DCF7F51"/>
    <w:rsid w:val="6DD00817"/>
    <w:rsid w:val="6DDE4A0C"/>
    <w:rsid w:val="6E1C303F"/>
    <w:rsid w:val="6E203314"/>
    <w:rsid w:val="6E3553A2"/>
    <w:rsid w:val="6EAD331D"/>
    <w:rsid w:val="6F3916BB"/>
    <w:rsid w:val="6F5F44A6"/>
    <w:rsid w:val="6F5F5D55"/>
    <w:rsid w:val="6F735958"/>
    <w:rsid w:val="6F7D3A5A"/>
    <w:rsid w:val="70161CE7"/>
    <w:rsid w:val="70196878"/>
    <w:rsid w:val="702C6897"/>
    <w:rsid w:val="70547457"/>
    <w:rsid w:val="705E372B"/>
    <w:rsid w:val="70793414"/>
    <w:rsid w:val="70905977"/>
    <w:rsid w:val="70C7580B"/>
    <w:rsid w:val="70CD2FCE"/>
    <w:rsid w:val="70D36F5A"/>
    <w:rsid w:val="71567FDA"/>
    <w:rsid w:val="719227CF"/>
    <w:rsid w:val="71CA4AB4"/>
    <w:rsid w:val="72043925"/>
    <w:rsid w:val="721768CF"/>
    <w:rsid w:val="72534E9D"/>
    <w:rsid w:val="72790BEC"/>
    <w:rsid w:val="728C5C7C"/>
    <w:rsid w:val="72A704D5"/>
    <w:rsid w:val="72C436B6"/>
    <w:rsid w:val="72E35DFE"/>
    <w:rsid w:val="73392753"/>
    <w:rsid w:val="73425370"/>
    <w:rsid w:val="734D5FBF"/>
    <w:rsid w:val="7374595C"/>
    <w:rsid w:val="74161FB5"/>
    <w:rsid w:val="742A70FA"/>
    <w:rsid w:val="74510413"/>
    <w:rsid w:val="74645FCD"/>
    <w:rsid w:val="746639EF"/>
    <w:rsid w:val="74BD2EF8"/>
    <w:rsid w:val="74EA0C02"/>
    <w:rsid w:val="75170425"/>
    <w:rsid w:val="757805B2"/>
    <w:rsid w:val="757E3546"/>
    <w:rsid w:val="75B00123"/>
    <w:rsid w:val="75F83D9A"/>
    <w:rsid w:val="76A32641"/>
    <w:rsid w:val="76E3032C"/>
    <w:rsid w:val="770741B0"/>
    <w:rsid w:val="771073EB"/>
    <w:rsid w:val="772C692D"/>
    <w:rsid w:val="773B129A"/>
    <w:rsid w:val="776E5CBE"/>
    <w:rsid w:val="77AD2AD4"/>
    <w:rsid w:val="77D869E6"/>
    <w:rsid w:val="77DD1A4E"/>
    <w:rsid w:val="78040347"/>
    <w:rsid w:val="784464B8"/>
    <w:rsid w:val="787520A3"/>
    <w:rsid w:val="78786865"/>
    <w:rsid w:val="788A1325"/>
    <w:rsid w:val="78AE558D"/>
    <w:rsid w:val="78FC5B52"/>
    <w:rsid w:val="795F700D"/>
    <w:rsid w:val="79C92ED0"/>
    <w:rsid w:val="79E72B06"/>
    <w:rsid w:val="79F574D6"/>
    <w:rsid w:val="7A1F6282"/>
    <w:rsid w:val="7A925AF3"/>
    <w:rsid w:val="7AEF6DC1"/>
    <w:rsid w:val="7B031240"/>
    <w:rsid w:val="7B2D4A8F"/>
    <w:rsid w:val="7B2F0884"/>
    <w:rsid w:val="7B57305C"/>
    <w:rsid w:val="7B70519D"/>
    <w:rsid w:val="7B9878D5"/>
    <w:rsid w:val="7B9C0C20"/>
    <w:rsid w:val="7C0C2613"/>
    <w:rsid w:val="7C1127A0"/>
    <w:rsid w:val="7C245A07"/>
    <w:rsid w:val="7C4C6B71"/>
    <w:rsid w:val="7CA411CF"/>
    <w:rsid w:val="7D226B97"/>
    <w:rsid w:val="7D3F0D5A"/>
    <w:rsid w:val="7D7745E8"/>
    <w:rsid w:val="7D9A0352"/>
    <w:rsid w:val="7DA45EA2"/>
    <w:rsid w:val="7DBA2F32"/>
    <w:rsid w:val="7DDD618F"/>
    <w:rsid w:val="7DDE038D"/>
    <w:rsid w:val="7E196409"/>
    <w:rsid w:val="7E371D12"/>
    <w:rsid w:val="7E4670C6"/>
    <w:rsid w:val="7E616658"/>
    <w:rsid w:val="7EC953D2"/>
    <w:rsid w:val="7EE32BB4"/>
    <w:rsid w:val="7F602104"/>
    <w:rsid w:val="7FB36AAD"/>
    <w:rsid w:val="7FD73937"/>
    <w:rsid w:val="7FF62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iPriority="99" w:semiHidden="0" w:name="page number"/>
    <w:lsdException w:qFormat="1" w:unhideWhenUsed="0" w:uiPriority="0" w:semiHidden="0"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60" w:lineRule="exact"/>
      <w:ind w:firstLine="640" w:firstLineChars="200"/>
      <w:jc w:val="both"/>
    </w:pPr>
    <w:rPr>
      <w:rFonts w:ascii="FangSong_GB2312" w:hAnsi="FangSong_GB2312" w:eastAsia="FangSong_GB2312" w:cs="Times New Roman"/>
      <w:sz w:val="30"/>
      <w:lang w:val="en-US" w:eastAsia="zh-CN" w:bidi="ar-SA"/>
    </w:rPr>
  </w:style>
  <w:style w:type="paragraph" w:styleId="2">
    <w:name w:val="heading 1"/>
    <w:basedOn w:val="1"/>
    <w:next w:val="1"/>
    <w:qFormat/>
    <w:uiPriority w:val="9"/>
    <w:pPr>
      <w:keepNext/>
      <w:keepLines/>
      <w:numPr>
        <w:ilvl w:val="0"/>
        <w:numId w:val="1"/>
      </w:numPr>
      <w:ind w:firstLine="640"/>
      <w:outlineLvl w:val="0"/>
    </w:pPr>
    <w:rPr>
      <w:rFonts w:ascii="宋体" w:hAnsi="宋体" w:eastAsia="黑体"/>
      <w:bCs/>
      <w:kern w:val="44"/>
      <w:szCs w:val="24"/>
    </w:rPr>
  </w:style>
  <w:style w:type="paragraph" w:styleId="3">
    <w:name w:val="heading 2"/>
    <w:basedOn w:val="1"/>
    <w:next w:val="1"/>
    <w:qFormat/>
    <w:uiPriority w:val="0"/>
    <w:pPr>
      <w:keepNext/>
      <w:keepLines/>
      <w:numPr>
        <w:ilvl w:val="1"/>
        <w:numId w:val="2"/>
      </w:numPr>
      <w:tabs>
        <w:tab w:val="left" w:pos="576"/>
      </w:tabs>
      <w:ind w:firstLine="640"/>
      <w:outlineLvl w:val="1"/>
    </w:pPr>
    <w:rPr>
      <w:rFonts w:eastAsia="楷体"/>
      <w:b/>
      <w:bCs/>
      <w:szCs w:val="24"/>
    </w:rPr>
  </w:style>
  <w:style w:type="paragraph" w:styleId="4">
    <w:name w:val="heading 3"/>
    <w:basedOn w:val="1"/>
    <w:next w:val="1"/>
    <w:qFormat/>
    <w:uiPriority w:val="0"/>
    <w:pPr>
      <w:keepNext/>
      <w:keepLines/>
      <w:tabs>
        <w:tab w:val="left" w:pos="720"/>
      </w:tabs>
      <w:spacing w:before="260" w:after="260" w:line="360" w:lineRule="auto"/>
      <w:ind w:left="720" w:hanging="720"/>
      <w:contextualSpacing/>
      <w:outlineLvl w:val="2"/>
    </w:pPr>
    <w:rPr>
      <w:b/>
      <w:bCs/>
      <w:sz w:val="24"/>
      <w:szCs w:val="24"/>
    </w:rPr>
  </w:style>
  <w:style w:type="paragraph" w:styleId="5">
    <w:name w:val="heading 4"/>
    <w:basedOn w:val="1"/>
    <w:next w:val="1"/>
    <w:qFormat/>
    <w:uiPriority w:val="0"/>
    <w:pPr>
      <w:keepNext/>
      <w:keepLines/>
      <w:numPr>
        <w:ilvl w:val="3"/>
        <w:numId w:val="3"/>
      </w:numPr>
      <w:spacing w:before="260" w:after="260" w:line="360" w:lineRule="auto"/>
      <w:outlineLvl w:val="3"/>
    </w:pPr>
    <w:rPr>
      <w:b/>
      <w:bCs/>
      <w:sz w:val="24"/>
      <w:szCs w:val="28"/>
    </w:rPr>
  </w:style>
  <w:style w:type="paragraph" w:styleId="6">
    <w:name w:val="heading 5"/>
    <w:basedOn w:val="1"/>
    <w:next w:val="1"/>
    <w:qFormat/>
    <w:uiPriority w:val="0"/>
    <w:pPr>
      <w:keepNext/>
      <w:keepLines/>
      <w:numPr>
        <w:ilvl w:val="4"/>
        <w:numId w:val="3"/>
      </w:numPr>
      <w:spacing w:before="280" w:after="290" w:line="376" w:lineRule="auto"/>
      <w:outlineLvl w:val="4"/>
    </w:pPr>
    <w:rPr>
      <w:b/>
      <w:bCs/>
      <w:sz w:val="28"/>
      <w:szCs w:val="28"/>
    </w:rPr>
  </w:style>
  <w:style w:type="paragraph" w:styleId="7">
    <w:name w:val="heading 6"/>
    <w:basedOn w:val="1"/>
    <w:next w:val="1"/>
    <w:qFormat/>
    <w:uiPriority w:val="0"/>
    <w:pPr>
      <w:keepNext/>
      <w:keepLines/>
      <w:numPr>
        <w:ilvl w:val="5"/>
        <w:numId w:val="3"/>
      </w:numPr>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numPr>
        <w:ilvl w:val="6"/>
        <w:numId w:val="3"/>
      </w:numPr>
      <w:spacing w:before="240" w:after="64" w:line="320" w:lineRule="auto"/>
      <w:outlineLvl w:val="6"/>
    </w:pPr>
    <w:rPr>
      <w:b/>
      <w:bCs/>
      <w:sz w:val="24"/>
    </w:rPr>
  </w:style>
  <w:style w:type="paragraph" w:styleId="9">
    <w:name w:val="heading 8"/>
    <w:basedOn w:val="1"/>
    <w:next w:val="1"/>
    <w:qFormat/>
    <w:uiPriority w:val="0"/>
    <w:pPr>
      <w:keepNext/>
      <w:keepLines/>
      <w:numPr>
        <w:ilvl w:val="7"/>
        <w:numId w:val="3"/>
      </w:numPr>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numPr>
        <w:ilvl w:val="8"/>
        <w:numId w:val="3"/>
      </w:numPr>
      <w:spacing w:before="240" w:after="64" w:line="320" w:lineRule="auto"/>
      <w:outlineLvl w:val="8"/>
    </w:pPr>
    <w:rPr>
      <w:rFonts w:ascii="Arial" w:hAnsi="Arial" w:eastAsia="黑体"/>
      <w:szCs w:val="21"/>
    </w:rPr>
  </w:style>
  <w:style w:type="character" w:default="1" w:styleId="37">
    <w:name w:val="Default Paragraph Font"/>
    <w:unhideWhenUsed/>
    <w:uiPriority w:val="1"/>
  </w:style>
  <w:style w:type="table" w:default="1" w:styleId="45">
    <w:name w:val="Normal Table"/>
    <w:semiHidden/>
    <w:unhideWhenUsed/>
    <w:uiPriority w:val="99"/>
    <w:tblPr>
      <w:tblLayout w:type="fixed"/>
      <w:tblCellMar>
        <w:top w:w="0" w:type="dxa"/>
        <w:left w:w="108" w:type="dxa"/>
        <w:bottom w:w="0" w:type="dxa"/>
        <w:right w:w="108" w:type="dxa"/>
      </w:tblCellMar>
    </w:tblPr>
  </w:style>
  <w:style w:type="paragraph" w:styleId="11">
    <w:name w:val="annotation subject"/>
    <w:basedOn w:val="12"/>
    <w:next w:val="12"/>
    <w:link w:val="66"/>
    <w:unhideWhenUsed/>
    <w:qFormat/>
    <w:uiPriority w:val="99"/>
    <w:pPr>
      <w:jc w:val="left"/>
    </w:pPr>
    <w:rPr>
      <w:b/>
      <w:bCs/>
    </w:rPr>
  </w:style>
  <w:style w:type="paragraph" w:styleId="12">
    <w:name w:val="annotation text"/>
    <w:basedOn w:val="1"/>
    <w:link w:val="67"/>
    <w:qFormat/>
    <w:uiPriority w:val="0"/>
    <w:rPr>
      <w:rFonts w:ascii="Arial" w:hAnsi="Arial" w:eastAsia="宋体"/>
      <w:sz w:val="20"/>
    </w:rPr>
  </w:style>
  <w:style w:type="paragraph" w:styleId="13">
    <w:name w:val="toc 7"/>
    <w:basedOn w:val="1"/>
    <w:next w:val="1"/>
    <w:qFormat/>
    <w:uiPriority w:val="0"/>
    <w:pPr>
      <w:ind w:left="2520" w:leftChars="1200"/>
    </w:pPr>
  </w:style>
  <w:style w:type="paragraph" w:styleId="14">
    <w:name w:val="Body Text First Indent"/>
    <w:basedOn w:val="15"/>
    <w:qFormat/>
    <w:uiPriority w:val="0"/>
    <w:pPr>
      <w:widowControl w:val="0"/>
      <w:spacing w:after="120"/>
      <w:ind w:firstLine="420" w:firstLineChars="100"/>
      <w:jc w:val="both"/>
    </w:pPr>
    <w:rPr>
      <w:rFonts w:ascii="Times New Roman" w:hAnsi="Times New Roman"/>
      <w:kern w:val="2"/>
      <w:sz w:val="21"/>
      <w:szCs w:val="24"/>
    </w:rPr>
  </w:style>
  <w:style w:type="paragraph" w:styleId="15">
    <w:name w:val="Body Text"/>
    <w:basedOn w:val="1"/>
    <w:qFormat/>
    <w:uiPriority w:val="0"/>
    <w:pPr>
      <w:jc w:val="left"/>
    </w:pPr>
  </w:style>
  <w:style w:type="paragraph" w:styleId="16">
    <w:name w:val="caption"/>
    <w:basedOn w:val="1"/>
    <w:next w:val="1"/>
    <w:qFormat/>
    <w:uiPriority w:val="0"/>
    <w:pPr>
      <w:tabs>
        <w:tab w:val="left" w:pos="7258"/>
      </w:tabs>
      <w:spacing w:before="360"/>
    </w:pPr>
  </w:style>
  <w:style w:type="paragraph" w:styleId="17">
    <w:name w:val="Document Map"/>
    <w:basedOn w:val="1"/>
    <w:qFormat/>
    <w:uiPriority w:val="0"/>
    <w:pPr>
      <w:shd w:val="clear" w:color="auto" w:fill="000080"/>
    </w:pPr>
  </w:style>
  <w:style w:type="paragraph" w:styleId="18">
    <w:name w:val="Body Text Indent"/>
    <w:basedOn w:val="1"/>
    <w:qFormat/>
    <w:uiPriority w:val="0"/>
    <w:pPr>
      <w:ind w:left="354" w:hanging="354"/>
      <w:jc w:val="left"/>
    </w:pPr>
    <w:rPr>
      <w:lang w:val="en-GB"/>
    </w:rPr>
  </w:style>
  <w:style w:type="paragraph" w:styleId="19">
    <w:name w:val="toc 5"/>
    <w:basedOn w:val="1"/>
    <w:next w:val="1"/>
    <w:qFormat/>
    <w:uiPriority w:val="0"/>
    <w:pPr>
      <w:ind w:left="1680" w:leftChars="800"/>
    </w:pPr>
  </w:style>
  <w:style w:type="paragraph" w:styleId="20">
    <w:name w:val="toc 3"/>
    <w:basedOn w:val="1"/>
    <w:next w:val="1"/>
    <w:qFormat/>
    <w:uiPriority w:val="0"/>
    <w:pPr>
      <w:ind w:left="840" w:leftChars="400"/>
    </w:pPr>
  </w:style>
  <w:style w:type="paragraph" w:styleId="21">
    <w:name w:val="Plain Text"/>
    <w:basedOn w:val="1"/>
    <w:qFormat/>
    <w:uiPriority w:val="0"/>
  </w:style>
  <w:style w:type="paragraph" w:styleId="22">
    <w:name w:val="toc 8"/>
    <w:basedOn w:val="1"/>
    <w:next w:val="1"/>
    <w:qFormat/>
    <w:uiPriority w:val="0"/>
    <w:pPr>
      <w:ind w:left="2940" w:leftChars="1400"/>
    </w:pPr>
  </w:style>
  <w:style w:type="paragraph" w:styleId="23">
    <w:name w:val="Body Text Indent 2"/>
    <w:basedOn w:val="1"/>
    <w:qFormat/>
    <w:uiPriority w:val="0"/>
    <w:pPr>
      <w:ind w:left="709" w:hanging="709"/>
      <w:jc w:val="left"/>
    </w:pPr>
  </w:style>
  <w:style w:type="paragraph" w:styleId="24">
    <w:name w:val="Balloon Text"/>
    <w:basedOn w:val="1"/>
    <w:qFormat/>
    <w:uiPriority w:val="0"/>
    <w:rPr>
      <w:sz w:val="18"/>
      <w:szCs w:val="18"/>
    </w:rPr>
  </w:style>
  <w:style w:type="paragraph" w:styleId="25">
    <w:name w:val="footer"/>
    <w:basedOn w:val="1"/>
    <w:qFormat/>
    <w:uiPriority w:val="0"/>
    <w:pPr>
      <w:tabs>
        <w:tab w:val="center" w:pos="4153"/>
        <w:tab w:val="right" w:pos="8306"/>
      </w:tabs>
      <w:snapToGrid w:val="0"/>
      <w:jc w:val="left"/>
    </w:pPr>
    <w:rPr>
      <w:sz w:val="18"/>
      <w:szCs w:val="18"/>
    </w:rPr>
  </w:style>
  <w:style w:type="paragraph" w:styleId="2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7">
    <w:name w:val="toc 1"/>
    <w:basedOn w:val="1"/>
    <w:next w:val="1"/>
    <w:qFormat/>
    <w:uiPriority w:val="0"/>
  </w:style>
  <w:style w:type="paragraph" w:styleId="28">
    <w:name w:val="toc 4"/>
    <w:basedOn w:val="1"/>
    <w:next w:val="1"/>
    <w:qFormat/>
    <w:uiPriority w:val="0"/>
    <w:pPr>
      <w:ind w:left="1260" w:leftChars="600"/>
    </w:pPr>
  </w:style>
  <w:style w:type="paragraph" w:styleId="29">
    <w:name w:val="footnote text"/>
    <w:basedOn w:val="1"/>
    <w:qFormat/>
    <w:uiPriority w:val="0"/>
  </w:style>
  <w:style w:type="paragraph" w:styleId="30">
    <w:name w:val="toc 6"/>
    <w:basedOn w:val="1"/>
    <w:next w:val="1"/>
    <w:qFormat/>
    <w:uiPriority w:val="0"/>
    <w:pPr>
      <w:ind w:left="2100" w:leftChars="1000"/>
    </w:pPr>
  </w:style>
  <w:style w:type="paragraph" w:styleId="31">
    <w:name w:val="Body Text Indent 3"/>
    <w:basedOn w:val="1"/>
    <w:qFormat/>
    <w:uiPriority w:val="0"/>
    <w:pPr>
      <w:widowControl w:val="0"/>
      <w:ind w:left="720"/>
    </w:pPr>
    <w:rPr>
      <w:rFonts w:ascii="Times New Roman" w:hAnsi="Times New Roman"/>
      <w:kern w:val="2"/>
      <w:sz w:val="24"/>
    </w:rPr>
  </w:style>
  <w:style w:type="paragraph" w:styleId="32">
    <w:name w:val="table of figures"/>
    <w:basedOn w:val="1"/>
    <w:next w:val="1"/>
    <w:qFormat/>
    <w:uiPriority w:val="0"/>
    <w:pPr>
      <w:ind w:left="400" w:hanging="400"/>
    </w:pPr>
  </w:style>
  <w:style w:type="paragraph" w:styleId="33">
    <w:name w:val="toc 2"/>
    <w:basedOn w:val="1"/>
    <w:next w:val="1"/>
    <w:qFormat/>
    <w:uiPriority w:val="0"/>
    <w:pPr>
      <w:ind w:left="420" w:leftChars="200"/>
    </w:pPr>
  </w:style>
  <w:style w:type="paragraph" w:styleId="34">
    <w:name w:val="toc 9"/>
    <w:basedOn w:val="1"/>
    <w:next w:val="1"/>
    <w:qFormat/>
    <w:uiPriority w:val="0"/>
    <w:pPr>
      <w:ind w:left="3360" w:leftChars="1600"/>
    </w:pPr>
  </w:style>
  <w:style w:type="paragraph" w:styleId="35">
    <w:name w:val="Body Text 2"/>
    <w:basedOn w:val="1"/>
    <w:qFormat/>
    <w:uiPriority w:val="0"/>
    <w:rPr>
      <w:b/>
      <w:snapToGrid w:val="0"/>
      <w:color w:val="000000"/>
      <w:sz w:val="16"/>
      <w:lang w:eastAsia="de-DE"/>
    </w:rPr>
  </w:style>
  <w:style w:type="paragraph" w:styleId="36">
    <w:name w:val="Normal (Web)"/>
    <w:basedOn w:val="1"/>
    <w:qFormat/>
    <w:uiPriority w:val="0"/>
    <w:pPr>
      <w:spacing w:before="100" w:beforeAutospacing="1" w:after="100" w:afterAutospacing="1"/>
      <w:jc w:val="left"/>
    </w:pPr>
    <w:rPr>
      <w:rFonts w:ascii="宋体" w:hAnsi="宋体" w:cs="宋体"/>
      <w:sz w:val="24"/>
      <w:szCs w:val="24"/>
    </w:rPr>
  </w:style>
  <w:style w:type="character" w:styleId="38">
    <w:name w:val="Strong"/>
    <w:qFormat/>
    <w:uiPriority w:val="0"/>
    <w:rPr>
      <w:b/>
      <w:bCs/>
    </w:rPr>
  </w:style>
  <w:style w:type="character" w:styleId="39">
    <w:name w:val="endnote reference"/>
    <w:qFormat/>
    <w:uiPriority w:val="0"/>
    <w:rPr>
      <w:vertAlign w:val="superscript"/>
    </w:rPr>
  </w:style>
  <w:style w:type="character" w:styleId="40">
    <w:name w:val="page number"/>
    <w:basedOn w:val="37"/>
    <w:unhideWhenUsed/>
    <w:qFormat/>
    <w:uiPriority w:val="99"/>
  </w:style>
  <w:style w:type="character" w:styleId="41">
    <w:name w:val="Emphasis"/>
    <w:qFormat/>
    <w:uiPriority w:val="0"/>
    <w:rPr>
      <w:rFonts w:ascii="Times New Roman" w:hAnsi="Times New Roman" w:eastAsia="KaiTi_GB2312"/>
      <w:b/>
      <w:sz w:val="24"/>
    </w:rPr>
  </w:style>
  <w:style w:type="character" w:styleId="42">
    <w:name w:val="Hyperlink"/>
    <w:qFormat/>
    <w:uiPriority w:val="0"/>
    <w:rPr>
      <w:color w:val="0000FF"/>
      <w:u w:val="single"/>
    </w:rPr>
  </w:style>
  <w:style w:type="character" w:styleId="43">
    <w:name w:val="annotation reference"/>
    <w:qFormat/>
    <w:uiPriority w:val="0"/>
    <w:rPr>
      <w:sz w:val="16"/>
    </w:rPr>
  </w:style>
  <w:style w:type="character" w:styleId="44">
    <w:name w:val="footnote reference"/>
    <w:qFormat/>
    <w:uiPriority w:val="0"/>
    <w:rPr>
      <w:vertAlign w:val="superscript"/>
    </w:rPr>
  </w:style>
  <w:style w:type="paragraph" w:customStyle="1" w:styleId="46">
    <w:name w:val="样式 样式 标题 3h33Heading 3 hidden2hh31h32SectionHeading 2.3(Al... + ..."/>
    <w:basedOn w:val="1"/>
    <w:qFormat/>
    <w:uiPriority w:val="0"/>
    <w:pPr>
      <w:keepNext/>
      <w:numPr>
        <w:ilvl w:val="2"/>
        <w:numId w:val="3"/>
      </w:numPr>
      <w:spacing w:before="260" w:after="260" w:line="360" w:lineRule="auto"/>
      <w:outlineLvl w:val="2"/>
    </w:pPr>
    <w:rPr>
      <w:rFonts w:ascii="宋体" w:hAnsi="宋体" w:cs="宋体"/>
      <w:b/>
      <w:sz w:val="24"/>
      <w:szCs w:val="24"/>
    </w:rPr>
  </w:style>
  <w:style w:type="paragraph" w:customStyle="1" w:styleId="47">
    <w:name w:val="表格"/>
    <w:basedOn w:val="1"/>
    <w:qFormat/>
    <w:uiPriority w:val="0"/>
    <w:pPr>
      <w:spacing w:line="288" w:lineRule="auto"/>
    </w:pPr>
    <w:rPr>
      <w:rFonts w:ascii="Times New Roman" w:hAnsi="Times New Roman" w:eastAsia="宋体"/>
      <w:sz w:val="21"/>
    </w:rPr>
  </w:style>
  <w:style w:type="paragraph" w:customStyle="1" w:styleId="48">
    <w:name w:val="列出段落2"/>
    <w:basedOn w:val="1"/>
    <w:qFormat/>
    <w:uiPriority w:val="34"/>
    <w:pPr>
      <w:widowControl w:val="0"/>
      <w:ind w:firstLine="420"/>
    </w:pPr>
    <w:rPr>
      <w:rFonts w:ascii="Calibri" w:hAnsi="Calibri"/>
      <w:kern w:val="2"/>
      <w:sz w:val="21"/>
      <w:szCs w:val="22"/>
    </w:rPr>
  </w:style>
  <w:style w:type="paragraph" w:customStyle="1" w:styleId="49">
    <w:name w:val="列表段落1"/>
    <w:basedOn w:val="1"/>
    <w:qFormat/>
    <w:uiPriority w:val="99"/>
    <w:pPr>
      <w:ind w:firstLine="420"/>
    </w:pPr>
  </w:style>
  <w:style w:type="paragraph" w:customStyle="1" w:styleId="50">
    <w:name w:val="文本块1"/>
    <w:basedOn w:val="1"/>
    <w:qFormat/>
    <w:uiPriority w:val="0"/>
    <w:pPr>
      <w:spacing w:line="300" w:lineRule="atLeast"/>
      <w:ind w:left="709" w:right="709"/>
    </w:pPr>
    <w:rPr>
      <w:sz w:val="24"/>
      <w:lang w:val="en-GB"/>
    </w:rPr>
  </w:style>
  <w:style w:type="paragraph" w:customStyle="1" w:styleId="51">
    <w:name w:val="样式 宋体 小四 行距: 1.5 倍行距"/>
    <w:basedOn w:val="1"/>
    <w:qFormat/>
    <w:uiPriority w:val="0"/>
    <w:pPr>
      <w:widowControl w:val="0"/>
      <w:spacing w:line="360" w:lineRule="auto"/>
      <w:ind w:firstLine="560"/>
    </w:pPr>
    <w:rPr>
      <w:rFonts w:hAnsi="宋体" w:cs="宋体"/>
      <w:kern w:val="2"/>
      <w:sz w:val="28"/>
      <w:szCs w:val="28"/>
    </w:rPr>
  </w:style>
  <w:style w:type="paragraph" w:customStyle="1" w:styleId="52">
    <w:name w:val="样式 标题 2h22Header 2l2Level 2 Headheading 2sect 1.2DO NOT ..."/>
    <w:basedOn w:val="3"/>
    <w:qFormat/>
    <w:uiPriority w:val="0"/>
    <w:pPr>
      <w:keepLines w:val="0"/>
    </w:pPr>
    <w:rPr>
      <w:rFonts w:eastAsia="宋体" w:cs="宋体"/>
      <w:sz w:val="24"/>
      <w:szCs w:val="20"/>
    </w:rPr>
  </w:style>
  <w:style w:type="paragraph" w:customStyle="1" w:styleId="53">
    <w:name w:val="样式 样式 标题 2h22Header 2l2Level 2 Headheading 2sect 1.2DO NOT ... +..."/>
    <w:basedOn w:val="52"/>
    <w:qFormat/>
    <w:uiPriority w:val="0"/>
    <w:pPr>
      <w:tabs>
        <w:tab w:val="clear" w:pos="576"/>
      </w:tabs>
      <w:ind w:left="578" w:hanging="578"/>
    </w:pPr>
    <w:rPr>
      <w:rFonts w:ascii="宋体" w:hAnsi="宋体"/>
      <w:szCs w:val="24"/>
    </w:rPr>
  </w:style>
  <w:style w:type="paragraph" w:customStyle="1" w:styleId="54">
    <w:name w:val="编号列项（三级）"/>
    <w:qFormat/>
    <w:uiPriority w:val="0"/>
    <w:pPr>
      <w:numPr>
        <w:ilvl w:val="0"/>
        <w:numId w:val="4"/>
      </w:numPr>
      <w:tabs>
        <w:tab w:val="clear" w:pos="1140"/>
      </w:tabs>
      <w:ind w:left="800" w:leftChars="600" w:hanging="200" w:hangingChars="200"/>
    </w:pPr>
    <w:rPr>
      <w:rFonts w:ascii="宋体" w:hAnsi="Times New Roman" w:eastAsia="宋体" w:cs="Times New Roman"/>
      <w:sz w:val="21"/>
      <w:lang w:val="en-US" w:eastAsia="zh-CN" w:bidi="ar-SA"/>
    </w:rPr>
  </w:style>
  <w:style w:type="paragraph" w:customStyle="1" w:styleId="55">
    <w:name w:val="tealhead15"/>
    <w:basedOn w:val="1"/>
    <w:qFormat/>
    <w:uiPriority w:val="0"/>
    <w:pPr>
      <w:spacing w:before="100" w:beforeAutospacing="1" w:after="100" w:afterAutospacing="1"/>
      <w:jc w:val="left"/>
    </w:pPr>
    <w:rPr>
      <w:rFonts w:ascii="宋体" w:hAnsi="宋体" w:cs="宋体"/>
      <w:sz w:val="24"/>
      <w:szCs w:val="24"/>
    </w:rPr>
  </w:style>
  <w:style w:type="paragraph" w:customStyle="1" w:styleId="56">
    <w:name w:val="Char Char Char Char"/>
    <w:basedOn w:val="1"/>
    <w:next w:val="1"/>
    <w:qFormat/>
    <w:uiPriority w:val="0"/>
    <w:pPr>
      <w:widowControl w:val="0"/>
    </w:pPr>
    <w:rPr>
      <w:rFonts w:ascii="Times New Roman" w:hAnsi="Times New Roman"/>
      <w:kern w:val="2"/>
      <w:sz w:val="21"/>
      <w:szCs w:val="24"/>
    </w:rPr>
  </w:style>
  <w:style w:type="paragraph" w:customStyle="1" w:styleId="57">
    <w:name w:val="Char Char Char Char1"/>
    <w:basedOn w:val="1"/>
    <w:next w:val="1"/>
    <w:qFormat/>
    <w:uiPriority w:val="0"/>
    <w:pPr>
      <w:widowControl w:val="0"/>
    </w:pPr>
    <w:rPr>
      <w:rFonts w:ascii="Times New Roman" w:hAnsi="Times New Roman"/>
      <w:kern w:val="2"/>
      <w:sz w:val="21"/>
      <w:szCs w:val="24"/>
    </w:rPr>
  </w:style>
  <w:style w:type="paragraph" w:customStyle="1" w:styleId="58">
    <w:name w:val="表头"/>
    <w:basedOn w:val="47"/>
    <w:qFormat/>
    <w:uiPriority w:val="0"/>
    <w:pPr>
      <w:jc w:val="center"/>
    </w:pPr>
    <w:rPr>
      <w:b/>
      <w:sz w:val="24"/>
    </w:rPr>
  </w:style>
  <w:style w:type="paragraph" w:customStyle="1" w:styleId="59">
    <w:name w:val="默认段落字体 Para Char"/>
    <w:basedOn w:val="1"/>
    <w:qFormat/>
    <w:uiPriority w:val="0"/>
    <w:pPr>
      <w:widowControl w:val="0"/>
      <w:adjustRightInd w:val="0"/>
      <w:spacing w:line="360" w:lineRule="auto"/>
    </w:pPr>
    <w:rPr>
      <w:rFonts w:ascii="Times New Roman" w:hAnsi="Times New Roman"/>
      <w:sz w:val="24"/>
    </w:rPr>
  </w:style>
  <w:style w:type="paragraph" w:customStyle="1" w:styleId="60">
    <w:name w:val="4"/>
    <w:basedOn w:val="1"/>
    <w:qFormat/>
    <w:uiPriority w:val="0"/>
    <w:pPr>
      <w:widowControl w:val="0"/>
      <w:spacing w:before="100" w:beforeAutospacing="1" w:after="100" w:afterAutospacing="1" w:line="360" w:lineRule="auto"/>
      <w:ind w:firstLine="480"/>
      <w:jc w:val="left"/>
    </w:pPr>
    <w:rPr>
      <w:sz w:val="21"/>
      <w:szCs w:val="21"/>
      <w:lang w:eastAsia="en-US"/>
    </w:rPr>
  </w:style>
  <w:style w:type="paragraph" w:customStyle="1" w:styleId="61">
    <w:name w:val="样式 宋体 小四 加粗 居中 段前: 6 磅 段后: 6 磅 行距: 1.5 倍行距"/>
    <w:basedOn w:val="1"/>
    <w:qFormat/>
    <w:uiPriority w:val="0"/>
    <w:pPr>
      <w:spacing w:before="120" w:after="120" w:line="360" w:lineRule="auto"/>
      <w:jc w:val="center"/>
    </w:pPr>
    <w:rPr>
      <w:rFonts w:ascii="宋体" w:hAnsi="宋体" w:cs="宋体"/>
      <w:b/>
      <w:bCs/>
      <w:sz w:val="24"/>
    </w:rPr>
  </w:style>
  <w:style w:type="paragraph" w:customStyle="1" w:styleId="62">
    <w:name w:val="列出段落1"/>
    <w:basedOn w:val="1"/>
    <w:qFormat/>
    <w:uiPriority w:val="0"/>
    <w:pPr>
      <w:spacing w:after="200" w:line="252" w:lineRule="auto"/>
      <w:ind w:left="720"/>
      <w:contextualSpacing/>
    </w:pPr>
    <w:rPr>
      <w:rFonts w:ascii="Cambria" w:hAnsi="Cambria"/>
      <w:sz w:val="22"/>
      <w:szCs w:val="22"/>
      <w:lang w:eastAsia="en-US" w:bidi="en-US"/>
    </w:rPr>
  </w:style>
  <w:style w:type="paragraph" w:customStyle="1" w:styleId="63">
    <w:name w:val="样式 标题 1H1Section Headh11st levell1H11H12H13H14H15H16..."/>
    <w:basedOn w:val="2"/>
    <w:qFormat/>
    <w:uiPriority w:val="0"/>
    <w:rPr>
      <w:kern w:val="2"/>
      <w:sz w:val="24"/>
    </w:rPr>
  </w:style>
  <w:style w:type="paragraph" w:customStyle="1" w:styleId="64">
    <w:name w:val="我的正文5号字体"/>
    <w:basedOn w:val="1"/>
    <w:qFormat/>
    <w:uiPriority w:val="0"/>
    <w:pPr>
      <w:widowControl w:val="0"/>
      <w:spacing w:line="400" w:lineRule="exact"/>
    </w:pPr>
    <w:rPr>
      <w:rFonts w:eastAsia="KaiTi_GB2312" w:cs="Arial"/>
      <w:kern w:val="2"/>
      <w:sz w:val="21"/>
      <w:szCs w:val="29"/>
    </w:rPr>
  </w:style>
  <w:style w:type="character" w:customStyle="1" w:styleId="65">
    <w:name w:val="font01"/>
    <w:qFormat/>
    <w:uiPriority w:val="0"/>
    <w:rPr>
      <w:rFonts w:hint="eastAsia" w:ascii="宋体" w:hAnsi="宋体" w:eastAsia="宋体" w:cs="宋体"/>
      <w:color w:val="000000"/>
      <w:sz w:val="24"/>
      <w:szCs w:val="24"/>
      <w:u w:val="none"/>
    </w:rPr>
  </w:style>
  <w:style w:type="character" w:customStyle="1" w:styleId="66">
    <w:name w:val="批注主题 Char"/>
    <w:basedOn w:val="67"/>
    <w:link w:val="11"/>
    <w:qFormat/>
    <w:uiPriority w:val="0"/>
    <w:rPr>
      <w:rFonts w:ascii="Arial" w:hAnsi="Arial"/>
    </w:rPr>
  </w:style>
  <w:style w:type="character" w:customStyle="1" w:styleId="67">
    <w:name w:val="批注文字 Char"/>
    <w:link w:val="12"/>
    <w:qFormat/>
    <w:uiPriority w:val="0"/>
    <w:rPr>
      <w:rFonts w:ascii="Arial" w:hAnsi="Arial"/>
    </w:rPr>
  </w:style>
  <w:style w:type="character" w:customStyle="1" w:styleId="68">
    <w:name w:val="style1"/>
    <w:basedOn w:val="37"/>
    <w:qFormat/>
    <w:uiPriority w:val="0"/>
  </w:style>
  <w:style w:type="paragraph" w:customStyle="1" w:styleId="69">
    <w:name w:val="正文1"/>
    <w:basedOn w:val="1"/>
    <w:qFormat/>
    <w:uiPriority w:val="0"/>
    <w:pPr>
      <w:ind w:firstLine="600"/>
    </w:pPr>
    <w:rPr>
      <w:rFonts w:ascii="Times New Roman" w:hAnsi="Times New Roman"/>
    </w:rPr>
  </w:style>
  <w:style w:type="paragraph" w:customStyle="1" w:styleId="70">
    <w:name w:val="列出段落3"/>
    <w:basedOn w:val="1"/>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964</Words>
  <Characters>5498</Characters>
  <Lines>45</Lines>
  <Paragraphs>12</Paragraphs>
  <TotalTime>1</TotalTime>
  <ScaleCrop>false</ScaleCrop>
  <LinksUpToDate>false</LinksUpToDate>
  <CharactersWithSpaces>6450</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2019-09-03T06:15:00Z</dcterms:created>
  <dc:creator>houcg</dc:creator>
  <cp:lastModifiedBy>留白</cp:lastModifiedBy>
  <cp:lastPrinted>2019-12-02T09:21:00Z</cp:lastPrinted>
  <dcterms:modified xsi:type="dcterms:W3CDTF">2020-09-24T01:39:24Z</dcterms:modified>
  <dc:title>附件4</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