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ind w:firstLine="0" w:firstLineChars="0"/>
        <w:jc w:val="left"/>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附件1</w:t>
      </w:r>
    </w:p>
    <w:p>
      <w:pPr>
        <w:bidi w:val="0"/>
        <w:jc w:val="center"/>
        <w:rPr>
          <w:rFonts w:hint="eastAsia" w:ascii="黑体" w:hAnsi="黑体" w:eastAsia="黑体" w:cs="黑体"/>
          <w:sz w:val="36"/>
          <w:szCs w:val="24"/>
        </w:rPr>
      </w:pPr>
      <w:r>
        <w:rPr>
          <w:rFonts w:hint="eastAsia" w:ascii="黑体" w:hAnsi="黑体" w:eastAsia="黑体" w:cs="黑体"/>
          <w:sz w:val="36"/>
          <w:szCs w:val="24"/>
        </w:rPr>
        <w:t>《保险业监管数据标准化规范（人身保险公司版）》</w:t>
      </w:r>
    </w:p>
    <w:p>
      <w:pPr>
        <w:bidi w:val="0"/>
        <w:jc w:val="center"/>
        <w:rPr>
          <w:rFonts w:hint="eastAsia" w:ascii="黑体" w:hAnsi="黑体" w:eastAsia="黑体" w:cs="黑体"/>
          <w:sz w:val="36"/>
          <w:szCs w:val="24"/>
        </w:rPr>
      </w:pPr>
      <w:r>
        <w:rPr>
          <w:rFonts w:hint="eastAsia" w:ascii="黑体" w:hAnsi="黑体" w:eastAsia="黑体" w:cs="黑体"/>
          <w:sz w:val="36"/>
          <w:szCs w:val="24"/>
        </w:rPr>
        <w:t>整体介绍</w:t>
      </w:r>
    </w:p>
    <w:p>
      <w:pPr>
        <w:ind w:firstLine="0" w:firstLineChars="0"/>
        <w:rPr>
          <w:rFonts w:ascii="黑体" w:hAnsi="黑体" w:eastAsia="黑体" w:cs="黑体"/>
          <w:sz w:val="36"/>
          <w:szCs w:val="36"/>
        </w:rPr>
      </w:pPr>
    </w:p>
    <w:p>
      <w:pPr>
        <w:pStyle w:val="2"/>
        <w:ind w:firstLine="600"/>
        <w:rPr>
          <w:sz w:val="30"/>
          <w:szCs w:val="30"/>
        </w:rPr>
      </w:pPr>
      <w:r>
        <w:rPr>
          <w:rFonts w:hint="eastAsia"/>
          <w:sz w:val="30"/>
          <w:szCs w:val="30"/>
        </w:rPr>
        <w:t>编制目标</w:t>
      </w:r>
    </w:p>
    <w:p>
      <w:pPr>
        <w:ind w:firstLine="600"/>
        <w:rPr>
          <w:sz w:val="30"/>
          <w:szCs w:val="30"/>
        </w:rPr>
      </w:pPr>
      <w:r>
        <w:rPr>
          <w:rFonts w:hint="eastAsia"/>
          <w:sz w:val="30"/>
          <w:szCs w:val="30"/>
        </w:rPr>
        <w:t>保险业监管数据标准化规范（人身保险公司版）（以下简称《规范》）研制的目标有两个。</w:t>
      </w:r>
      <w:r>
        <w:rPr>
          <w:rFonts w:hint="eastAsia"/>
          <w:b/>
          <w:bCs/>
          <w:sz w:val="30"/>
          <w:szCs w:val="30"/>
        </w:rPr>
        <w:t>一是</w:t>
      </w:r>
      <w:r>
        <w:rPr>
          <w:rFonts w:hint="eastAsia"/>
          <w:sz w:val="30"/>
          <w:szCs w:val="30"/>
        </w:rPr>
        <w:t>根据监管工作需要，对人身保险公司业务经营、财务管理、公司治理等全流程数据，建立一整套统一的数据报送标准，便于监管部门进行数据采集和数据分析。《规范》只规定监管数据的业务属性和技术属性，保险公司无需改造自身的数据结构，只需要将自己的数据，按照《规范》要求映射成统一的标准格式，方便监管人员建立统一的模型进行监管分析处理，提高监管质效。</w:t>
      </w:r>
      <w:r>
        <w:rPr>
          <w:rFonts w:hint="eastAsia"/>
          <w:b/>
          <w:bCs/>
          <w:sz w:val="30"/>
          <w:szCs w:val="30"/>
        </w:rPr>
        <w:t>二是</w:t>
      </w:r>
      <w:r>
        <w:rPr>
          <w:rFonts w:hint="eastAsia"/>
          <w:sz w:val="30"/>
          <w:szCs w:val="30"/>
        </w:rPr>
        <w:t>向保险公司传导监管机构在落实宏观政策、公司治理、风险管控、数据管理等方面的监管要求，督促保险公司比对《规范》，查找自身存在问题、缺陷、不足并整改落实，有效促进公司提升信息化程度、风险管控能力、公司治理水平和服务实体经济能力，从而提升保险行业整体竞争力。</w:t>
      </w:r>
    </w:p>
    <w:p>
      <w:pPr>
        <w:pStyle w:val="2"/>
        <w:ind w:firstLine="600"/>
        <w:rPr>
          <w:sz w:val="30"/>
          <w:szCs w:val="30"/>
        </w:rPr>
      </w:pPr>
      <w:r>
        <w:rPr>
          <w:rFonts w:hint="eastAsia"/>
          <w:sz w:val="30"/>
          <w:szCs w:val="30"/>
        </w:rPr>
        <w:t>编制思路</w:t>
      </w:r>
    </w:p>
    <w:p>
      <w:pPr>
        <w:ind w:firstLine="600"/>
        <w:rPr>
          <w:sz w:val="30"/>
          <w:szCs w:val="30"/>
        </w:rPr>
      </w:pPr>
      <w:r>
        <w:rPr>
          <w:rFonts w:hint="eastAsia"/>
          <w:sz w:val="30"/>
          <w:szCs w:val="30"/>
        </w:rPr>
        <w:t>《规范》编制过程遵循监管导向、对标先进、博采众长三个原则。</w:t>
      </w:r>
    </w:p>
    <w:p>
      <w:pPr>
        <w:ind w:firstLine="602"/>
        <w:rPr>
          <w:sz w:val="30"/>
          <w:szCs w:val="30"/>
        </w:rPr>
      </w:pPr>
      <w:r>
        <w:rPr>
          <w:rFonts w:hint="eastAsia"/>
          <w:b/>
          <w:bCs/>
          <w:sz w:val="30"/>
          <w:szCs w:val="30"/>
        </w:rPr>
        <w:t>一是监管导向</w:t>
      </w:r>
      <w:r>
        <w:rPr>
          <w:rFonts w:hint="eastAsia"/>
          <w:sz w:val="30"/>
          <w:szCs w:val="30"/>
        </w:rPr>
        <w:t>。从人身保险公司的监管实际出发，对人身保险公司经营管理过程中记录的数据项和数据内容进行筛选，选取监管制度明确规定必须记录的、各类监管检查中实际使用的数据项，根据监管数据分析的颗粒度和内容要求，确定数据采集范围和数据项的填报要求。对于保险公司基于内部管理记录的信息和不作为监管依据的过程性数据，不纳入《规范》数据范围。</w:t>
      </w:r>
    </w:p>
    <w:p>
      <w:pPr>
        <w:ind w:firstLine="602"/>
        <w:rPr>
          <w:sz w:val="30"/>
          <w:szCs w:val="30"/>
        </w:rPr>
      </w:pPr>
      <w:r>
        <w:rPr>
          <w:rFonts w:hint="eastAsia"/>
          <w:b/>
          <w:bCs/>
          <w:sz w:val="30"/>
          <w:szCs w:val="30"/>
        </w:rPr>
        <w:t>二是对标先进</w:t>
      </w:r>
      <w:r>
        <w:rPr>
          <w:rFonts w:hint="eastAsia"/>
          <w:sz w:val="30"/>
          <w:szCs w:val="30"/>
        </w:rPr>
        <w:t>。由于发展阶段、业务模式、经营理念不同，各保险公司业务管理和信息化建设的水平也参差不齐。为发挥《规范》的示范引导作用，《规范》坚持高标准的编制理念，以行业领先企业的先进实践作为标准。其他公司通过对照《规范》要求进行整改，可以学习到行业先进理念与做法，提升经营管理水平，从而促进行业整体竞争力的提升。</w:t>
      </w:r>
    </w:p>
    <w:p>
      <w:pPr>
        <w:ind w:firstLine="602"/>
        <w:rPr>
          <w:sz w:val="30"/>
          <w:szCs w:val="30"/>
        </w:rPr>
      </w:pPr>
      <w:r>
        <w:rPr>
          <w:rFonts w:hint="eastAsia"/>
          <w:b/>
          <w:bCs/>
          <w:sz w:val="30"/>
          <w:szCs w:val="30"/>
        </w:rPr>
        <w:t>三是博采众长</w:t>
      </w:r>
      <w:r>
        <w:rPr>
          <w:rFonts w:hint="eastAsia"/>
          <w:sz w:val="30"/>
          <w:szCs w:val="30"/>
        </w:rPr>
        <w:t>。研究借鉴银行保险业行业信息平台、监管信息系统、行业标准等已有成果，相互对照，取长补短，保证《规范》结构设计的合理性和内容描述的准确性。</w:t>
      </w:r>
    </w:p>
    <w:p>
      <w:pPr>
        <w:pStyle w:val="2"/>
        <w:ind w:firstLine="600"/>
        <w:rPr>
          <w:sz w:val="30"/>
          <w:szCs w:val="30"/>
        </w:rPr>
      </w:pPr>
      <w:r>
        <w:rPr>
          <w:rFonts w:hint="eastAsia"/>
          <w:sz w:val="30"/>
          <w:szCs w:val="30"/>
        </w:rPr>
        <w:t>主要内容</w:t>
      </w:r>
    </w:p>
    <w:p>
      <w:pPr>
        <w:ind w:firstLine="600"/>
        <w:rPr>
          <w:sz w:val="30"/>
          <w:szCs w:val="30"/>
        </w:rPr>
      </w:pPr>
      <w:r>
        <w:rPr>
          <w:rFonts w:hint="eastAsia"/>
          <w:sz w:val="30"/>
          <w:szCs w:val="30"/>
        </w:rPr>
        <w:t>《规范》由6个文档组成，其中主文档3个，分别为</w:t>
      </w:r>
      <w:r>
        <w:rPr>
          <w:rFonts w:hint="eastAsia"/>
          <w:sz w:val="30"/>
          <w:szCs w:val="30"/>
          <w:lang w:val="en-US" w:eastAsia="zh-CN"/>
        </w:rPr>
        <w:t>规范</w:t>
      </w:r>
      <w:r>
        <w:rPr>
          <w:rFonts w:hint="eastAsia"/>
          <w:sz w:val="30"/>
          <w:szCs w:val="30"/>
        </w:rPr>
        <w:t>正文</w:t>
      </w:r>
      <w:r>
        <w:rPr>
          <w:rFonts w:hint="eastAsia"/>
          <w:sz w:val="30"/>
          <w:szCs w:val="30"/>
          <w:lang w:eastAsia="zh-CN"/>
        </w:rPr>
        <w:t>（</w:t>
      </w:r>
      <w:r>
        <w:rPr>
          <w:rFonts w:hint="eastAsia"/>
          <w:sz w:val="30"/>
          <w:szCs w:val="30"/>
          <w:lang w:val="en-US" w:eastAsia="zh-CN"/>
        </w:rPr>
        <w:t>附件2</w:t>
      </w:r>
      <w:r>
        <w:rPr>
          <w:rFonts w:hint="eastAsia"/>
          <w:sz w:val="30"/>
          <w:szCs w:val="30"/>
          <w:lang w:eastAsia="zh-CN"/>
        </w:rPr>
        <w:t>）</w:t>
      </w:r>
      <w:r>
        <w:rPr>
          <w:rFonts w:hint="eastAsia"/>
          <w:sz w:val="30"/>
          <w:szCs w:val="30"/>
        </w:rPr>
        <w:t>、报送说明</w:t>
      </w:r>
      <w:r>
        <w:rPr>
          <w:rFonts w:hint="eastAsia"/>
          <w:sz w:val="30"/>
          <w:szCs w:val="30"/>
          <w:lang w:eastAsia="zh-CN"/>
        </w:rPr>
        <w:t>（</w:t>
      </w:r>
      <w:r>
        <w:rPr>
          <w:rFonts w:hint="eastAsia"/>
          <w:sz w:val="30"/>
          <w:szCs w:val="30"/>
          <w:lang w:val="en-US" w:eastAsia="zh-CN"/>
        </w:rPr>
        <w:t>附件3</w:t>
      </w:r>
      <w:r>
        <w:rPr>
          <w:rFonts w:hint="eastAsia"/>
          <w:sz w:val="30"/>
          <w:szCs w:val="30"/>
          <w:lang w:eastAsia="zh-CN"/>
        </w:rPr>
        <w:t>）</w:t>
      </w:r>
      <w:r>
        <w:rPr>
          <w:rFonts w:hint="eastAsia"/>
          <w:sz w:val="30"/>
          <w:szCs w:val="30"/>
        </w:rPr>
        <w:t>和采集技术接口说明</w:t>
      </w:r>
      <w:r>
        <w:rPr>
          <w:rFonts w:hint="eastAsia"/>
          <w:sz w:val="30"/>
          <w:szCs w:val="30"/>
          <w:lang w:eastAsia="zh-CN"/>
        </w:rPr>
        <w:t>（</w:t>
      </w:r>
      <w:r>
        <w:rPr>
          <w:rFonts w:hint="eastAsia"/>
          <w:sz w:val="30"/>
          <w:szCs w:val="30"/>
          <w:lang w:val="en-US" w:eastAsia="zh-CN"/>
        </w:rPr>
        <w:t>附件4</w:t>
      </w:r>
      <w:r>
        <w:rPr>
          <w:rFonts w:hint="eastAsia"/>
          <w:sz w:val="30"/>
          <w:szCs w:val="30"/>
          <w:lang w:eastAsia="zh-CN"/>
        </w:rPr>
        <w:t>）</w:t>
      </w:r>
      <w:r>
        <w:rPr>
          <w:rFonts w:hint="eastAsia"/>
          <w:sz w:val="30"/>
          <w:szCs w:val="30"/>
        </w:rPr>
        <w:t>，配套文档3个，分别为数据结构一览表</w:t>
      </w:r>
      <w:r>
        <w:rPr>
          <w:rFonts w:hint="eastAsia"/>
          <w:sz w:val="30"/>
          <w:szCs w:val="30"/>
          <w:lang w:eastAsia="zh-CN"/>
        </w:rPr>
        <w:t>（</w:t>
      </w:r>
      <w:r>
        <w:rPr>
          <w:rFonts w:hint="eastAsia"/>
          <w:sz w:val="30"/>
          <w:szCs w:val="30"/>
          <w:lang w:val="en-US" w:eastAsia="zh-CN"/>
        </w:rPr>
        <w:t>附件5</w:t>
      </w:r>
      <w:r>
        <w:rPr>
          <w:rFonts w:hint="eastAsia"/>
          <w:sz w:val="30"/>
          <w:szCs w:val="30"/>
          <w:lang w:eastAsia="zh-CN"/>
        </w:rPr>
        <w:t>）</w:t>
      </w:r>
      <w:r>
        <w:rPr>
          <w:rFonts w:hint="eastAsia"/>
          <w:sz w:val="30"/>
          <w:szCs w:val="30"/>
        </w:rPr>
        <w:t>、业务代码表</w:t>
      </w:r>
      <w:r>
        <w:rPr>
          <w:rFonts w:hint="eastAsia"/>
          <w:sz w:val="30"/>
          <w:szCs w:val="30"/>
          <w:lang w:eastAsia="zh-CN"/>
        </w:rPr>
        <w:t>（</w:t>
      </w:r>
      <w:r>
        <w:rPr>
          <w:rFonts w:hint="eastAsia"/>
          <w:sz w:val="30"/>
          <w:szCs w:val="30"/>
          <w:lang w:val="en-US" w:eastAsia="zh-CN"/>
        </w:rPr>
        <w:t>附件6</w:t>
      </w:r>
      <w:r>
        <w:rPr>
          <w:rFonts w:hint="eastAsia"/>
          <w:sz w:val="30"/>
          <w:szCs w:val="30"/>
          <w:lang w:eastAsia="zh-CN"/>
        </w:rPr>
        <w:t>）</w:t>
      </w:r>
      <w:r>
        <w:rPr>
          <w:rFonts w:hint="eastAsia"/>
          <w:sz w:val="30"/>
          <w:szCs w:val="30"/>
        </w:rPr>
        <w:t>和检核规则</w:t>
      </w:r>
      <w:r>
        <w:rPr>
          <w:rFonts w:hint="eastAsia"/>
          <w:sz w:val="30"/>
          <w:szCs w:val="30"/>
          <w:lang w:eastAsia="zh-CN"/>
        </w:rPr>
        <w:t>（</w:t>
      </w:r>
      <w:r>
        <w:rPr>
          <w:rFonts w:hint="eastAsia"/>
          <w:sz w:val="30"/>
          <w:szCs w:val="30"/>
          <w:lang w:val="en-US" w:eastAsia="zh-CN"/>
        </w:rPr>
        <w:t>附件7</w:t>
      </w:r>
      <w:r>
        <w:rPr>
          <w:rFonts w:hint="eastAsia"/>
          <w:sz w:val="30"/>
          <w:szCs w:val="30"/>
          <w:lang w:eastAsia="zh-CN"/>
        </w:rPr>
        <w:t>）</w:t>
      </w:r>
      <w:r>
        <w:rPr>
          <w:rFonts w:hint="eastAsia"/>
          <w:sz w:val="30"/>
          <w:szCs w:val="30"/>
        </w:rPr>
        <w:t>。</w:t>
      </w:r>
      <w:r>
        <w:rPr>
          <w:rFonts w:hint="eastAsia"/>
          <w:sz w:val="30"/>
          <w:szCs w:val="30"/>
          <w:lang w:val="en-US" w:eastAsia="zh-CN"/>
        </w:rPr>
        <w:t>规范</w:t>
      </w:r>
      <w:r>
        <w:rPr>
          <w:rFonts w:hint="eastAsia"/>
          <w:sz w:val="30"/>
          <w:szCs w:val="30"/>
        </w:rPr>
        <w:t>正文详细定义了各表、各数据项的报送范围、业务含义和数据类型，并对规范引用的标准、敏感数据处理方式、数据结构、数据元进行介绍。报送说明对数据结构、数据来源、数据采集等做了详细说明，方便相关人员按照规范的统一要求进行数据加工和报送。采集技术接口说明从技术上定义了各人身保险公司报送数据文件的格式化要求，包括报送频率、文件名格式、文件字符集、数据项分隔符等。配套文档中，数据结构一览表是正文的电子表格化，实际使用中可作为索引和参考；业务代码表是对某些具有特定内容数据项的标准化，人身保险公司原始数据与业务代码表不一致的，需按照业务代码表的颗粒度和内容进行映射；检核规则是对数据项需满足的基本规则的说明，包括条件必填、取值合理性、数据项间逻辑合理性等5个方面。</w:t>
      </w:r>
    </w:p>
    <w:p>
      <w:pPr>
        <w:ind w:firstLine="600"/>
        <w:rPr>
          <w:sz w:val="30"/>
          <w:szCs w:val="30"/>
        </w:rPr>
      </w:pPr>
      <w:r>
        <w:rPr>
          <w:rFonts w:hint="eastAsia"/>
          <w:sz w:val="30"/>
          <w:szCs w:val="30"/>
        </w:rPr>
        <w:t>从数据内容来看，《规范》包括公共信息、会计记账、保险业务、养老金业务、投资业务、关联交易共6个模块，11个主题域，46张数据表，</w:t>
      </w:r>
      <w:bookmarkStart w:id="0" w:name="_GoBack"/>
      <w:bookmarkEnd w:id="0"/>
      <w:r>
        <w:rPr>
          <w:rFonts w:hint="eastAsia"/>
          <w:sz w:val="30"/>
          <w:szCs w:val="30"/>
          <w:lang w:val="en-US" w:eastAsia="zh-CN"/>
        </w:rPr>
        <w:t>956</w:t>
      </w:r>
      <w:r>
        <w:rPr>
          <w:rFonts w:hint="eastAsia"/>
          <w:sz w:val="30"/>
          <w:szCs w:val="30"/>
        </w:rPr>
        <w:t>个数据项。具体内容如下：</w:t>
      </w:r>
    </w:p>
    <w:p>
      <w:pPr>
        <w:pStyle w:val="3"/>
        <w:numPr>
          <w:ilvl w:val="0"/>
          <w:numId w:val="4"/>
        </w:numPr>
        <w:ind w:firstLine="602"/>
        <w:rPr>
          <w:sz w:val="30"/>
          <w:szCs w:val="30"/>
        </w:rPr>
      </w:pPr>
      <w:r>
        <w:rPr>
          <w:rFonts w:hint="eastAsia"/>
          <w:sz w:val="30"/>
          <w:szCs w:val="30"/>
        </w:rPr>
        <w:t>公共信息模块</w:t>
      </w:r>
    </w:p>
    <w:p>
      <w:pPr>
        <w:ind w:firstLine="600"/>
        <w:rPr>
          <w:sz w:val="30"/>
          <w:szCs w:val="30"/>
        </w:rPr>
      </w:pPr>
      <w:r>
        <w:rPr>
          <w:rFonts w:hint="eastAsia"/>
          <w:sz w:val="30"/>
          <w:szCs w:val="30"/>
        </w:rPr>
        <w:t>公共信息模块包括公共信息主题域，记录人身保险公司的机构与人员管理信息，包括机构股权信息表、分支机构信息表、中介机构信息表、员工信息表、董监高履职信息表和销售人员信息表共6个数据表。</w:t>
      </w:r>
    </w:p>
    <w:p>
      <w:pPr>
        <w:pStyle w:val="3"/>
        <w:numPr>
          <w:ilvl w:val="0"/>
          <w:numId w:val="4"/>
        </w:numPr>
        <w:ind w:firstLine="602"/>
        <w:rPr>
          <w:sz w:val="30"/>
          <w:szCs w:val="30"/>
        </w:rPr>
      </w:pPr>
      <w:r>
        <w:rPr>
          <w:rFonts w:hint="eastAsia"/>
          <w:sz w:val="30"/>
          <w:szCs w:val="30"/>
        </w:rPr>
        <w:t>会计记账模块</w:t>
      </w:r>
    </w:p>
    <w:p>
      <w:pPr>
        <w:ind w:firstLine="600"/>
        <w:rPr>
          <w:sz w:val="30"/>
          <w:szCs w:val="30"/>
        </w:rPr>
      </w:pPr>
      <w:r>
        <w:rPr>
          <w:rFonts w:hint="eastAsia"/>
          <w:sz w:val="30"/>
          <w:szCs w:val="30"/>
        </w:rPr>
        <w:t>会计记账模块包括会计记账信息主题域，记录人身保险公司的科目级财务数据，包括总账会计全科目表、内部科目对照表、财务凭证信息表、业务及管理费分科目明细账表、手续费及佣金分科目明细账表和银行账户信息表共6个数据表。</w:t>
      </w:r>
    </w:p>
    <w:p>
      <w:pPr>
        <w:pStyle w:val="3"/>
        <w:numPr>
          <w:ilvl w:val="0"/>
          <w:numId w:val="4"/>
        </w:numPr>
        <w:ind w:firstLine="602"/>
        <w:rPr>
          <w:sz w:val="30"/>
          <w:szCs w:val="30"/>
        </w:rPr>
      </w:pPr>
      <w:r>
        <w:rPr>
          <w:rFonts w:hint="eastAsia"/>
          <w:sz w:val="30"/>
          <w:szCs w:val="30"/>
        </w:rPr>
        <w:t>保险业务模块</w:t>
      </w:r>
    </w:p>
    <w:p>
      <w:pPr>
        <w:ind w:firstLine="600"/>
        <w:rPr>
          <w:sz w:val="30"/>
          <w:szCs w:val="30"/>
        </w:rPr>
      </w:pPr>
      <w:r>
        <w:rPr>
          <w:rFonts w:hint="eastAsia"/>
          <w:sz w:val="30"/>
          <w:szCs w:val="30"/>
        </w:rPr>
        <w:t>保险业务模块包括客户信息、产品信息、承保信息、收付费信息、再保险信息和理赔信息等六个主题域。记录人身保险公司经营的各类保险业务的原始数据，包括普通商业保险、大病保险、税优健康险、税延养老险、医保账户购买专属保险、长期护理保险等业务的全流程信息。</w:t>
      </w:r>
    </w:p>
    <w:p>
      <w:pPr>
        <w:pStyle w:val="4"/>
        <w:ind w:firstLine="602"/>
        <w:rPr>
          <w:sz w:val="30"/>
          <w:szCs w:val="30"/>
        </w:rPr>
      </w:pPr>
      <w:r>
        <w:rPr>
          <w:rFonts w:hint="eastAsia"/>
          <w:sz w:val="30"/>
          <w:szCs w:val="30"/>
        </w:rPr>
        <w:t>客户信息</w:t>
      </w:r>
    </w:p>
    <w:p>
      <w:pPr>
        <w:ind w:firstLine="600"/>
        <w:rPr>
          <w:sz w:val="30"/>
          <w:szCs w:val="30"/>
        </w:rPr>
      </w:pPr>
      <w:r>
        <w:rPr>
          <w:rFonts w:hint="eastAsia"/>
          <w:sz w:val="30"/>
          <w:szCs w:val="30"/>
        </w:rPr>
        <w:t>客户信息记录在保险公司投保或者作为被保险人、受益人的客户的基本信息以及名下的保单，包括个人客户信息表、团体客户信息表、客户保单对照表和保单投诉信息表共4个数据表。保险公司需对本公司的相同客户赋予唯一的编号，并记录该客户名下所有保单的保单号，以便按客户进行关联查找。养老金业务客户在养老金业务模块相关数据表中报送，不在此部分数据表中报送。</w:t>
      </w:r>
    </w:p>
    <w:p>
      <w:pPr>
        <w:pStyle w:val="4"/>
        <w:ind w:firstLine="602"/>
        <w:rPr>
          <w:iCs/>
          <w:sz w:val="30"/>
          <w:szCs w:val="30"/>
        </w:rPr>
      </w:pPr>
      <w:r>
        <w:rPr>
          <w:rFonts w:hint="eastAsia"/>
          <w:bCs/>
          <w:iCs/>
          <w:sz w:val="30"/>
          <w:szCs w:val="30"/>
        </w:rPr>
        <w:t>产品信息</w:t>
      </w:r>
    </w:p>
    <w:p>
      <w:pPr>
        <w:ind w:firstLine="600"/>
        <w:rPr>
          <w:iCs/>
          <w:sz w:val="30"/>
          <w:szCs w:val="30"/>
        </w:rPr>
      </w:pPr>
      <w:r>
        <w:rPr>
          <w:rFonts w:hint="eastAsia"/>
          <w:iCs/>
          <w:sz w:val="30"/>
          <w:szCs w:val="30"/>
        </w:rPr>
        <w:t>产品信息记录保险公司所有曾售、在售产品的基本信息，通过险种定义表进行报送。保险公司需报送所有寿险、年金保险、意外险、健康险产品，包括税优健康险、税延养老险、大病保险、</w:t>
      </w:r>
      <w:r>
        <w:rPr>
          <w:rFonts w:hint="eastAsia"/>
          <w:sz w:val="30"/>
          <w:szCs w:val="30"/>
        </w:rPr>
        <w:t>医保账户购买专属保险和长期护理保险等产品</w:t>
      </w:r>
      <w:r>
        <w:rPr>
          <w:rFonts w:hint="eastAsia"/>
          <w:iCs/>
          <w:sz w:val="30"/>
          <w:szCs w:val="30"/>
        </w:rPr>
        <w:t>。</w:t>
      </w:r>
    </w:p>
    <w:p>
      <w:pPr>
        <w:pStyle w:val="4"/>
        <w:ind w:firstLine="602"/>
        <w:rPr>
          <w:iCs/>
          <w:sz w:val="30"/>
          <w:szCs w:val="30"/>
        </w:rPr>
      </w:pPr>
      <w:r>
        <w:rPr>
          <w:rFonts w:hint="eastAsia"/>
          <w:bCs/>
          <w:iCs/>
          <w:sz w:val="30"/>
          <w:szCs w:val="30"/>
        </w:rPr>
        <w:t>承保信息</w:t>
      </w:r>
    </w:p>
    <w:p>
      <w:pPr>
        <w:ind w:firstLine="600"/>
        <w:rPr>
          <w:iCs/>
          <w:sz w:val="30"/>
          <w:szCs w:val="30"/>
        </w:rPr>
      </w:pPr>
      <w:r>
        <w:rPr>
          <w:rFonts w:hint="eastAsia"/>
          <w:iCs/>
          <w:sz w:val="30"/>
          <w:szCs w:val="30"/>
        </w:rPr>
        <w:t>承保信息记录保险公司所有个单和团单在承保环节的业务经营管理关键信息，包括个人保单表、个人险种表、团体保单表、团体险种表、被保险人表、保单佣金信息表、客户回访表和保单销售人员关联表共8个数据表。</w:t>
      </w:r>
    </w:p>
    <w:p>
      <w:pPr>
        <w:pStyle w:val="4"/>
        <w:ind w:firstLine="602"/>
        <w:rPr>
          <w:iCs/>
          <w:sz w:val="30"/>
          <w:szCs w:val="30"/>
        </w:rPr>
      </w:pPr>
      <w:r>
        <w:rPr>
          <w:rFonts w:hint="eastAsia"/>
          <w:bCs/>
          <w:iCs/>
          <w:sz w:val="30"/>
          <w:szCs w:val="30"/>
        </w:rPr>
        <w:t>收付费信息</w:t>
      </w:r>
    </w:p>
    <w:p>
      <w:pPr>
        <w:ind w:firstLine="600"/>
        <w:rPr>
          <w:iCs/>
          <w:sz w:val="30"/>
          <w:szCs w:val="30"/>
        </w:rPr>
      </w:pPr>
      <w:r>
        <w:rPr>
          <w:rFonts w:hint="eastAsia"/>
          <w:iCs/>
          <w:sz w:val="30"/>
          <w:szCs w:val="30"/>
        </w:rPr>
        <w:t>收付费信息记录保险公司所有保单的收付费信息，收费信息区分个单和团单分别采集，付费信息共用一个数据表进行采集，包括保费明细表、团体保费表、付费明细表共3个数据表。</w:t>
      </w:r>
    </w:p>
    <w:p>
      <w:pPr>
        <w:pStyle w:val="4"/>
        <w:ind w:firstLine="602"/>
        <w:rPr>
          <w:iCs/>
          <w:sz w:val="30"/>
          <w:szCs w:val="30"/>
        </w:rPr>
      </w:pPr>
      <w:r>
        <w:rPr>
          <w:rFonts w:hint="eastAsia"/>
          <w:bCs/>
          <w:iCs/>
          <w:sz w:val="30"/>
          <w:szCs w:val="30"/>
        </w:rPr>
        <w:t>再保险信息</w:t>
      </w:r>
    </w:p>
    <w:p>
      <w:pPr>
        <w:ind w:firstLine="600"/>
        <w:rPr>
          <w:iCs/>
          <w:sz w:val="30"/>
          <w:szCs w:val="30"/>
        </w:rPr>
      </w:pPr>
      <w:r>
        <w:rPr>
          <w:rFonts w:hint="eastAsia"/>
          <w:iCs/>
          <w:sz w:val="30"/>
          <w:szCs w:val="30"/>
        </w:rPr>
        <w:t>再保险信息记录保险公司再保险流程的相关信息，包括再保产品信息表、再保合同信息表、再保账单信息表共3个数据表。</w:t>
      </w:r>
    </w:p>
    <w:p>
      <w:pPr>
        <w:pStyle w:val="4"/>
        <w:ind w:firstLine="602"/>
        <w:rPr>
          <w:iCs/>
          <w:sz w:val="30"/>
          <w:szCs w:val="30"/>
        </w:rPr>
      </w:pPr>
      <w:r>
        <w:rPr>
          <w:rFonts w:hint="eastAsia"/>
          <w:bCs/>
          <w:iCs/>
          <w:sz w:val="30"/>
          <w:szCs w:val="30"/>
        </w:rPr>
        <w:t>理赔信息</w:t>
      </w:r>
    </w:p>
    <w:p>
      <w:pPr>
        <w:ind w:firstLine="600"/>
        <w:rPr>
          <w:iCs/>
          <w:sz w:val="30"/>
          <w:szCs w:val="30"/>
        </w:rPr>
      </w:pPr>
      <w:r>
        <w:rPr>
          <w:rFonts w:hint="eastAsia"/>
          <w:iCs/>
          <w:sz w:val="30"/>
          <w:szCs w:val="30"/>
        </w:rPr>
        <w:t>理赔信息记录所有发生理赔保单的相关信息，包括出险人信息表、理赔保单明细表共2个数据表。</w:t>
      </w:r>
    </w:p>
    <w:p>
      <w:pPr>
        <w:pStyle w:val="3"/>
        <w:numPr>
          <w:ilvl w:val="0"/>
          <w:numId w:val="4"/>
        </w:numPr>
        <w:ind w:firstLine="602"/>
        <w:rPr>
          <w:sz w:val="30"/>
          <w:szCs w:val="30"/>
        </w:rPr>
      </w:pPr>
      <w:r>
        <w:rPr>
          <w:rFonts w:hint="eastAsia"/>
          <w:sz w:val="30"/>
          <w:szCs w:val="30"/>
        </w:rPr>
        <w:t>养老金业务模块</w:t>
      </w:r>
    </w:p>
    <w:p>
      <w:pPr>
        <w:ind w:firstLine="600"/>
        <w:rPr>
          <w:sz w:val="30"/>
          <w:szCs w:val="30"/>
        </w:rPr>
      </w:pPr>
      <w:r>
        <w:rPr>
          <w:rFonts w:hint="eastAsia"/>
          <w:sz w:val="30"/>
          <w:szCs w:val="30"/>
        </w:rPr>
        <w:t>养老金业务模块包括养老金业务主题域，记录保险公司企业年金、职业年金、养老保障业务的计划、经营、管理相关信息。其中，企业年金和职业年金业务包括年金计划信息表、年金计划管理情况表、年金计划运营明细表、年金投资情况表等4个数据表；养老保障业务包括养老保障产品信息情况表、养老保障业务信息表等2个数据表。</w:t>
      </w:r>
    </w:p>
    <w:p>
      <w:pPr>
        <w:pStyle w:val="3"/>
        <w:numPr>
          <w:ilvl w:val="0"/>
          <w:numId w:val="4"/>
        </w:numPr>
        <w:ind w:firstLine="602"/>
        <w:rPr>
          <w:sz w:val="30"/>
          <w:szCs w:val="30"/>
        </w:rPr>
      </w:pPr>
      <w:r>
        <w:rPr>
          <w:rFonts w:hint="eastAsia"/>
          <w:sz w:val="30"/>
          <w:szCs w:val="30"/>
        </w:rPr>
        <w:t>投资业务模块</w:t>
      </w:r>
    </w:p>
    <w:p>
      <w:pPr>
        <w:ind w:firstLine="600"/>
        <w:rPr>
          <w:sz w:val="30"/>
          <w:szCs w:val="30"/>
        </w:rPr>
      </w:pPr>
      <w:r>
        <w:rPr>
          <w:rFonts w:hint="eastAsia"/>
          <w:sz w:val="30"/>
          <w:szCs w:val="30"/>
        </w:rPr>
        <w:t>投资业务模块包括投资业务主题域，记录保险公司委托投资和自主投资情况相关信息。其中委托投资主要采集投资策略和收益情况，包括1张委托投资情况表；自主投资主要采集投资组合层、证券层、交易流水层的全量信息，包括自主投资账户信息汇总表、自主投资账户持仓明细表、自主投资交易流水表共3个数据表。</w:t>
      </w:r>
    </w:p>
    <w:p>
      <w:pPr>
        <w:pStyle w:val="3"/>
        <w:numPr>
          <w:ilvl w:val="0"/>
          <w:numId w:val="4"/>
        </w:numPr>
        <w:ind w:firstLine="602"/>
        <w:rPr>
          <w:sz w:val="30"/>
          <w:szCs w:val="30"/>
        </w:rPr>
      </w:pPr>
      <w:r>
        <w:rPr>
          <w:rFonts w:hint="eastAsia"/>
          <w:sz w:val="30"/>
          <w:szCs w:val="30"/>
        </w:rPr>
        <w:t>关联交易模块</w:t>
      </w:r>
    </w:p>
    <w:p>
      <w:pPr>
        <w:ind w:firstLine="600"/>
        <w:rPr>
          <w:sz w:val="30"/>
          <w:szCs w:val="30"/>
        </w:rPr>
      </w:pPr>
      <w:r>
        <w:rPr>
          <w:rFonts w:hint="eastAsia"/>
          <w:sz w:val="30"/>
          <w:szCs w:val="30"/>
        </w:rPr>
        <w:t>关联交易模块包括关联交易主题域，记录保险公司的关联方及关联交易相关信息。包括关联方信息表、重大关联交易表及关联交易汇总表共</w:t>
      </w:r>
      <w:r>
        <w:rPr>
          <w:sz w:val="30"/>
          <w:szCs w:val="30"/>
        </w:rPr>
        <w:t>3</w:t>
      </w:r>
      <w:r>
        <w:rPr>
          <w:rFonts w:hint="eastAsia"/>
          <w:sz w:val="30"/>
          <w:szCs w:val="30"/>
        </w:rPr>
        <w:t>个数据表。</w:t>
      </w:r>
    </w:p>
    <w:sectPr>
      <w:headerReference r:id="rId5" w:type="first"/>
      <w:footerReference r:id="rId8" w:type="first"/>
      <w:headerReference r:id="rId3" w:type="default"/>
      <w:footerReference r:id="rId6" w:type="default"/>
      <w:headerReference r:id="rId4" w:type="even"/>
      <w:footerReference r:id="rId7" w:type="even"/>
      <w:pgSz w:w="11906" w:h="16838"/>
      <w:pgMar w:top="2154" w:right="1474" w:bottom="1984" w:left="1588" w:header="851" w:footer="1021"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Calibri Light">
    <w:altName w:val="Calibri"/>
    <w:panose1 w:val="020F0302020204030204"/>
    <w:charset w:val="00"/>
    <w:family w:val="auto"/>
    <w:pitch w:val="default"/>
    <w:sig w:usb0="00000000" w:usb1="00000000" w:usb2="00000009" w:usb3="00000000" w:csb0="200001F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560"/>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7"/>
                            <w:ind w:firstLine="0" w:firstLineChars="0"/>
                            <w:rPr>
                              <w:rFonts w:eastAsia="仿宋_GB2312"/>
                            </w:rPr>
                          </w:pPr>
                          <w:r>
                            <w:rPr>
                              <w:rFonts w:hint="eastAsia" w:asciiTheme="majorEastAsia" w:hAnsiTheme="majorEastAsia" w:eastAsiaTheme="majorEastAsia" w:cstheme="majorEastAsia"/>
                            </w:rPr>
                            <w:fldChar w:fldCharType="begin"/>
                          </w:r>
                          <w:r>
                            <w:rPr>
                              <w:rFonts w:hint="eastAsia" w:asciiTheme="majorEastAsia" w:hAnsiTheme="majorEastAsia" w:eastAsiaTheme="majorEastAsia" w:cstheme="majorEastAsia"/>
                            </w:rPr>
                            <w:instrText xml:space="preserve"> PAGE  \* MERGEFORMAT </w:instrText>
                          </w:r>
                          <w:r>
                            <w:rPr>
                              <w:rFonts w:hint="eastAsia" w:asciiTheme="majorEastAsia" w:hAnsiTheme="majorEastAsia" w:eastAsiaTheme="majorEastAsia" w:cstheme="majorEastAsia"/>
                            </w:rPr>
                            <w:fldChar w:fldCharType="separate"/>
                          </w:r>
                          <w:r>
                            <w:rPr>
                              <w:rFonts w:hint="eastAsia" w:asciiTheme="majorEastAsia" w:hAnsiTheme="majorEastAsia" w:eastAsiaTheme="majorEastAsia" w:cstheme="majorEastAsia"/>
                            </w:rPr>
                            <w:t>- 1 -</w:t>
                          </w:r>
                          <w:r>
                            <w:rPr>
                              <w:rFonts w:hint="eastAsia" w:asciiTheme="majorEastAsia" w:hAnsiTheme="majorEastAsia" w:eastAsiaTheme="majorEastAsia" w:cstheme="major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dBVQXRQCAAAVBAAADgAAAAAAAAAB&#10;ACAAAAAfAQAAZHJzL2Uyb0RvYy54bWxQSwUGAAAAAAYABgBZAQAApQUAAAAA&#10;">
              <v:fill on="f" focussize="0,0"/>
              <v:stroke on="f" weight="0.5pt"/>
              <v:imagedata o:title=""/>
              <o:lock v:ext="edit" aspectratio="f"/>
              <v:textbox inset="0mm,0mm,0mm,0mm" style="mso-fit-shape-to-text:t;">
                <w:txbxContent>
                  <w:p>
                    <w:pPr>
                      <w:pStyle w:val="7"/>
                      <w:ind w:firstLine="0" w:firstLineChars="0"/>
                      <w:rPr>
                        <w:rFonts w:eastAsia="仿宋_GB2312"/>
                      </w:rPr>
                    </w:pPr>
                    <w:r>
                      <w:rPr>
                        <w:rFonts w:hint="eastAsia" w:asciiTheme="majorEastAsia" w:hAnsiTheme="majorEastAsia" w:eastAsiaTheme="majorEastAsia" w:cstheme="majorEastAsia"/>
                      </w:rPr>
                      <w:fldChar w:fldCharType="begin"/>
                    </w:r>
                    <w:r>
                      <w:rPr>
                        <w:rFonts w:hint="eastAsia" w:asciiTheme="majorEastAsia" w:hAnsiTheme="majorEastAsia" w:eastAsiaTheme="majorEastAsia" w:cstheme="majorEastAsia"/>
                      </w:rPr>
                      <w:instrText xml:space="preserve"> PAGE  \* MERGEFORMAT </w:instrText>
                    </w:r>
                    <w:r>
                      <w:rPr>
                        <w:rFonts w:hint="eastAsia" w:asciiTheme="majorEastAsia" w:hAnsiTheme="majorEastAsia" w:eastAsiaTheme="majorEastAsia" w:cstheme="majorEastAsia"/>
                      </w:rPr>
                      <w:fldChar w:fldCharType="separate"/>
                    </w:r>
                    <w:r>
                      <w:rPr>
                        <w:rFonts w:hint="eastAsia" w:asciiTheme="majorEastAsia" w:hAnsiTheme="majorEastAsia" w:eastAsiaTheme="majorEastAsia" w:cstheme="majorEastAsia"/>
                      </w:rPr>
                      <w:t>- 1 -</w:t>
                    </w:r>
                    <w:r>
                      <w:rPr>
                        <w:rFonts w:hint="eastAsia" w:asciiTheme="majorEastAsia" w:hAnsiTheme="majorEastAsia" w:eastAsiaTheme="majorEastAsia" w:cstheme="major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5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7"/>
                            <w:ind w:firstLine="560"/>
                            <w:rPr>
                              <w:rFonts w:eastAsia="仿宋_GB2312"/>
                            </w:rPr>
                          </w:pPr>
                          <w:r>
                            <w:rPr>
                              <w:rFonts w:hint="eastAsia"/>
                            </w:rPr>
                            <w:fldChar w:fldCharType="begin"/>
                          </w:r>
                          <w:r>
                            <w:rPr>
                              <w:rFonts w:hint="eastAsia"/>
                            </w:rPr>
                            <w:instrText xml:space="preserve"> PAGE  \* MERGEFORMAT </w:instrText>
                          </w:r>
                          <w:r>
                            <w:rPr>
                              <w:rFonts w:hint="eastAsia"/>
                            </w:rPr>
                            <w:fldChar w:fldCharType="separate"/>
                          </w:r>
                          <w:r>
                            <w:t>- 2 -</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KKc1bQVAgAAFQQAAA4AAAAAAAAA&#10;AQAgAAAAHwEAAGRycy9lMm9Eb2MueG1sUEsFBgAAAAAGAAYAWQEAAKYFAAAAAA==&#10;">
              <v:fill on="f" focussize="0,0"/>
              <v:stroke on="f" weight="0.5pt"/>
              <v:imagedata o:title=""/>
              <o:lock v:ext="edit" aspectratio="f"/>
              <v:textbox inset="0mm,0mm,0mm,0mm" style="mso-fit-shape-to-text:t;">
                <w:txbxContent>
                  <w:p>
                    <w:pPr>
                      <w:pStyle w:val="7"/>
                      <w:ind w:firstLine="560"/>
                      <w:rPr>
                        <w:rFonts w:eastAsia="仿宋_GB2312"/>
                      </w:rPr>
                    </w:pPr>
                    <w:r>
                      <w:rPr>
                        <w:rFonts w:hint="eastAsia"/>
                      </w:rPr>
                      <w:fldChar w:fldCharType="begin"/>
                    </w:r>
                    <w:r>
                      <w:rPr>
                        <w:rFonts w:hint="eastAsia"/>
                      </w:rPr>
                      <w:instrText xml:space="preserve"> PAGE  \* MERGEFORMAT </w:instrText>
                    </w:r>
                    <w:r>
                      <w:rPr>
                        <w:rFonts w:hint="eastAsia"/>
                      </w:rPr>
                      <w:fldChar w:fldCharType="separate"/>
                    </w:r>
                    <w:r>
                      <w:t>- 2 -</w:t>
                    </w:r>
                    <w:r>
                      <w:rPr>
                        <w:rFonts w:hint="eastAsia"/>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5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1"/>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9F2E4A2"/>
    <w:multiLevelType w:val="singleLevel"/>
    <w:tmpl w:val="99F2E4A2"/>
    <w:lvl w:ilvl="0" w:tentative="0">
      <w:start w:val="1"/>
      <w:numFmt w:val="chineseCounting"/>
      <w:pStyle w:val="2"/>
      <w:suff w:val="nothing"/>
      <w:lvlText w:val="%1、"/>
      <w:lvlJc w:val="left"/>
      <w:pPr>
        <w:ind w:left="0" w:firstLine="420"/>
      </w:pPr>
      <w:rPr>
        <w:rFonts w:hint="eastAsia"/>
      </w:rPr>
    </w:lvl>
  </w:abstractNum>
  <w:abstractNum w:abstractNumId="1">
    <w:nsid w:val="C6E8652A"/>
    <w:multiLevelType w:val="singleLevel"/>
    <w:tmpl w:val="C6E8652A"/>
    <w:lvl w:ilvl="0" w:tentative="0">
      <w:start w:val="1"/>
      <w:numFmt w:val="decimal"/>
      <w:pStyle w:val="4"/>
      <w:suff w:val="nothing"/>
      <w:lvlText w:val="%1．"/>
      <w:lvlJc w:val="left"/>
      <w:pPr>
        <w:ind w:left="0" w:firstLine="400"/>
      </w:pPr>
      <w:rPr>
        <w:rFonts w:hint="default"/>
      </w:rPr>
    </w:lvl>
  </w:abstractNum>
  <w:abstractNum w:abstractNumId="2">
    <w:nsid w:val="6A3342DB"/>
    <w:multiLevelType w:val="singleLevel"/>
    <w:tmpl w:val="6A3342DB"/>
    <w:lvl w:ilvl="0" w:tentative="0">
      <w:start w:val="1"/>
      <w:numFmt w:val="chineseCounting"/>
      <w:pStyle w:val="3"/>
      <w:suff w:val="nothing"/>
      <w:lvlText w:val="（%1）"/>
      <w:lvlJc w:val="left"/>
      <w:pPr>
        <w:ind w:left="0" w:firstLine="420"/>
      </w:pPr>
      <w:rPr>
        <w:rFonts w:hint="eastAsia"/>
      </w:rPr>
    </w:lvl>
  </w:abstractNum>
  <w:num w:numId="1">
    <w:abstractNumId w:val="0"/>
  </w:num>
  <w:num w:numId="2">
    <w:abstractNumId w:val="2"/>
  </w:num>
  <w:num w:numId="3">
    <w:abstractNumId w:val="1"/>
  </w:num>
  <w:num w:numId="4">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76433D5"/>
    <w:rsid w:val="001172C5"/>
    <w:rsid w:val="001219A4"/>
    <w:rsid w:val="001F5490"/>
    <w:rsid w:val="002155C4"/>
    <w:rsid w:val="00231636"/>
    <w:rsid w:val="002F6C32"/>
    <w:rsid w:val="00341016"/>
    <w:rsid w:val="0036715F"/>
    <w:rsid w:val="0038406F"/>
    <w:rsid w:val="00405D82"/>
    <w:rsid w:val="00416981"/>
    <w:rsid w:val="0046421C"/>
    <w:rsid w:val="00491BF3"/>
    <w:rsid w:val="004F52CD"/>
    <w:rsid w:val="0061054C"/>
    <w:rsid w:val="00726A8F"/>
    <w:rsid w:val="00751CBD"/>
    <w:rsid w:val="007E6938"/>
    <w:rsid w:val="00811BE1"/>
    <w:rsid w:val="00862102"/>
    <w:rsid w:val="009120BF"/>
    <w:rsid w:val="00950EAD"/>
    <w:rsid w:val="00A14C1E"/>
    <w:rsid w:val="00A15649"/>
    <w:rsid w:val="00A232DE"/>
    <w:rsid w:val="00A40F34"/>
    <w:rsid w:val="00A95151"/>
    <w:rsid w:val="00AF5862"/>
    <w:rsid w:val="00CA2EDF"/>
    <w:rsid w:val="00E73786"/>
    <w:rsid w:val="00EA61CC"/>
    <w:rsid w:val="00ED1A7B"/>
    <w:rsid w:val="02056983"/>
    <w:rsid w:val="03A257A2"/>
    <w:rsid w:val="04200687"/>
    <w:rsid w:val="048C716C"/>
    <w:rsid w:val="06F16652"/>
    <w:rsid w:val="096F546A"/>
    <w:rsid w:val="0AF47A46"/>
    <w:rsid w:val="0B882231"/>
    <w:rsid w:val="0CC873E2"/>
    <w:rsid w:val="0F142431"/>
    <w:rsid w:val="105A758F"/>
    <w:rsid w:val="142F3903"/>
    <w:rsid w:val="14E93302"/>
    <w:rsid w:val="17E9164D"/>
    <w:rsid w:val="1C472021"/>
    <w:rsid w:val="1D387790"/>
    <w:rsid w:val="1F7D0226"/>
    <w:rsid w:val="23C744DD"/>
    <w:rsid w:val="23FA06E6"/>
    <w:rsid w:val="25414A69"/>
    <w:rsid w:val="255C539F"/>
    <w:rsid w:val="26673C80"/>
    <w:rsid w:val="29433328"/>
    <w:rsid w:val="29CD2B42"/>
    <w:rsid w:val="2A612FE8"/>
    <w:rsid w:val="2ABE71B2"/>
    <w:rsid w:val="2B2509A0"/>
    <w:rsid w:val="2CC841B4"/>
    <w:rsid w:val="2D887C37"/>
    <w:rsid w:val="2E471DEB"/>
    <w:rsid w:val="2E903ACD"/>
    <w:rsid w:val="2FCC03A5"/>
    <w:rsid w:val="37C07F41"/>
    <w:rsid w:val="3C282900"/>
    <w:rsid w:val="3C324CD3"/>
    <w:rsid w:val="3C8A4D7C"/>
    <w:rsid w:val="3D555A38"/>
    <w:rsid w:val="3F6340AB"/>
    <w:rsid w:val="421C408B"/>
    <w:rsid w:val="45D803A3"/>
    <w:rsid w:val="4715040F"/>
    <w:rsid w:val="47155865"/>
    <w:rsid w:val="476433D5"/>
    <w:rsid w:val="49997C17"/>
    <w:rsid w:val="49BF0B0A"/>
    <w:rsid w:val="4C7548BC"/>
    <w:rsid w:val="4FB04C64"/>
    <w:rsid w:val="53A34FE5"/>
    <w:rsid w:val="54386429"/>
    <w:rsid w:val="54466C7E"/>
    <w:rsid w:val="54C53036"/>
    <w:rsid w:val="553E156D"/>
    <w:rsid w:val="58EA50D7"/>
    <w:rsid w:val="5AF34799"/>
    <w:rsid w:val="5B802EBE"/>
    <w:rsid w:val="5E4A006A"/>
    <w:rsid w:val="5EB93CC3"/>
    <w:rsid w:val="60461A6E"/>
    <w:rsid w:val="61862ECC"/>
    <w:rsid w:val="619566F5"/>
    <w:rsid w:val="63C1727D"/>
    <w:rsid w:val="64AE540C"/>
    <w:rsid w:val="679F53F6"/>
    <w:rsid w:val="686C7985"/>
    <w:rsid w:val="6888298D"/>
    <w:rsid w:val="6B220851"/>
    <w:rsid w:val="6CD76493"/>
    <w:rsid w:val="6CF00DBD"/>
    <w:rsid w:val="6D4546DA"/>
    <w:rsid w:val="6E3C69DE"/>
    <w:rsid w:val="72515A7B"/>
    <w:rsid w:val="739F62DB"/>
    <w:rsid w:val="73F6552F"/>
    <w:rsid w:val="744C4374"/>
    <w:rsid w:val="76287F11"/>
    <w:rsid w:val="7932382A"/>
    <w:rsid w:val="7B237E0D"/>
    <w:rsid w:val="7BFF274D"/>
    <w:rsid w:val="7CFE7A9E"/>
    <w:rsid w:val="7F9819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60" w:lineRule="exact"/>
      <w:ind w:firstLine="880" w:firstLineChars="200"/>
      <w:jc w:val="both"/>
    </w:pPr>
    <w:rPr>
      <w:rFonts w:ascii="仿宋_GB2312" w:hAnsi="仿宋_GB2312" w:eastAsia="仿宋_GB2312" w:cs="Times New Roman"/>
      <w:kern w:val="2"/>
      <w:sz w:val="32"/>
      <w:szCs w:val="22"/>
      <w:lang w:val="en-US" w:eastAsia="zh-CN" w:bidi="ar-SA"/>
    </w:rPr>
  </w:style>
  <w:style w:type="paragraph" w:styleId="2">
    <w:name w:val="heading 1"/>
    <w:basedOn w:val="1"/>
    <w:next w:val="1"/>
    <w:qFormat/>
    <w:uiPriority w:val="0"/>
    <w:pPr>
      <w:keepNext/>
      <w:keepLines/>
      <w:numPr>
        <w:ilvl w:val="0"/>
        <w:numId w:val="1"/>
      </w:numPr>
      <w:outlineLvl w:val="0"/>
    </w:pPr>
    <w:rPr>
      <w:rFonts w:eastAsia="黑体"/>
      <w:kern w:val="44"/>
    </w:rPr>
  </w:style>
  <w:style w:type="paragraph" w:styleId="3">
    <w:name w:val="heading 2"/>
    <w:basedOn w:val="1"/>
    <w:next w:val="1"/>
    <w:unhideWhenUsed/>
    <w:qFormat/>
    <w:uiPriority w:val="0"/>
    <w:pPr>
      <w:keepNext/>
      <w:keepLines/>
      <w:numPr>
        <w:ilvl w:val="0"/>
        <w:numId w:val="2"/>
      </w:numPr>
      <w:outlineLvl w:val="1"/>
    </w:pPr>
    <w:rPr>
      <w:rFonts w:ascii="Arial" w:hAnsi="Arial" w:eastAsia="楷体"/>
      <w:b/>
    </w:rPr>
  </w:style>
  <w:style w:type="paragraph" w:styleId="4">
    <w:name w:val="heading 3"/>
    <w:basedOn w:val="1"/>
    <w:next w:val="1"/>
    <w:unhideWhenUsed/>
    <w:qFormat/>
    <w:uiPriority w:val="0"/>
    <w:pPr>
      <w:keepNext/>
      <w:keepLines/>
      <w:numPr>
        <w:ilvl w:val="0"/>
        <w:numId w:val="3"/>
      </w:numPr>
      <w:outlineLvl w:val="2"/>
    </w:pPr>
    <w:rPr>
      <w:b/>
    </w:rPr>
  </w:style>
  <w:style w:type="character" w:default="1" w:styleId="9">
    <w:name w:val="Default Paragraph Font"/>
    <w:unhideWhenUsed/>
    <w:qFormat/>
    <w:uiPriority w:val="1"/>
  </w:style>
  <w:style w:type="table" w:default="1" w:styleId="10">
    <w:name w:val="Normal Table"/>
    <w:unhideWhenUsed/>
    <w:qFormat/>
    <w:uiPriority w:val="99"/>
    <w:tblPr>
      <w:tblLayout w:type="fixed"/>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alloon Text"/>
    <w:basedOn w:val="1"/>
    <w:link w:val="11"/>
    <w:qFormat/>
    <w:uiPriority w:val="0"/>
    <w:pPr>
      <w:spacing w:line="240" w:lineRule="auto"/>
    </w:pPr>
    <w:rPr>
      <w:sz w:val="18"/>
      <w:szCs w:val="18"/>
    </w:rPr>
  </w:style>
  <w:style w:type="paragraph" w:styleId="7">
    <w:name w:val="footer"/>
    <w:basedOn w:val="1"/>
    <w:qFormat/>
    <w:uiPriority w:val="0"/>
    <w:pPr>
      <w:tabs>
        <w:tab w:val="center" w:pos="4153"/>
        <w:tab w:val="right" w:pos="8306"/>
      </w:tabs>
      <w:snapToGrid w:val="0"/>
      <w:jc w:val="left"/>
    </w:pPr>
    <w:rPr>
      <w:rFonts w:eastAsia="宋体"/>
      <w:sz w:val="28"/>
      <w:szCs w:val="18"/>
    </w:rPr>
  </w:style>
  <w:style w:type="paragraph" w:styleId="8">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customStyle="1" w:styleId="11">
    <w:name w:val="批注框文本 字符"/>
    <w:basedOn w:val="9"/>
    <w:link w:val="6"/>
    <w:qFormat/>
    <w:uiPriority w:val="0"/>
    <w:rPr>
      <w:rFonts w:ascii="仿宋_GB2312" w:hAnsi="仿宋_GB2312"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CBRC</Company>
  <Pages>1</Pages>
  <Words>386</Words>
  <Characters>2203</Characters>
  <Lines>18</Lines>
  <Paragraphs>5</Paragraphs>
  <TotalTime>0</TotalTime>
  <ScaleCrop>false</ScaleCrop>
  <LinksUpToDate>false</LinksUpToDate>
  <CharactersWithSpaces>2584</CharactersWithSpaces>
  <Application>WPS Office_10.8.0.6308_F1E327BC-269C-435d-A152-05C5408002CA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2019-11-06T07:25:00Z</dcterms:created>
  <dc:creator>Administrator</dc:creator>
  <cp:lastModifiedBy>李建军</cp:lastModifiedBy>
  <dcterms:modified xsi:type="dcterms:W3CDTF">2020-05-19T01:48:41Z</dcterms:modified>
  <dc:title>附件1</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ies>
</file>