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11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</w:rPr>
        <w:t>初始保证金计量标准法</w:t>
      </w:r>
    </w:p>
    <w:p w14:paraId="5F826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金融机构可以根据表1所示保证金比例计算得出净额结算组合的初始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保证金总额，并通过净毛比率（Net-to-Gross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Ratio）调整，得到标准化初始保证金净额。</w:t>
      </w:r>
    </w:p>
    <w:p w14:paraId="3493B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表1：各类资产初始保证金比例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A12CBBB">
        <w:trPr>
          <w:trHeight w:val="375" w:hRule="atLeast"/>
        </w:trPr>
        <w:tc>
          <w:tcPr>
            <w:tcW w:w="25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433D9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资产类别</w:t>
            </w:r>
          </w:p>
        </w:tc>
        <w:tc>
          <w:tcPr>
            <w:tcW w:w="25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3D48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保证金比例，%</w:t>
            </w:r>
          </w:p>
        </w:tc>
      </w:tr>
      <w:tr w14:paraId="41D6C0E7">
        <w:trPr>
          <w:trHeight w:val="360" w:hRule="atLeast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5F0B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信用：</w:t>
            </w:r>
            <w:r>
              <w:rPr>
                <w:rStyle w:val="4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 w:eastAsia="zh-CN" w:bidi="ar"/>
              </w:rPr>
              <w:t>0-2年（含）期限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8C8E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DC74C73">
        <w:trPr>
          <w:trHeight w:val="360" w:hRule="atLeast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79E8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信用：</w:t>
            </w:r>
            <w:r>
              <w:rPr>
                <w:rStyle w:val="4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 w:eastAsia="zh-CN" w:bidi="ar"/>
              </w:rPr>
              <w:t>2-5年（含）期限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ACC4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7619AFE">
        <w:trPr>
          <w:trHeight w:val="360" w:hRule="atLeast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B19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信用：</w:t>
            </w:r>
            <w:r>
              <w:rPr>
                <w:rStyle w:val="4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 w:eastAsia="zh-CN" w:bidi="ar"/>
              </w:rPr>
              <w:t>5年以上期限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BD96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819A334">
        <w:trPr>
          <w:trHeight w:val="360" w:hRule="atLeast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4742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商品（含贵金属）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6670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7CB2067E">
        <w:trPr>
          <w:trHeight w:val="360" w:hRule="atLeast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0601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股票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9A1F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76A5B0F1">
        <w:trPr>
          <w:trHeight w:val="360" w:hRule="atLeast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8553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外汇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8BC2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7299C6EE">
        <w:trPr>
          <w:trHeight w:val="360" w:hRule="atLeast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5A6D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利率：</w:t>
            </w:r>
            <w:r>
              <w:rPr>
                <w:rStyle w:val="4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 w:eastAsia="zh-CN" w:bidi="ar"/>
              </w:rPr>
              <w:t>0-2年（含）期限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45DD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6C4CC8E">
        <w:trPr>
          <w:trHeight w:val="360" w:hRule="atLeast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713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利率：</w:t>
            </w:r>
            <w:r>
              <w:rPr>
                <w:rStyle w:val="4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 w:eastAsia="zh-CN" w:bidi="ar"/>
              </w:rPr>
              <w:t>2-5年（含）期限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20A9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B26B4E4">
        <w:trPr>
          <w:trHeight w:val="360" w:hRule="atLeast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508D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利率：</w:t>
            </w:r>
            <w:r>
              <w:rPr>
                <w:rStyle w:val="4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 w:eastAsia="zh-CN" w:bidi="ar"/>
              </w:rPr>
              <w:t>5年以上期限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3C1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92E70AF">
        <w:trPr>
          <w:trHeight w:val="375" w:hRule="atLeast"/>
        </w:trPr>
        <w:tc>
          <w:tcPr>
            <w:tcW w:w="25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37BBD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601DE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</w:tbl>
    <w:p w14:paraId="00ED1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具体计算步骤如下：</w:t>
      </w:r>
    </w:p>
    <w:p w14:paraId="18424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1.对同一净额结算组合中的每笔交易，分别使用表1中保证金比例乘以该笔交易名义本金，加总得到初始保证金总额。</w:t>
      </w:r>
    </w:p>
    <w:p w14:paraId="4EEDC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2.对初始保证金总额进行调整，得到标准化初始保证金净额。计算公式如下：</w:t>
      </w:r>
    </w:p>
    <w:p w14:paraId="37273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标准化初始保证金净额=0.4×初始保证金总额+0.6×NGR×初始保证金总额</w:t>
      </w:r>
    </w:p>
    <w:p w14:paraId="49D4B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净毛比率（NGR）=重置成本净额/重置成本总额=Max(Σ交易盯市价值，0）/ΣMax（交易盯市价值，0）</w:t>
      </w:r>
    </w:p>
    <w:p w14:paraId="311A9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分母为0时，NGR=1。</w:t>
      </w:r>
    </w:p>
    <w:p w14:paraId="54E04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其中，如金融机构已在资本监管框架下使用更为审慎的保证金比例，可以沿用该比例计量初始保证金。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E7721"/>
    <w:rsid w:val="DEF5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2025-01-07T09:12:50Z</dcterms:created>
  <dc:creator>Data</dc:creator>
  <cp:lastModifiedBy>彭云龙</cp:lastModifiedBy>
  <dcterms:modified xsi:type="dcterms:W3CDTF">2025-01-07T09:16:14Z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EF0DEE27D56533F0CE7F7C67139CF1AE_42</vt:lpwstr>
  </property>
</Properties>
</file>